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BCC" w:rsidRDefault="00D61BCC" w:rsidP="00D61BCC">
      <w:pPr>
        <w:spacing w:line="480" w:lineRule="exact"/>
        <w:ind w:left="91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方正小标宋_GBK" w:hint="eastAsia"/>
          <w:b/>
          <w:sz w:val="36"/>
          <w:szCs w:val="36"/>
        </w:rPr>
        <w:t>部门整体支出绩效评价指标完成情况表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709"/>
        <w:gridCol w:w="614"/>
        <w:gridCol w:w="889"/>
        <w:gridCol w:w="3265"/>
        <w:gridCol w:w="2278"/>
        <w:gridCol w:w="586"/>
        <w:gridCol w:w="476"/>
      </w:tblGrid>
      <w:tr w:rsidR="00D61BCC" w:rsidTr="00D61BCC">
        <w:trPr>
          <w:trHeight w:val="600"/>
          <w:tblHeader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一级指标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二级指标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分值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三级指标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指标完成情况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评价标准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分值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得分</w:t>
            </w:r>
          </w:p>
        </w:tc>
      </w:tr>
      <w:tr w:rsidR="00D61BCC" w:rsidTr="00D61BCC">
        <w:trPr>
          <w:trHeight w:val="2470"/>
          <w:jc w:val="center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过    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预算执行</w:t>
            </w:r>
          </w:p>
        </w:tc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30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预算调整率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预算调整率=（预算调整数/预算数）×100%。</w:t>
            </w:r>
          </w:p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预算调整数：部门（单位）在本年度内涉及预算的追加、追减或结构调整的资金总和（因落实国家政策，发生不可抗力、上级部门或本级党委政府临时交办而产生的调整除外）。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预算调整率=0，计5分；0-10%（含），计4分；10-20%（含），计3分；20-30%（含），计2分；大于30%不得分。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</w:tr>
      <w:tr w:rsidR="00D61BCC" w:rsidTr="00D61BCC">
        <w:trPr>
          <w:trHeight w:val="1246"/>
          <w:jc w:val="center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基本支出预算控制率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基本支出预算控制率=（基本支出实际支出/基本支出年度总预算）*100%。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基本支出预算控制率</w:t>
            </w:r>
            <w:r>
              <w:rPr>
                <w:rFonts w:ascii="仿宋_GB2312" w:hAnsi="宋体" w:cs="宋体" w:hint="eastAsia"/>
                <w:szCs w:val="21"/>
              </w:rPr>
              <w:t>≦</w:t>
            </w:r>
            <w:r>
              <w:rPr>
                <w:rFonts w:ascii="仿宋_GB2312" w:eastAsia="仿宋_GB2312" w:hAnsi="宋体" w:cs="宋体" w:hint="eastAsia"/>
                <w:szCs w:val="21"/>
              </w:rPr>
              <w:t>100%，计5分；100-110%（含），计4分；110-120%（含），计3分；120-130%（含），计2分；大于130%不得分。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</w:tr>
      <w:tr w:rsidR="00D61BCC" w:rsidTr="00D61BCC">
        <w:trPr>
          <w:trHeight w:val="1246"/>
          <w:jc w:val="center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项目支出预算控制率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项目支出预算控制率=（项目支出实际支出/项目支出年度总预算）*100%。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项目支出预算控制率</w:t>
            </w:r>
            <w:r>
              <w:rPr>
                <w:rFonts w:ascii="仿宋_GB2312" w:hAnsi="宋体" w:cs="宋体" w:hint="eastAsia"/>
                <w:szCs w:val="21"/>
              </w:rPr>
              <w:t>≦</w:t>
            </w:r>
            <w:r>
              <w:rPr>
                <w:rFonts w:ascii="仿宋_GB2312" w:eastAsia="仿宋_GB2312" w:hAnsi="宋体" w:cs="宋体" w:hint="eastAsia"/>
                <w:szCs w:val="21"/>
              </w:rPr>
              <w:t>100%，计5分；100-110%（含），计4分；110-120%（含），计3分；120-130%（含），计2分；大于130%不得分。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</w:p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</w:tr>
      <w:tr w:rsidR="00D61BCC" w:rsidTr="00D61BCC">
        <w:trPr>
          <w:trHeight w:val="780"/>
          <w:jc w:val="center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资金结余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　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无结余，5分；有结余，但不超过上年结余，3分；结余超过上年结余，不得分。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0</w:t>
            </w:r>
          </w:p>
        </w:tc>
      </w:tr>
      <w:tr w:rsidR="00D61BCC" w:rsidTr="00D61BCC">
        <w:trPr>
          <w:trHeight w:val="559"/>
          <w:jc w:val="center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是否分项目核算结余结转，是，5分；否，0分。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</w:tr>
      <w:tr w:rsidR="00D61BCC" w:rsidTr="00D61BCC">
        <w:trPr>
          <w:trHeight w:val="870"/>
          <w:jc w:val="center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“三公经费”</w:t>
            </w:r>
            <w:r>
              <w:rPr>
                <w:rFonts w:ascii="仿宋_GB2312" w:eastAsia="仿宋_GB2312" w:hAnsi="宋体" w:cs="宋体" w:hint="eastAsia"/>
                <w:szCs w:val="21"/>
              </w:rPr>
              <w:lastRenderedPageBreak/>
              <w:t>控制率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lastRenderedPageBreak/>
              <w:t>“三公经费”控制率=（“三公经费”实际支出数/“三公经</w:t>
            </w:r>
            <w:r>
              <w:rPr>
                <w:rFonts w:ascii="仿宋_GB2312" w:eastAsia="仿宋_GB2312" w:hAnsi="宋体" w:cs="宋体" w:hint="eastAsia"/>
                <w:szCs w:val="21"/>
              </w:rPr>
              <w:lastRenderedPageBreak/>
              <w:t>费”预算安排数）×100%。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lastRenderedPageBreak/>
              <w:t>以100%为标准。三公经费控制率</w:t>
            </w:r>
            <w:r>
              <w:rPr>
                <w:rFonts w:ascii="仿宋_GB2312" w:hAnsi="宋体" w:cs="宋体" w:hint="eastAsia"/>
                <w:szCs w:val="21"/>
              </w:rPr>
              <w:t>≦</w:t>
            </w:r>
            <w:r>
              <w:rPr>
                <w:rFonts w:ascii="仿宋_GB2312" w:eastAsia="仿宋_GB2312" w:hAnsi="宋体" w:cs="宋体" w:hint="eastAsia"/>
                <w:szCs w:val="21"/>
              </w:rPr>
              <w:t>100%，</w:t>
            </w:r>
            <w:r>
              <w:rPr>
                <w:rFonts w:ascii="仿宋_GB2312" w:eastAsia="仿宋_GB2312" w:hAnsi="宋体" w:cs="宋体" w:hint="eastAsia"/>
                <w:szCs w:val="21"/>
              </w:rPr>
              <w:lastRenderedPageBreak/>
              <w:t>计5分；每超过一个百分点扣1分，扣完为止。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lastRenderedPageBreak/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</w:tr>
      <w:tr w:rsidR="00D61BCC" w:rsidTr="00D61BCC">
        <w:trPr>
          <w:trHeight w:val="1215"/>
          <w:jc w:val="center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预算管理</w:t>
            </w:r>
          </w:p>
        </w:tc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20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管理制度健全性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　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①已制定或具有预算资金管理办法，内部财务管理制度、会计核算制度等管理制度，3分；②相关管理制度合法、合规、完整，2分。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</w:tr>
      <w:tr w:rsidR="00D61BCC" w:rsidTr="00D61BCC">
        <w:trPr>
          <w:trHeight w:val="764"/>
          <w:jc w:val="center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专账核算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项目支出是否分项目单独核算，是5；否，0分。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</w:tr>
      <w:tr w:rsidR="00D61BCC" w:rsidTr="00D61BCC">
        <w:trPr>
          <w:trHeight w:val="1396"/>
          <w:jc w:val="center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预决算信息公开性和完善性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预决算信息是指与部门预算、执行、决算、监督、绩效等管理相关的信息。                                            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①按规定内容公开预决算信息，3分；②按规定时限公开预决算信息，2分。                                            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3</w:t>
            </w:r>
          </w:p>
        </w:tc>
      </w:tr>
      <w:tr w:rsidR="00D61BCC" w:rsidTr="00D61BCC">
        <w:trPr>
          <w:trHeight w:val="920"/>
          <w:jc w:val="center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政府采购完成情况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达到政府采购要求的是否进行了政府采购，是，5分；否，0分。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</w:tr>
      <w:tr w:rsidR="00D61BCC" w:rsidTr="00D61BCC">
        <w:trPr>
          <w:trHeight w:val="2118"/>
          <w:jc w:val="center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资产管理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管理制度健全性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部门（单位）为加强资产管理，规范资产管理行为而制定的管理制度是否健全完整、用以反映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和考核部门（单位）资产管理制度对完成主要职责或促进社会发展的保障情况。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 xml:space="preserve">①已制定或具有资产管理制度，3分；②相关资产管理制度合法、合规、完整，2分；。                                           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BCC" w:rsidRDefault="00D61BCC">
            <w:pPr>
              <w:spacing w:line="320" w:lineRule="exact"/>
              <w:jc w:val="both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5</w:t>
            </w:r>
          </w:p>
        </w:tc>
      </w:tr>
      <w:tr w:rsidR="00D61BCC" w:rsidTr="00D61BCC">
        <w:trPr>
          <w:trHeight w:val="1305"/>
          <w:jc w:val="center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产   出</w:t>
            </w:r>
          </w:p>
          <w:p w:rsidR="00D61BCC" w:rsidRDefault="00D61BCC">
            <w:pPr>
              <w:widowControl w:val="0"/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效   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职责 履行</w:t>
            </w:r>
          </w:p>
        </w:tc>
        <w:tc>
          <w:tcPr>
            <w:tcW w:w="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45</w:t>
            </w:r>
          </w:p>
        </w:tc>
        <w:tc>
          <w:tcPr>
            <w:tcW w:w="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绩效目标完成情况</w:t>
            </w:r>
          </w:p>
        </w:tc>
        <w:tc>
          <w:tcPr>
            <w:tcW w:w="32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部门（单位）根据2018年部门整体支出绩效目标申报表提炼部门整体支出绩效评价指标。</w:t>
            </w:r>
          </w:p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2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BCC" w:rsidRDefault="00D61BCC">
            <w:pPr>
              <w:spacing w:line="32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45</w:t>
            </w:r>
          </w:p>
        </w:tc>
        <w:tc>
          <w:tcPr>
            <w:tcW w:w="4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40</w:t>
            </w:r>
          </w:p>
        </w:tc>
      </w:tr>
      <w:tr w:rsidR="00D61BCC" w:rsidTr="00D61BCC">
        <w:trPr>
          <w:trHeight w:val="970"/>
          <w:jc w:val="center"/>
        </w:trPr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履职 效益</w:t>
            </w:r>
          </w:p>
        </w:tc>
        <w:tc>
          <w:tcPr>
            <w:tcW w:w="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32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2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</w:tr>
      <w:tr w:rsidR="00D61BCC" w:rsidTr="00D61BCC">
        <w:trPr>
          <w:trHeight w:val="99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lastRenderedPageBreak/>
              <w:t>合计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100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BCC" w:rsidRDefault="00D61BCC">
            <w:pPr>
              <w:spacing w:line="32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BCC" w:rsidRDefault="00D61BCC">
            <w:pPr>
              <w:spacing w:line="2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BCC" w:rsidRDefault="00D61BCC">
            <w:pPr>
              <w:spacing w:line="240" w:lineRule="exact"/>
              <w:rPr>
                <w:rFonts w:ascii="仿宋_GB2312" w:eastAsia="仿宋_GB2312" w:hAnsi="宋体" w:cs="宋体"/>
                <w:sz w:val="21"/>
                <w:szCs w:val="21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BCC" w:rsidRDefault="00D61BCC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100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1BCC" w:rsidRDefault="00D61BCC">
            <w:pPr>
              <w:spacing w:line="240" w:lineRule="exact"/>
              <w:jc w:val="center"/>
              <w:rPr>
                <w:rFonts w:ascii="仿宋_GB2312" w:eastAsia="仿宋_GB2312" w:hAnsi="宋体" w:cs="宋体"/>
                <w:szCs w:val="21"/>
              </w:rPr>
            </w:pPr>
          </w:p>
          <w:p w:rsidR="00D61BCC" w:rsidRDefault="00D61BCC">
            <w:pPr>
              <w:spacing w:line="240" w:lineRule="exact"/>
              <w:jc w:val="center"/>
              <w:rPr>
                <w:rFonts w:ascii="仿宋_GB2312" w:eastAsia="仿宋_GB2312" w:hAnsi="宋体" w:cs="宋体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95</w:t>
            </w:r>
          </w:p>
        </w:tc>
      </w:tr>
    </w:tbl>
    <w:p w:rsidR="00D61BCC" w:rsidRDefault="00D61BCC" w:rsidP="00D61BCC">
      <w:pPr>
        <w:spacing w:line="540" w:lineRule="exact"/>
        <w:rPr>
          <w:rFonts w:ascii="仿宋_GB2312" w:eastAsia="仿宋_GB2312" w:hAnsi="宋体" w:cs="宋体" w:hint="eastAsia"/>
          <w:sz w:val="32"/>
          <w:szCs w:val="32"/>
        </w:rPr>
      </w:pPr>
    </w:p>
    <w:p w:rsidR="00D61BCC" w:rsidRDefault="00D61BCC" w:rsidP="00D61BCC">
      <w:pPr>
        <w:spacing w:line="540" w:lineRule="exact"/>
        <w:rPr>
          <w:rFonts w:ascii="仿宋_GB2312" w:eastAsia="仿宋_GB2312" w:hAnsi="宋体" w:cs="宋体" w:hint="eastAsia"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8C6317"/>
    <w:rsid w:val="00D31D50"/>
    <w:rsid w:val="00D61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74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284</Words>
  <Characters>1624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2</cp:revision>
  <dcterms:created xsi:type="dcterms:W3CDTF">2008-09-11T17:20:00Z</dcterms:created>
  <dcterms:modified xsi:type="dcterms:W3CDTF">2019-09-17T01:35:00Z</dcterms:modified>
</cp:coreProperties>
</file>