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56" w:type="dxa"/>
        <w:jc w:val="center"/>
        <w:tblInd w:w="-14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84"/>
        <w:gridCol w:w="1123"/>
        <w:gridCol w:w="2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656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222222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222222"/>
                <w:kern w:val="0"/>
                <w:sz w:val="44"/>
                <w:szCs w:val="44"/>
                <w:u w:val="none"/>
                <w:lang w:val="en-US" w:eastAsia="zh-CN" w:bidi="ar"/>
              </w:rPr>
              <w:t>政府信息公开情况统计表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656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222222"/>
                <w:sz w:val="44"/>
                <w:szCs w:val="4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（2016年度）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统 计 指 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一、主动公开情况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（一）主动公开政府信息数（不同渠道和方式公开相同信息计1条）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其中：主动公开规范性文件数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制定规范性文件数总量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（二）通过不同渠道和方式公开政府信息的情况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1.政府公报公开政府信息数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2.政府网站公开政府信息数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3.政务微博公开政府信息数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4.政务微信 公开政府信息数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5.其他方式 公开政府信息数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二、回应解读情况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（一）回应公众关注热点或重大舆情数（不同方式回应同一热点和舆情及1次）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（二）通过不同渠道和方式回应解读的情况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1.参加或举办新闻发布会总数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其中：主要负责同志新闻发布会次数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2.政府网站在线访谈次数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其中：主要负责同志参加政府网站在线访谈次数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3.政府解读稿件发布数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篇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4.微博微信回应事件数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5.其他方式回应事件数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三、依申请公开情况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（一）收到申请数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1.当面申请数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2.传真申请数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3.网络申请数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4.信函申请数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（二）申请办结数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1.按时办结数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2.延时办结数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（三）申请答复数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1.属于已主动公开范围数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2.同意公开答复数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3.同意部分公开答复数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4.不同意公开答复数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其中：涉及国家秘密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涉及商业秘密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涉及个人隐私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危及国家安全、公共安全、经济安全和社会安全稳定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不是《条例》所指政府信息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法律法规规定的其他情形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5.不属于本行行政机关公开数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6.申请信息不存在数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7.告知作出更改补充数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8.告知通过其他途径办理数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四、行政复议数量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（一）维持具体行政行为数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（二）被依法纠错数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（三）其他情形数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五、行政诉讼量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（一）维持具体行政行为或者驳回原告诉讼请求数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（二）被依法纠错数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（三）其他情形数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六、举报投诉数量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七、依申请公开信息收取的费用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万元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八、机构建设和保障经费情况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（一）政府信息公开工作专门机构数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（二）设置政府信息公开阅点数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（三）从事政府信息公开工作人员数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1.专职人员数（不包含政府公报及政府网站工作人员数）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2.兼职人员数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（四）政府信息公开专项经费（不包含用于政府公报编辑管理及政府网站建设维护等方面的经费）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万元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九、政府信息公开会议和培训情况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（一）召开政府信息公开工作会议或专题会议数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（二）举办各类培训班数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（三）接受培训人员数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人次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E70C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陈龙 192.168.200.33</cp:lastModifiedBy>
  <dcterms:modified xsi:type="dcterms:W3CDTF">2019-04-04T02:35:57Z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