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EB732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(2025年第45批）</w:t>
      </w:r>
    </w:p>
    <w:bookmarkEnd w:id="0"/>
    <w:p w14:paraId="0667C1BD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80"/>
        <w:gridCol w:w="1335"/>
        <w:gridCol w:w="1170"/>
        <w:gridCol w:w="1095"/>
        <w:gridCol w:w="990"/>
        <w:gridCol w:w="3330"/>
        <w:gridCol w:w="2145"/>
        <w:gridCol w:w="1200"/>
        <w:gridCol w:w="1207"/>
        <w:gridCol w:w="600"/>
      </w:tblGrid>
      <w:tr w14:paraId="0E8DB5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262C0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27A06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BFB7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555616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C096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E9FD56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133EE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2C3195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41A07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B7A32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CBE589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60231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C39900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606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36B3DD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845DF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2A789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D427F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141659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11540E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0A24A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758CC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6ABC1A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BD497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王浩、杨海军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使用电鱼方法破坏渔业资源进行捕捞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76916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王浩、杨海军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7462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95D5A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王浩、杨海军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423BF6">
            <w:pPr>
              <w:spacing w:line="400" w:lineRule="exact"/>
              <w:jc w:val="center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当事人于2025年11月4日21：30时左右在湘江流域涓水新村附近涓水河使用禁用渔具进行非法捕捞，渔获物37.85公斤，违反了《中华人民共和国渔业法》第三十八条规定：“禁止使用炸鱼、毒鱼、电鱼等破坏渔业资源的方法进行捕捞”之规定。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1FA55D">
            <w:pPr>
              <w:autoSpaceDE w:val="0"/>
              <w:spacing w:line="500" w:lineRule="exact"/>
              <w:ind w:right="-61" w:rightChars="-29"/>
              <w:jc w:val="left"/>
              <w:rPr>
                <w:rFonts w:hint="default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依据《中华人民共和国渔业法》第三十八条规定,根据《湖南省农业行政处罚自由裁量基准（渔业）》第十七条.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6DA5CC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11FD1A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2CD360FF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9BC74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BDCAEE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44CC9"/>
    <w:rsid w:val="3024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2026-02-05T00:44:00Z</dcterms:created>
  <dc:creator>为于思周</dc:creator>
  <cp:lastModifiedBy>为于思周</cp:lastModifiedBy>
  <dcterms:modified xsi:type="dcterms:W3CDTF">2026-02-05T00:44:51Z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FBBA9BAB08A64F1CA36CD6D160ECB62C_11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