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743" w:type="dxa"/>
        <w:tblInd w:w="-11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440"/>
        <w:gridCol w:w="1519"/>
        <w:gridCol w:w="236"/>
        <w:gridCol w:w="898"/>
        <w:gridCol w:w="1276"/>
        <w:gridCol w:w="434"/>
        <w:gridCol w:w="113"/>
        <w:gridCol w:w="1011"/>
        <w:gridCol w:w="1608"/>
        <w:gridCol w:w="1398"/>
      </w:tblGrid>
      <w:tr w14:paraId="2988E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1493" w:hRule="atLeast"/>
        </w:trPr>
        <w:tc>
          <w:tcPr>
            <w:tcW w:w="9345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C0DF7FD">
            <w:pPr>
              <w:widowControl/>
              <w:spacing w:line="480" w:lineRule="exact"/>
              <w:ind w:firstLine="1546" w:firstLineChars="350"/>
              <w:rPr>
                <w:rFonts w:hint="eastAsia" w:ascii="方正小标宋_GBK" w:hAnsi="宋体" w:eastAsia="方正小标宋_GBK" w:cs="宋体"/>
                <w:b/>
                <w:bCs w:val="0"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b/>
                <w:bCs w:val="0"/>
                <w:kern w:val="0"/>
                <w:sz w:val="44"/>
                <w:szCs w:val="44"/>
              </w:rPr>
              <w:t>部门整体支出绩效目标申报表</w:t>
            </w:r>
          </w:p>
          <w:p w14:paraId="6FD5DF45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eastAsia="zh-CN"/>
              </w:rPr>
              <w:t>2026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 w14:paraId="58F967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536" w:hRule="atLeast"/>
        </w:trPr>
        <w:tc>
          <w:tcPr>
            <w:tcW w:w="9345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A22B9F"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 w14:paraId="670D6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664" w:hRule="atLeast"/>
        </w:trPr>
        <w:tc>
          <w:tcPr>
            <w:tcW w:w="81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43CBA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CA18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7095" w:type="dxa"/>
            <w:gridSpan w:val="8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BF6A53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彭德怀纪念馆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365D1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714" w:hRule="atLeast"/>
        </w:trPr>
        <w:tc>
          <w:tcPr>
            <w:tcW w:w="81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245F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2270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709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E76D35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湘潭县乌石镇乌石村</w:t>
            </w:r>
          </w:p>
        </w:tc>
      </w:tr>
      <w:tr w14:paraId="528F5B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584" w:hRule="atLeast"/>
        </w:trPr>
        <w:tc>
          <w:tcPr>
            <w:tcW w:w="81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36CE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7B3E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6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F01F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叶雨晴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7109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27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4219B6E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15616737767</w:t>
            </w:r>
          </w:p>
        </w:tc>
      </w:tr>
      <w:tr w14:paraId="2BBE3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695" w:hRule="atLeast"/>
        </w:trPr>
        <w:tc>
          <w:tcPr>
            <w:tcW w:w="81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3876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7454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6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223DF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7E90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27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785AC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3B17D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1665" w:hRule="atLeast"/>
        </w:trPr>
        <w:tc>
          <w:tcPr>
            <w:tcW w:w="81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B259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0A7E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709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681B79">
            <w:pPr>
              <w:widowControl/>
              <w:spacing w:line="315" w:lineRule="atLeast"/>
              <w:jc w:val="left"/>
              <w:rPr>
                <w:rFonts w:ascii="仿宋" w:hAnsi="仿宋" w:eastAsia="仿宋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</w:rPr>
              <w:t>负责全面系统地宣传彭德怀同志忠于党、忠于人民的高贵品德和为新中国的建立建设、维护世界和平所立下的丰功伟绩。</w:t>
            </w:r>
          </w:p>
          <w:p w14:paraId="1E091436">
            <w:pPr>
              <w:widowControl/>
              <w:spacing w:line="315" w:lineRule="atLeast"/>
              <w:jc w:val="left"/>
              <w:rPr>
                <w:rFonts w:ascii="仿宋" w:hAnsi="仿宋" w:eastAsia="仿宋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/>
              </w:rPr>
              <w:t>2、</w:t>
            </w:r>
            <w:r>
              <w:rPr>
                <w:rFonts w:ascii="仿宋" w:hAnsi="仿宋" w:eastAsia="仿宋" w:cs="Calibri"/>
                <w:color w:val="000000"/>
                <w:kern w:val="0"/>
                <w:sz w:val="24"/>
                <w:szCs w:val="24"/>
              </w:rPr>
              <w:t>负责利用彭德怀纪念馆的真实史料及文物,做好爱国主义教育和革命传统教育工作。</w:t>
            </w:r>
          </w:p>
          <w:p w14:paraId="5677975A">
            <w:pPr>
              <w:widowControl/>
              <w:spacing w:line="315" w:lineRule="atLeast"/>
              <w:jc w:val="left"/>
              <w:rPr>
                <w:rFonts w:ascii="仿宋" w:hAnsi="仿宋" w:eastAsia="仿宋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/>
              </w:rPr>
              <w:t>3、</w:t>
            </w:r>
            <w:r>
              <w:rPr>
                <w:rFonts w:ascii="仿宋" w:hAnsi="仿宋" w:eastAsia="仿宋" w:cs="Calibri"/>
                <w:color w:val="000000"/>
                <w:kern w:val="0"/>
                <w:sz w:val="24"/>
                <w:szCs w:val="24"/>
              </w:rPr>
              <w:t>负责与其他纪念馆、纪念地及有关部门联系,广泛收集彭德怀同志有关文物与史料,逐步形成彭德怀同志生平与思想的研究中心。</w:t>
            </w:r>
          </w:p>
          <w:p w14:paraId="60DF11C4">
            <w:pPr>
              <w:widowControl/>
              <w:spacing w:line="315" w:lineRule="atLeast"/>
              <w:jc w:val="left"/>
              <w:rPr>
                <w:rFonts w:ascii="仿宋" w:hAnsi="仿宋" w:eastAsia="仿宋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/>
              </w:rPr>
              <w:t>4、</w:t>
            </w:r>
            <w:r>
              <w:rPr>
                <w:rFonts w:ascii="仿宋" w:hAnsi="仿宋" w:eastAsia="仿宋" w:cs="Calibri"/>
                <w:color w:val="000000"/>
                <w:kern w:val="0"/>
                <w:sz w:val="24"/>
                <w:szCs w:val="24"/>
              </w:rPr>
              <w:t>负责做好彭德怀纪念馆文物、资料展品的保管、保护工作.</w:t>
            </w:r>
          </w:p>
          <w:p w14:paraId="7F750AA8">
            <w:pPr>
              <w:widowControl/>
              <w:spacing w:line="24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" w:hAnsi="仿宋" w:eastAsia="仿宋" w:cs="Calibri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ascii="仿宋" w:hAnsi="仿宋" w:eastAsia="仿宋" w:cs="Calibri"/>
                <w:color w:val="000000"/>
                <w:kern w:val="0"/>
                <w:sz w:val="24"/>
                <w:szCs w:val="24"/>
              </w:rPr>
              <w:t>完成县委、县政府和上级业务部门交办的其他工作。</w:t>
            </w:r>
          </w:p>
        </w:tc>
      </w:tr>
      <w:tr w14:paraId="531B9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756" w:hRule="atLeast"/>
        </w:trPr>
        <w:tc>
          <w:tcPr>
            <w:tcW w:w="81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476B2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599756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 w14:paraId="5A586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1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1A82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ECC7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BC4B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9235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50EA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274A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（预估）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24F13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（预估）</w:t>
            </w:r>
          </w:p>
        </w:tc>
        <w:tc>
          <w:tcPr>
            <w:tcW w:w="1398" w:type="dxa"/>
            <w:noWrap w:val="0"/>
            <w:vAlign w:val="center"/>
          </w:tcPr>
          <w:p w14:paraId="6A294E6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CDD55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540" w:hRule="atLeast"/>
        </w:trPr>
        <w:tc>
          <w:tcPr>
            <w:tcW w:w="81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4B2B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0B015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767.39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1C696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349.39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EA7C8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DEBE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4F8D0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408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97DCE90"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8616D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756" w:hRule="atLeast"/>
        </w:trPr>
        <w:tc>
          <w:tcPr>
            <w:tcW w:w="81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04BC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40B2F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 w14:paraId="40C75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714" w:hRule="atLeast"/>
        </w:trPr>
        <w:tc>
          <w:tcPr>
            <w:tcW w:w="81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AE9A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FEEC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6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DC26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4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04A43D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 w14:paraId="7052FF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546" w:hRule="atLeast"/>
        </w:trPr>
        <w:tc>
          <w:tcPr>
            <w:tcW w:w="81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A708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593AC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767.39</w:t>
            </w:r>
          </w:p>
        </w:tc>
        <w:tc>
          <w:tcPr>
            <w:tcW w:w="26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E34DB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331.99</w:t>
            </w:r>
          </w:p>
        </w:tc>
        <w:tc>
          <w:tcPr>
            <w:tcW w:w="44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311F4AC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/>
              </w:rPr>
              <w:t>435.40</w:t>
            </w:r>
          </w:p>
        </w:tc>
      </w:tr>
      <w:tr w14:paraId="72F0A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714" w:hRule="atLeast"/>
        </w:trPr>
        <w:tc>
          <w:tcPr>
            <w:tcW w:w="81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7E73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BC13EE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 w14:paraId="12E94F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843" w:hRule="atLeast"/>
        </w:trPr>
        <w:tc>
          <w:tcPr>
            <w:tcW w:w="81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79932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54E9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6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4E08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AB21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6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99118C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 w14:paraId="3F681A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67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7471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8FD12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4.1</w:t>
            </w:r>
          </w:p>
        </w:tc>
        <w:tc>
          <w:tcPr>
            <w:tcW w:w="26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5D730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0.5</w:t>
            </w: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F4E82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3.6</w:t>
            </w:r>
          </w:p>
        </w:tc>
        <w:tc>
          <w:tcPr>
            <w:tcW w:w="2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2728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78096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650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94217">
            <w:pPr>
              <w:widowControl/>
              <w:spacing w:line="240" w:lineRule="exac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 w14:paraId="746D859D">
            <w:pPr>
              <w:widowControl/>
              <w:spacing w:line="240" w:lineRule="exac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 w14:paraId="1FD55828">
            <w:pPr>
              <w:widowControl/>
              <w:spacing w:line="240" w:lineRule="exac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 w14:paraId="370EAD07">
            <w:pPr>
              <w:widowControl/>
              <w:spacing w:line="240" w:lineRule="exac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 w14:paraId="3DD18409"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53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 w14:paraId="10B30743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4FB36F06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41AB0FB8">
            <w:pPr>
              <w:widowControl/>
              <w:spacing w:line="315" w:lineRule="atLeast"/>
              <w:jc w:val="left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/>
              </w:rPr>
              <w:t>1、完善文物安全防护设施建设，做好彭德怀故居复原陈列。</w:t>
            </w:r>
          </w:p>
          <w:p w14:paraId="7016F051">
            <w:pPr>
              <w:widowControl/>
              <w:spacing w:line="315" w:lineRule="atLeast"/>
              <w:jc w:val="left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/>
              </w:rPr>
              <w:t>2、拓展宣传，用好用活新媒体。</w:t>
            </w:r>
          </w:p>
          <w:p w14:paraId="106825C1">
            <w:pPr>
              <w:widowControl/>
              <w:spacing w:line="315" w:lineRule="atLeast"/>
              <w:jc w:val="left"/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/>
              </w:rPr>
              <w:t>3、加大馆校合作力度，打造“大思政课”实践教学基地。</w:t>
            </w:r>
          </w:p>
          <w:p w14:paraId="7E0FA2D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  <w:lang w:val="en-US" w:eastAsia="zh-CN"/>
              </w:rPr>
              <w:t>4、搭建平台，开展红色研学。</w:t>
            </w:r>
          </w:p>
        </w:tc>
      </w:tr>
      <w:tr w14:paraId="3A89E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65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35FF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3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2A9F7B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BDC1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65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A4B6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3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46A99F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EA968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65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390A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3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196C3A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A329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312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7476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53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CE427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31D11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34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B2965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 w14:paraId="24A45381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 w14:paraId="6D2605BC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 w14:paraId="79023AAA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 w14:paraId="7A8E74EA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 w14:paraId="11C868D8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 w14:paraId="5F563917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 w14:paraId="06916C0C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 w14:paraId="08A20357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 w14:paraId="626C7C5D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 w14:paraId="101E4418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 w14:paraId="2B301D28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D2DE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DC4D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293A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B4F9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86CAAA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 w14:paraId="51094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34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6B81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8316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7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8062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24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免费开放天数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2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≧300天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91D5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07A8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1F08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BC10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D59E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80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免费开放场馆个数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8C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≧4个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9F4ECC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F402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05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B260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B8C5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7192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71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开放日每天定时免费讲解次数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B6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2次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816E3B8"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208D8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36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730B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7C94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88E7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49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年接待游客人次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75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≧160万人次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6CE64CB"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660D01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51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66C62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7B66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59E7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68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举办社教活动场次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9A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1FA26EB"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6576A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60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2F5CE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0D4E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4F53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C4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省、市新闻媒体报道次数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00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≧8次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6F08079"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16626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98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4460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5876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DDA6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50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微信公众号推文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74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≧24篇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1843464"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7E1354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315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9AA8E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7631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18A6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D9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讲授党课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DE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≧20堂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A16CC4F"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28F13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285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E312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5EB5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52DA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33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开展安防消防演练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59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≧2次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EDFF46B"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26B4D2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34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2751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5FD2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37B5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98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游客投诉率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9B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≦0.1%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9D2E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76D3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34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FF5C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4B9C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814F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19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党课好评率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BE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≧90%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2B9AA9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8CF91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34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E1B2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B6CC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F4A6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28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完成年度安全目标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D8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零事故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D11181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89E2A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34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7D72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2319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0212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1C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保洁成本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EF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≦43万元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DC186D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A797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34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24EA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223D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51046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64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绿化成本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5F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≦40万元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928F64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80A4F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34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8EE1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D994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C416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A1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保安服务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86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≦105万元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890844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0FAD1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34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3982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25FC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0974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DD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安防消防演练费用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E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≦2万元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191859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49EA0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34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6CE6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18A7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2465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8A4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安防消防演练完成时间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811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62207D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5A29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34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1A78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25B8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CA197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101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其他工作完成时间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1A5B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2026年12月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E05F0D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8AA56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34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5A95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0E63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9A39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8D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实现非税收入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CC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万元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C932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E8D5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56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55B5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ADFF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696D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8A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发挥我馆爱国主义教育教育基地功能，提升湘潭城市知名度，弘扬爱国情怀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9A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67F4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861B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34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6735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F57C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C784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968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倡导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文明旅游，打造绿色景区　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6C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967C84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4938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453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E3E1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2C5D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9CF0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5C6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打造集红色旅游、国防教育、军事文化体验、农耕文化参与、党建培训、研学旅游于一体的综合性景区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ab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ab/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1A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E1B956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19EB0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876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24068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5245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9BFB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C8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游客满意度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66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≧90%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53E806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A0F9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1731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 w14:paraId="628733E5"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 w14:paraId="53ECAE8B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D473414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709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19543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7448ABD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B27895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38B3F4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951C59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 w14:paraId="30A6F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1677" w:hRule="atLeast"/>
        </w:trPr>
        <w:tc>
          <w:tcPr>
            <w:tcW w:w="810" w:type="dxa"/>
            <w:vMerge w:val="continue"/>
            <w:tcBorders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 w14:paraId="4932181C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D485A0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709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E0A23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44B1F64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71CAF27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08A69E3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769121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 w14:paraId="4FA31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8" w:type="dxa"/>
          <w:trHeight w:val="1701" w:hRule="atLeast"/>
        </w:trPr>
        <w:tc>
          <w:tcPr>
            <w:tcW w:w="81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 w14:paraId="0E3F5A00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 w14:paraId="41E98E83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7095" w:type="dxa"/>
            <w:gridSpan w:val="8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0110F6E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7AB4581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7D1104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5EDE44F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0FB1915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 w14:paraId="09A2F325">
      <w:pPr>
        <w:widowControl/>
        <w:spacing w:line="240" w:lineRule="auto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王彩玉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叶雨晴</w:t>
      </w:r>
    </w:p>
    <w:p w14:paraId="0E522565"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 w14:paraId="3E73E7EE"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2026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1月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21</w:t>
      </w:r>
      <w:r>
        <w:rPr>
          <w:rFonts w:hint="eastAsia" w:ascii="仿宋_GB2312" w:hAnsi="宋体" w:eastAsia="仿宋_GB2312" w:cs="宋体"/>
          <w:kern w:val="0"/>
          <w:sz w:val="24"/>
        </w:rPr>
        <w:t>日</w:t>
      </w:r>
    </w:p>
    <w:p w14:paraId="663F83CE"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 w14:paraId="4FC6659C"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 w14:paraId="71DB953E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13423467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0C295042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07889E4A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228B8BE5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0BA61D4B">
      <w:pPr>
        <w:pStyle w:val="6"/>
        <w:rPr>
          <w:rFonts w:hint="eastAsia"/>
        </w:rPr>
      </w:pPr>
    </w:p>
    <w:p w14:paraId="38657A3D">
      <w:pPr>
        <w:widowControl/>
        <w:spacing w:before="312" w:beforeLines="100" w:after="312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eastAsia="zh-CN"/>
        </w:rPr>
        <w:t>2026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4"/>
        <w:tblW w:w="1003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914"/>
        <w:gridCol w:w="291"/>
        <w:gridCol w:w="843"/>
        <w:gridCol w:w="1734"/>
        <w:gridCol w:w="1740"/>
        <w:gridCol w:w="1575"/>
        <w:gridCol w:w="2011"/>
      </w:tblGrid>
      <w:tr w14:paraId="38FB18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0037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7CEE762">
            <w:pPr>
              <w:widowControl/>
              <w:ind w:right="360"/>
              <w:jc w:val="righ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 w14:paraId="63DC6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950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8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C0C52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博物馆纪念馆免费开放补助资金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DAC73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5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08F15"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彭德怀纪念馆</w:t>
            </w:r>
          </w:p>
        </w:tc>
      </w:tr>
      <w:tr w14:paraId="257F8B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EFD6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 w14:paraId="7F3BEC8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81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D6D2C"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408</w:t>
            </w:r>
          </w:p>
        </w:tc>
      </w:tr>
      <w:tr w14:paraId="0546C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86067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81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AFDB4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2026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年1-12月</w:t>
            </w:r>
          </w:p>
        </w:tc>
      </w:tr>
      <w:tr w14:paraId="74BCCC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A64B0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81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F217C"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主要围绕保障场馆正常运转、提升公共服务能力、促进文化传播与社会教育等方面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。</w:t>
            </w:r>
          </w:p>
        </w:tc>
      </w:tr>
      <w:tr w14:paraId="2A08CD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96F6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81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79D84"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建立健全财务管理制度，确保专项资金使用符合国家规定，并通过审计和绩效评价监督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；</w:t>
            </w:r>
          </w:p>
          <w:p w14:paraId="011EDF99">
            <w:pPr>
              <w:widowControl/>
              <w:numPr>
                <w:ilvl w:val="0"/>
                <w:numId w:val="1"/>
              </w:num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开展针对青少年的教育活动（如讲座、研学等），并定期组织社会教育项目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；</w:t>
            </w:r>
          </w:p>
          <w:p w14:paraId="03E4696B">
            <w:pPr>
              <w:widowControl/>
              <w:numPr>
                <w:ilvl w:val="0"/>
                <w:numId w:val="1"/>
              </w:num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确保场馆环境整洁、标识清晰，配备无障碍设施等便民服务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；</w:t>
            </w:r>
          </w:p>
          <w:p w14:paraId="411E16F7">
            <w:pPr>
              <w:widowControl/>
              <w:numPr>
                <w:ilvl w:val="0"/>
                <w:numId w:val="1"/>
              </w:num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建立安全保卫制度，避免发生文物或观众安全事故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；</w:t>
            </w:r>
          </w:p>
          <w:p w14:paraId="08C1609F">
            <w:pPr>
              <w:widowControl/>
              <w:numPr>
                <w:ilvl w:val="0"/>
                <w:numId w:val="1"/>
              </w:num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通过媒体报道、网民评价等提升社会影响力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。</w:t>
            </w:r>
          </w:p>
        </w:tc>
      </w:tr>
      <w:tr w14:paraId="0B19B5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84D31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 w14:paraId="336A5472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319DD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3FB83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BD620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83FA0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C9733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 w14:paraId="571CB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12F4D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807CE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9568B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ECD09"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全年接待游客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B7E67"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160万人次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274BC"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 w14:paraId="156F7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5FA7D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7B9AE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B98D6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2A854"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接待党性教育、廉洁教育和主题教育讲解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C4300"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2000批次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3803C"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 w14:paraId="32103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9E09F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E6003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31B76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A8A22"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游客对纪念馆公共服务文化投诉率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FEEEA"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≤0.01%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80B3A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 w14:paraId="5DCD4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66534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17619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3A06A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2E35A"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12345热线工单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办结率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92573"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EA516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 w14:paraId="31BAF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1552D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36B16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93049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E7D3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免费开放时间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2E66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2026年1月1日-2026年12月31日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229F3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 w14:paraId="21A8C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99B43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F5B49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1CC8B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F3F2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免开成本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0DC7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≤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408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　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D1E80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 w14:paraId="5BCE6D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EC351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CF294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EFD91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19C6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成本规范合理率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3FDC4"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各项成本支出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规范、合理100%　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61E42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 w14:paraId="651F0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A83CC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DFDF6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D2012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267C1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接待中小学生研学游、带动周边消费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1830D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  <w:t>助力乡村振兴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　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7EB7A8"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计划标准</w:t>
            </w:r>
          </w:p>
        </w:tc>
      </w:tr>
      <w:tr w14:paraId="146BE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D1A52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03A28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B6A4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153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大力弘扬彭总精神和红色文化，向社会传递纪念馆声音，加深公众对纪念馆的了解和认同。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00A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良好　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703DD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 w14:paraId="1829B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F191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06460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23191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8D69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倡导文明旅游，打造了绿色景区，零污染。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905C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定性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ECDBD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 w14:paraId="17162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1FA79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4AA48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19CF6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35BF8F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充分发挥我馆爱国主义教育教育基地功能，提升湘潭城市知名度，弘扬爱国情怀功能。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F51147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可持续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21AD405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 w14:paraId="0BB1E0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1792A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6E049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00C19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3410DF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游客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满意度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69752D6">
            <w:pPr>
              <w:widowControl/>
              <w:jc w:val="center"/>
              <w:rPr>
                <w:rFonts w:ascii="Arial" w:hAnsi="Arial" w:eastAsia="仿宋_GB2312" w:cs="Arial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Arial" w:hAnsi="Arial" w:eastAsia="仿宋_GB2312" w:cs="Arial"/>
                <w:kern w:val="0"/>
                <w:sz w:val="24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90%　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1F167A23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行业标准</w:t>
            </w:r>
          </w:p>
        </w:tc>
      </w:tr>
      <w:tr w14:paraId="619F4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92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 w14:paraId="1E9265AC"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 w14:paraId="68692B9A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28E0F1E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79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26162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6CA8AC6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24883A2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7585FC3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E74A9F1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 w14:paraId="28FE75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929" w:type="dxa"/>
            <w:vMerge w:val="continue"/>
            <w:tcBorders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 w14:paraId="5B672B11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DAD6951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79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00042D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5F53F89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C97B24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247912E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9FAAC2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 w14:paraId="3EDC97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2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 w14:paraId="44B575C3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 w14:paraId="61097004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7903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314C6FC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3EF9086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50EAEC8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58F0BAD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4B142D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 w14:paraId="4818D5E5"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王彩玉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叶雨晴</w:t>
      </w:r>
    </w:p>
    <w:p w14:paraId="05D6CAF2"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 w14:paraId="3E9447B1"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2026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1月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21</w:t>
      </w:r>
      <w:r>
        <w:rPr>
          <w:rFonts w:hint="eastAsia" w:ascii="仿宋_GB2312" w:hAnsi="宋体" w:eastAsia="仿宋_GB2312" w:cs="宋体"/>
          <w:kern w:val="0"/>
          <w:sz w:val="24"/>
        </w:rPr>
        <w:t>日</w:t>
      </w:r>
    </w:p>
    <w:p w14:paraId="06B2AA58"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 w14:paraId="3DF4B56A"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 w14:paraId="0C6285FD">
      <w:pPr>
        <w:widowControl/>
        <w:spacing w:before="312" w:beforeLines="100" w:after="312" w:afterLines="100" w:line="500" w:lineRule="exact"/>
        <w:rPr>
          <w:rFonts w:hint="eastAsia" w:eastAsia="方正小标宋_GBK"/>
          <w:color w:val="000000"/>
          <w:kern w:val="0"/>
          <w:sz w:val="36"/>
          <w:szCs w:val="36"/>
        </w:rPr>
      </w:pPr>
    </w:p>
    <w:p w14:paraId="4B06B9B4">
      <w:pPr>
        <w:pStyle w:val="6"/>
        <w:rPr>
          <w:rFonts w:hint="eastAsia" w:ascii="Times New Roman" w:hAnsi="Times New Roman" w:eastAsia="方正小标宋_GBK"/>
          <w:color w:val="000000"/>
          <w:kern w:val="0"/>
          <w:sz w:val="36"/>
          <w:szCs w:val="36"/>
        </w:rPr>
      </w:pPr>
    </w:p>
    <w:p w14:paraId="6008B0C3">
      <w:pPr>
        <w:pStyle w:val="6"/>
        <w:rPr>
          <w:rFonts w:hint="eastAsia" w:ascii="Times New Roman" w:hAnsi="Times New Roman" w:eastAsia="方正小标宋_GBK"/>
          <w:color w:val="000000"/>
          <w:kern w:val="0"/>
          <w:sz w:val="36"/>
          <w:szCs w:val="36"/>
        </w:rPr>
      </w:pPr>
    </w:p>
    <w:p w14:paraId="1FE22FB5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27" w:right="1576" w:bottom="1270" w:left="163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C4DB229-3969-4B88-83BC-F8471A0ADAB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C2EB06C-7137-42A2-995D-AEFC9D6E23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24A6D78F-7104-4988-B26E-DDAE5852A34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BC543A7-6863-43BD-A3F8-503C6B862762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32AE9C02-5F88-4165-BF3F-C00BE2A81775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D6037AA9-095A-44E6-A5F8-ADFC7829193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7" w:fontKey="{6F3B2101-BC0E-43DA-8938-0FF69625862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F97B03"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2B79B2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91187A"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40C9ED">
    <w:pPr>
      <w:pStyle w:val="3"/>
      <w:pBdr>
        <w:bottom w:val="none" w:color="auto" w:sz="0" w:space="1"/>
      </w:pBdr>
      <w:ind w:firstLine="360"/>
      <w:rPr>
        <w:u w:val="single" w:color="FFFFFF" w:themeColor="background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BD803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46427D"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A02B60"/>
    <w:multiLevelType w:val="singleLevel"/>
    <w:tmpl w:val="46A02B6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Y2U4MDBiNTU4ODI0YzlhYmE0MDE0MzI0NjUwNGUifQ=="/>
  </w:docVars>
  <w:rsids>
    <w:rsidRoot w:val="00000000"/>
    <w:rsid w:val="0C5627D2"/>
    <w:rsid w:val="0E68782A"/>
    <w:rsid w:val="19C11E47"/>
    <w:rsid w:val="290F5933"/>
    <w:rsid w:val="388378E9"/>
    <w:rsid w:val="39266618"/>
    <w:rsid w:val="495E3043"/>
    <w:rsid w:val="4FBA330F"/>
    <w:rsid w:val="56C468C1"/>
    <w:rsid w:val="588F0029"/>
    <w:rsid w:val="5EA25F05"/>
    <w:rsid w:val="64A10D42"/>
    <w:rsid w:val="7C63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left"/>
    </w:pPr>
    <w:rPr>
      <w:rFonts w:ascii="Times New Roman" w:hAnsi="Times New Roman" w:eastAsia="仿宋"/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center"/>
    </w:pPr>
    <w:rPr>
      <w:rFonts w:ascii="Times New Roman" w:hAnsi="Times New Roman" w:eastAsia="仿宋"/>
      <w:kern w:val="0"/>
      <w:sz w:val="18"/>
      <w:szCs w:val="18"/>
    </w:rPr>
  </w:style>
  <w:style w:type="paragraph" w:styleId="6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1346</Words>
  <Characters>1444</Characters>
  <Lines>0</Lines>
  <Paragraphs>0</Paragraphs>
  <TotalTime>7</TotalTime>
  <ScaleCrop>false</ScaleCrop>
  <LinksUpToDate>false</LinksUpToDate>
  <CharactersWithSpaces>1624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2024-05-31T12:55:00Z</dcterms:created>
  <dc:creator>Administrator</dc:creator>
  <cp:lastModifiedBy>Administrator</cp:lastModifiedBy>
  <dcterms:modified xsi:type="dcterms:W3CDTF">2026-01-21T02:14:25Z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ED0BA525ECEB4ABD947A51F130B493CD_13</vt:lpwstr>
  </property>
  <property fmtid="{D5CDD505-2E9C-101B-9397-08002B2CF9AE}" pid="4" name="KSOTemplateDocerSaveRecord">
    <vt:lpwstr>eyJoZGlkIjoiMmQxMDYyYmEwZmY5OTY5MmVkMTA5MzIwNjRkN2FkY2IiLCJ1c2VySWQiOiI1MTM5NTkxMzIifQ==</vt:lpwstr>
  </property>
</Properties>
</file>