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8A64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_GBK" w:hAnsi="方正小标宋_GBK" w:eastAsia="方正小标宋_GBK" w:cs="方正小标宋_GBK"/>
          <w:kern w:val="0"/>
          <w:sz w:val="32"/>
          <w:szCs w:val="32"/>
          <w:lang w:val="en-US" w:eastAsia="zh-CN" w:bidi="ar-SA"/>
        </w:rPr>
      </w:pPr>
      <w:r>
        <w:rPr>
          <w:rFonts w:hint="eastAsia" w:ascii="方正小标宋_GBK" w:hAnsi="方正小标宋_GBK" w:eastAsia="方正小标宋_GBK" w:cs="方正小标宋_GBK"/>
          <w:kern w:val="0"/>
          <w:sz w:val="44"/>
          <w:szCs w:val="44"/>
          <w:lang w:val="en-US" w:eastAsia="zh-CN" w:bidi="ar-SA"/>
        </w:rPr>
        <w:t>湘潭县发展和改革局2025年度</w:t>
      </w:r>
      <w:bookmarkStart w:id="0" w:name="_GoBack"/>
      <w:bookmarkEnd w:id="0"/>
      <w:r>
        <w:rPr>
          <w:rFonts w:hint="eastAsia" w:ascii="方正小标宋_GBK" w:hAnsi="方正小标宋_GBK" w:eastAsia="方正小标宋_GBK" w:cs="方正小标宋_GBK"/>
          <w:kern w:val="0"/>
          <w:sz w:val="44"/>
          <w:szCs w:val="44"/>
          <w:lang w:val="en-US" w:eastAsia="zh-CN" w:bidi="ar-SA"/>
        </w:rPr>
        <w:t>政府信息公开工作年度报告</w:t>
      </w:r>
    </w:p>
    <w:p w14:paraId="720D868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420"/>
        <w:jc w:val="both"/>
        <w:textAlignment w:val="auto"/>
        <w:rPr>
          <w:rFonts w:hint="eastAsia" w:ascii="方正仿宋_GBK" w:hAnsi="方正仿宋_GBK" w:eastAsia="方正仿宋_GBK" w:cs="方正仿宋_GBK"/>
          <w:kern w:val="0"/>
          <w:sz w:val="32"/>
          <w:szCs w:val="32"/>
          <w:lang w:val="en-US" w:eastAsia="zh-CN" w:bidi="ar-SA"/>
        </w:rPr>
      </w:pPr>
    </w:p>
    <w:p w14:paraId="2DAC7621">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14:paraId="5600C3B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一、总体情况</w:t>
      </w:r>
    </w:p>
    <w:p w14:paraId="0E4713A1">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政府信息公开工作坚持以习近平新时代中国特色社会主义思想为指导，全面贯彻党的二十大和二十届二中、三中、四中全会精神，深入落实《中华人民共和国政府信息公开条例》及上级关于新时代政务公开工作的决策部署，秉持“以公开促落实、以公开促规范、以公开促服务”的原则，持续深化决策、执行、管理、服务、结果全过程公开。紧密围绕全县中心工作与政务公开新任务、新要求，进一步健全公开制度体系，优化工作流程，着力提升信息公开的精准性、时效性和互动性。通过不断拓展公开深度与广度，丰富政策解读形式，积极回应社会关切，推动政府治理能力与公信力的稳步提升。</w:t>
      </w:r>
    </w:p>
    <w:p w14:paraId="6205BB29">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color w:val="000000"/>
          <w:kern w:val="0"/>
          <w:sz w:val="32"/>
          <w:szCs w:val="32"/>
          <w:lang w:val="en-US" w:eastAsia="zh-CN" w:bidi="ar-SA"/>
        </w:rPr>
        <w:t>（一）</w:t>
      </w:r>
      <w:r>
        <w:rPr>
          <w:rFonts w:hint="eastAsia" w:ascii="CESI宋体-GB2312" w:hAnsi="CESI宋体-GB2312" w:eastAsia="方正仿宋_GBK" w:cs="方正仿宋_GBK"/>
          <w:b/>
          <w:bCs/>
          <w:kern w:val="0"/>
          <w:sz w:val="32"/>
          <w:szCs w:val="32"/>
          <w:lang w:val="en-US" w:eastAsia="zh-CN" w:bidi="ar-SA"/>
        </w:rPr>
        <w:t>主动公开</w:t>
      </w:r>
    </w:p>
    <w:p w14:paraId="676DE413">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2025年，我局主动通过政务网站公开政府信息368条，其中工作动态340条、通知公告22条、财政信息3条、机构信息2条、领导信息1条。</w:t>
      </w:r>
    </w:p>
    <w:p w14:paraId="3227141F">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color w:val="000000"/>
          <w:kern w:val="0"/>
          <w:sz w:val="32"/>
          <w:szCs w:val="32"/>
          <w:lang w:val="en-US" w:eastAsia="zh-CN" w:bidi="ar-SA"/>
        </w:rPr>
        <w:t>（二）</w:t>
      </w:r>
      <w:r>
        <w:rPr>
          <w:rFonts w:hint="eastAsia" w:ascii="CESI宋体-GB2312" w:hAnsi="CESI宋体-GB2312" w:eastAsia="方正仿宋_GBK" w:cs="方正仿宋_GBK"/>
          <w:b/>
          <w:bCs/>
          <w:kern w:val="0"/>
          <w:sz w:val="32"/>
          <w:szCs w:val="32"/>
          <w:lang w:val="en-US" w:eastAsia="zh-CN" w:bidi="ar-SA"/>
        </w:rPr>
        <w:t>依申请公开</w:t>
      </w:r>
    </w:p>
    <w:p w14:paraId="0115B17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2025年，我局进一步规范和完善政府信息依申请公开工作机制，优化办理流程，加强答复的规范性和针对性。全年累计受理政府信息公开申请5件，其中涉及行政复议案件1件，所有申请均依法依规按期办理并答复。</w:t>
      </w:r>
    </w:p>
    <w:p w14:paraId="6BA8A90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color w:val="000000"/>
          <w:kern w:val="0"/>
          <w:sz w:val="32"/>
          <w:szCs w:val="32"/>
          <w:lang w:val="en-US" w:eastAsia="zh-CN" w:bidi="ar-SA"/>
        </w:rPr>
        <w:t>（三）</w:t>
      </w:r>
      <w:r>
        <w:rPr>
          <w:rFonts w:hint="eastAsia" w:ascii="CESI宋体-GB2312" w:hAnsi="CESI宋体-GB2312" w:eastAsia="方正仿宋_GBK" w:cs="方正仿宋_GBK"/>
          <w:b/>
          <w:bCs/>
          <w:kern w:val="0"/>
          <w:sz w:val="32"/>
          <w:szCs w:val="32"/>
          <w:lang w:val="en-US" w:eastAsia="zh-CN" w:bidi="ar-SA"/>
        </w:rPr>
        <w:t>政府信息管理</w:t>
      </w:r>
    </w:p>
    <w:p w14:paraId="67AB820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2025年，我局持续深化政府信息管理，坚持“公开为常态、不公开为例外”原则，着力提升信息管理的规范性与精准性。一是</w:t>
      </w:r>
      <w:r>
        <w:rPr>
          <w:rFonts w:hint="default" w:ascii="CESI宋体-GB2312" w:hAnsi="CESI宋体-GB2312" w:eastAsia="方正仿宋_GBK" w:cs="方正仿宋_GBK"/>
          <w:kern w:val="0"/>
          <w:sz w:val="32"/>
          <w:szCs w:val="32"/>
          <w:lang w:val="en-US" w:eastAsia="zh-CN" w:bidi="ar-SA"/>
        </w:rPr>
        <w:t>优化审核发布流程，严格执行信息发布“三审制”，确保内容准确、协同。二是强化动态维护，并定期复核</w:t>
      </w:r>
      <w:r>
        <w:rPr>
          <w:rFonts w:hint="eastAsia" w:ascii="CESI宋体-GB2312" w:hAnsi="CESI宋体-GB2312" w:eastAsia="方正仿宋_GBK" w:cs="方正仿宋_GBK"/>
          <w:kern w:val="0"/>
          <w:sz w:val="32"/>
          <w:szCs w:val="32"/>
          <w:lang w:val="en-US" w:eastAsia="zh-CN" w:bidi="ar-SA"/>
        </w:rPr>
        <w:t>排除</w:t>
      </w:r>
      <w:r>
        <w:rPr>
          <w:rFonts w:hint="default" w:ascii="CESI宋体-GB2312" w:hAnsi="CESI宋体-GB2312" w:eastAsia="方正仿宋_GBK" w:cs="方正仿宋_GBK"/>
          <w:kern w:val="0"/>
          <w:sz w:val="32"/>
          <w:szCs w:val="32"/>
          <w:lang w:val="en-US" w:eastAsia="zh-CN" w:bidi="ar-SA"/>
        </w:rPr>
        <w:t>已公开信息</w:t>
      </w:r>
      <w:r>
        <w:rPr>
          <w:rFonts w:hint="eastAsia" w:ascii="CESI宋体-GB2312" w:hAnsi="CESI宋体-GB2312" w:eastAsia="方正仿宋_GBK" w:cs="方正仿宋_GBK"/>
          <w:kern w:val="0"/>
          <w:sz w:val="32"/>
          <w:szCs w:val="32"/>
          <w:lang w:val="en-US" w:eastAsia="zh-CN" w:bidi="ar-SA"/>
        </w:rPr>
        <w:t>中的</w:t>
      </w:r>
      <w:r>
        <w:rPr>
          <w:rFonts w:hint="default" w:ascii="CESI宋体-GB2312" w:hAnsi="CESI宋体-GB2312" w:eastAsia="方正仿宋_GBK" w:cs="方正仿宋_GBK"/>
          <w:kern w:val="0"/>
          <w:sz w:val="32"/>
          <w:szCs w:val="32"/>
          <w:lang w:val="en-US" w:eastAsia="zh-CN" w:bidi="ar-SA"/>
        </w:rPr>
        <w:t>保密、敏感词与错别字</w:t>
      </w:r>
      <w:r>
        <w:rPr>
          <w:rFonts w:hint="eastAsia" w:ascii="CESI宋体-GB2312" w:hAnsi="CESI宋体-GB2312" w:eastAsia="方正仿宋_GBK" w:cs="方正仿宋_GBK"/>
          <w:kern w:val="0"/>
          <w:sz w:val="32"/>
          <w:szCs w:val="32"/>
          <w:lang w:val="en-US" w:eastAsia="zh-CN" w:bidi="ar-SA"/>
        </w:rPr>
        <w:t>等内容</w:t>
      </w:r>
      <w:r>
        <w:rPr>
          <w:rFonts w:hint="default" w:ascii="CESI宋体-GB2312" w:hAnsi="CESI宋体-GB2312" w:eastAsia="方正仿宋_GBK" w:cs="方正仿宋_GBK"/>
          <w:kern w:val="0"/>
          <w:sz w:val="32"/>
          <w:szCs w:val="32"/>
          <w:lang w:val="en-US" w:eastAsia="zh-CN" w:bidi="ar-SA"/>
        </w:rPr>
        <w:t>。三是压实管理责任闭环，明确各环节责任主体，加强日常监督与考评，不断提升信息公开质量与效能。</w:t>
      </w:r>
    </w:p>
    <w:p w14:paraId="4F4790BA">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color w:val="000000"/>
          <w:kern w:val="0"/>
          <w:sz w:val="32"/>
          <w:szCs w:val="32"/>
          <w:lang w:val="en-US" w:eastAsia="zh-CN" w:bidi="ar-SA"/>
        </w:rPr>
        <w:t>（四）</w:t>
      </w:r>
      <w:r>
        <w:rPr>
          <w:rFonts w:hint="eastAsia" w:ascii="CESI宋体-GB2312" w:hAnsi="CESI宋体-GB2312" w:eastAsia="方正仿宋_GBK" w:cs="方正仿宋_GBK"/>
          <w:b/>
          <w:bCs/>
          <w:kern w:val="0"/>
          <w:sz w:val="32"/>
          <w:szCs w:val="32"/>
          <w:lang w:val="en-US" w:eastAsia="zh-CN" w:bidi="ar-SA"/>
        </w:rPr>
        <w:t>政府信息公开平台建设</w:t>
      </w:r>
    </w:p>
    <w:p w14:paraId="11393477">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持续巩固和拓展政府信息公开线上线下双平台。线上，以政府网站为主阵地，进一步优化栏目设置与功能体验；线下，依托政务服务中心窗口，完善信息公开查阅点建设，推动线上线下服务融合互补。通过双平台协同发力，不断畅通政民互动渠道，提升信息获取便利度与政务公开实效，努力实现公开服务更便捷、沟通更顺畅、回应更及时。</w:t>
      </w:r>
    </w:p>
    <w:p w14:paraId="5DD9AEFC">
      <w:pPr>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kern w:val="0"/>
          <w:sz w:val="32"/>
          <w:szCs w:val="32"/>
          <w:lang w:val="en-US" w:eastAsia="zh-CN" w:bidi="ar-SA"/>
        </w:rPr>
        <w:t>监督保障</w:t>
      </w:r>
    </w:p>
    <w:p w14:paraId="1977E011">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200" w:right="0" w:rightChars="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2025年，我局持续强化政府信息公开工作的监督保障体系建设。一是</w:t>
      </w:r>
      <w:r>
        <w:rPr>
          <w:rFonts w:hint="default" w:ascii="CESI宋体-GB2312" w:hAnsi="CESI宋体-GB2312" w:eastAsia="方正仿宋_GBK" w:cs="方正仿宋_GBK"/>
          <w:kern w:val="0"/>
          <w:sz w:val="32"/>
          <w:szCs w:val="32"/>
          <w:lang w:val="en-US" w:eastAsia="zh-CN" w:bidi="ar-SA"/>
        </w:rPr>
        <w:t>健全内部监督与考评机制，实施常态化监测与定期评估，压实各环节主体责任，推动工作持续优化。二是拓宽外部监督与公众参与渠道，除线下政务公开专区外，进一步利用线上平台收集群众意见，主动回应社会关切，自觉接受公众监督。年内，我局政务公开工作平稳有序推进，未发生相关责任追究情况。</w:t>
      </w:r>
      <w:r>
        <w:rPr>
          <w:rFonts w:hint="eastAsia" w:ascii="CESI宋体-GB2312" w:hAnsi="CESI宋体-GB2312" w:eastAsia="方正仿宋_GBK" w:cs="方正仿宋_GBK"/>
          <w:kern w:val="0"/>
          <w:sz w:val="32"/>
          <w:szCs w:val="32"/>
          <w:lang w:val="en-US" w:eastAsia="zh-CN" w:bidi="ar-SA"/>
        </w:rPr>
        <w:br w:type="page"/>
      </w:r>
      <w:r>
        <w:rPr>
          <w:rFonts w:hint="eastAsia" w:ascii="黑体" w:hAnsi="黑体" w:eastAsia="黑体" w:cs="黑体"/>
          <w:b w:val="0"/>
          <w:bCs/>
          <w:kern w:val="0"/>
          <w:sz w:val="32"/>
          <w:szCs w:val="32"/>
          <w:lang w:val="en-US" w:eastAsia="zh-CN" w:bidi="ar-SA"/>
        </w:rPr>
        <w:t>二、主动公开政府信息情况</w:t>
      </w:r>
    </w:p>
    <w:tbl>
      <w:tblPr>
        <w:tblStyle w:val="4"/>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2BB60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0494731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第二十条第（一）项</w:t>
            </w:r>
          </w:p>
        </w:tc>
      </w:tr>
      <w:tr w14:paraId="4E440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039D08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1881" w:type="dxa"/>
            <w:noWrap/>
            <w:tcMar>
              <w:left w:w="108" w:type="dxa"/>
              <w:right w:w="108" w:type="dxa"/>
            </w:tcMar>
            <w:vAlign w:val="center"/>
          </w:tcPr>
          <w:p w14:paraId="3DCE5FA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本年制发件数</w:t>
            </w:r>
          </w:p>
        </w:tc>
        <w:tc>
          <w:tcPr>
            <w:tcW w:w="1979" w:type="dxa"/>
            <w:noWrap w:val="0"/>
            <w:tcMar>
              <w:left w:w="108" w:type="dxa"/>
              <w:right w:w="108" w:type="dxa"/>
            </w:tcMar>
            <w:vAlign w:val="center"/>
          </w:tcPr>
          <w:p w14:paraId="00C61B9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本年废止件数</w:t>
            </w:r>
          </w:p>
        </w:tc>
        <w:tc>
          <w:tcPr>
            <w:tcW w:w="2091" w:type="dxa"/>
            <w:noWrap/>
            <w:tcMar>
              <w:left w:w="108" w:type="dxa"/>
              <w:right w:w="108" w:type="dxa"/>
            </w:tcMar>
            <w:vAlign w:val="center"/>
          </w:tcPr>
          <w:p w14:paraId="333AAA0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现行有效件数</w:t>
            </w:r>
          </w:p>
        </w:tc>
      </w:tr>
      <w:tr w14:paraId="5CF7C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306E37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规章</w:t>
            </w:r>
          </w:p>
        </w:tc>
        <w:tc>
          <w:tcPr>
            <w:tcW w:w="1881" w:type="dxa"/>
            <w:noWrap/>
            <w:tcMar>
              <w:left w:w="108" w:type="dxa"/>
              <w:right w:w="108" w:type="dxa"/>
            </w:tcMar>
            <w:vAlign w:val="center"/>
          </w:tcPr>
          <w:p w14:paraId="1EB94C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1979" w:type="dxa"/>
            <w:noWrap w:val="0"/>
            <w:tcMar>
              <w:left w:w="108" w:type="dxa"/>
              <w:right w:w="108" w:type="dxa"/>
            </w:tcMar>
            <w:vAlign w:val="center"/>
          </w:tcPr>
          <w:p w14:paraId="1C4ACD7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2091" w:type="dxa"/>
            <w:noWrap/>
            <w:tcMar>
              <w:left w:w="108" w:type="dxa"/>
              <w:right w:w="108" w:type="dxa"/>
            </w:tcMar>
            <w:vAlign w:val="center"/>
          </w:tcPr>
          <w:p w14:paraId="1F609C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4259B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560F13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val="en-US" w:bidi="ar"/>
              </w:rPr>
              <w:t>规范性文件</w:t>
            </w:r>
          </w:p>
        </w:tc>
        <w:tc>
          <w:tcPr>
            <w:tcW w:w="1881" w:type="dxa"/>
            <w:noWrap/>
            <w:tcMar>
              <w:left w:w="108" w:type="dxa"/>
              <w:right w:w="108" w:type="dxa"/>
            </w:tcMar>
            <w:vAlign w:val="center"/>
          </w:tcPr>
          <w:p w14:paraId="581BC2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8</w:t>
            </w:r>
          </w:p>
        </w:tc>
        <w:tc>
          <w:tcPr>
            <w:tcW w:w="1979" w:type="dxa"/>
            <w:noWrap w:val="0"/>
            <w:tcMar>
              <w:left w:w="108" w:type="dxa"/>
              <w:right w:w="108" w:type="dxa"/>
            </w:tcMar>
            <w:vAlign w:val="center"/>
          </w:tcPr>
          <w:p w14:paraId="27B7F3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1</w:t>
            </w:r>
          </w:p>
        </w:tc>
        <w:tc>
          <w:tcPr>
            <w:tcW w:w="2091" w:type="dxa"/>
            <w:noWrap/>
            <w:tcMar>
              <w:left w:w="108" w:type="dxa"/>
              <w:right w:w="108" w:type="dxa"/>
            </w:tcMar>
            <w:vAlign w:val="center"/>
          </w:tcPr>
          <w:p w14:paraId="21EF019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8</w:t>
            </w:r>
          </w:p>
        </w:tc>
      </w:tr>
      <w:tr w14:paraId="4B7DA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653063C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第二十条第（五）项</w:t>
            </w:r>
          </w:p>
        </w:tc>
      </w:tr>
      <w:tr w14:paraId="021A5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4ED30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682035E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17524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66CA9F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行政许可</w:t>
            </w:r>
          </w:p>
        </w:tc>
        <w:tc>
          <w:tcPr>
            <w:tcW w:w="5951" w:type="dxa"/>
            <w:gridSpan w:val="3"/>
            <w:noWrap/>
            <w:tcMar>
              <w:left w:w="108" w:type="dxa"/>
              <w:right w:w="108" w:type="dxa"/>
            </w:tcMar>
            <w:vAlign w:val="center"/>
          </w:tcPr>
          <w:p w14:paraId="6566F0C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14</w:t>
            </w:r>
          </w:p>
        </w:tc>
      </w:tr>
      <w:tr w14:paraId="560DA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D5B2B4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第二十条第（六）项</w:t>
            </w:r>
          </w:p>
        </w:tc>
      </w:tr>
      <w:tr w14:paraId="1293F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D7759B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759201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41C17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C2C53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行政处罚</w:t>
            </w:r>
          </w:p>
        </w:tc>
        <w:tc>
          <w:tcPr>
            <w:tcW w:w="5951" w:type="dxa"/>
            <w:gridSpan w:val="3"/>
            <w:noWrap/>
            <w:tcMar>
              <w:left w:w="108" w:type="dxa"/>
              <w:right w:w="108" w:type="dxa"/>
            </w:tcMar>
            <w:vAlign w:val="center"/>
          </w:tcPr>
          <w:p w14:paraId="2FF5F1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14CA4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2CC2E1E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行政强制</w:t>
            </w:r>
          </w:p>
        </w:tc>
        <w:tc>
          <w:tcPr>
            <w:tcW w:w="5951" w:type="dxa"/>
            <w:gridSpan w:val="3"/>
            <w:noWrap/>
            <w:tcMar>
              <w:left w:w="108" w:type="dxa"/>
              <w:right w:w="108" w:type="dxa"/>
            </w:tcMar>
            <w:vAlign w:val="center"/>
          </w:tcPr>
          <w:p w14:paraId="19AB68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09CD0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2654A51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第二十条第（八）项</w:t>
            </w:r>
          </w:p>
        </w:tc>
      </w:tr>
      <w:tr w14:paraId="6D8D4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14DD2A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0FC6641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本年收费金额（单位：万元）</w:t>
            </w:r>
          </w:p>
        </w:tc>
      </w:tr>
      <w:tr w14:paraId="5B332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19BB0F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行政事业性收费</w:t>
            </w:r>
          </w:p>
        </w:tc>
        <w:tc>
          <w:tcPr>
            <w:tcW w:w="5951" w:type="dxa"/>
            <w:gridSpan w:val="3"/>
            <w:noWrap/>
            <w:tcMar>
              <w:left w:w="108" w:type="dxa"/>
              <w:right w:w="108" w:type="dxa"/>
            </w:tcMar>
            <w:vAlign w:val="center"/>
          </w:tcPr>
          <w:p w14:paraId="1E45EB9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285.3579</w:t>
            </w:r>
          </w:p>
        </w:tc>
      </w:tr>
    </w:tbl>
    <w:p w14:paraId="3134A21D">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br w:type="page"/>
      </w: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4"/>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25DE11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82B9AA">
            <w:pPr>
              <w:widowControl/>
              <w:spacing w:line="300" w:lineRule="exact"/>
              <w:jc w:val="center"/>
              <w:rPr>
                <w:rFonts w:hint="eastAsia" w:ascii="宋体" w:hAnsi="宋体" w:eastAsia="宋体" w:cs="宋体"/>
                <w:kern w:val="2"/>
                <w:sz w:val="21"/>
                <w:szCs w:val="21"/>
                <w:lang w:val="en-US"/>
              </w:rPr>
            </w:pPr>
            <w:r>
              <w:rPr>
                <w:rFonts w:hint="eastAsia" w:ascii="楷体" w:hAnsi="楷体" w:eastAsia="楷体" w:cs="楷体"/>
                <w:kern w:val="2"/>
                <w:sz w:val="24"/>
                <w:szCs w:val="24"/>
                <w:lang w:val="en-US"/>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046B44E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申请人情况</w:t>
            </w:r>
          </w:p>
        </w:tc>
      </w:tr>
      <w:tr w14:paraId="458603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BA986F4">
            <w:pPr>
              <w:jc w:val="both"/>
              <w:rPr>
                <w:rFonts w:hint="eastAsia" w:ascii="宋体" w:hAnsi="宋体" w:eastAsia="宋体" w:cs="宋体"/>
                <w:kern w:val="2"/>
                <w:sz w:val="21"/>
                <w:szCs w:val="21"/>
                <w:lang w:val="en-US"/>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78FC4E6B">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0D0A738E">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6730683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总计</w:t>
            </w:r>
          </w:p>
        </w:tc>
      </w:tr>
      <w:tr w14:paraId="064598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5172AAB">
            <w:pPr>
              <w:jc w:val="both"/>
              <w:rPr>
                <w:rFonts w:hint="eastAsia" w:ascii="宋体" w:hAnsi="宋体" w:eastAsia="宋体" w:cs="宋体"/>
                <w:kern w:val="2"/>
                <w:sz w:val="21"/>
                <w:szCs w:val="21"/>
                <w:lang w:val="en-US"/>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100FD14B">
            <w:pPr>
              <w:jc w:val="both"/>
              <w:rPr>
                <w:rFonts w:hint="eastAsia" w:ascii="宋体" w:hAnsi="宋体" w:eastAsia="宋体" w:cs="宋体"/>
                <w:kern w:val="2"/>
                <w:sz w:val="21"/>
                <w:szCs w:val="21"/>
                <w:lang w:val="en-US"/>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DB59CC5">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2644974">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00A897B">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562F5E0">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D1408E3">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128FCC2">
            <w:pPr>
              <w:jc w:val="both"/>
              <w:rPr>
                <w:rFonts w:hint="eastAsia" w:ascii="宋体" w:hAnsi="宋体" w:eastAsia="宋体" w:cs="宋体"/>
                <w:kern w:val="2"/>
                <w:sz w:val="21"/>
                <w:szCs w:val="21"/>
                <w:lang w:val="en-US"/>
              </w:rPr>
            </w:pPr>
          </w:p>
        </w:tc>
      </w:tr>
      <w:tr w14:paraId="1B73E95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66FABFC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860CED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4DE063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FA4254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CF33D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BA47AF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6F5915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B852C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w:t>
            </w:r>
          </w:p>
        </w:tc>
      </w:tr>
      <w:tr w14:paraId="5B556B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66D1988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E838D31">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080E06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E56C2D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C9FEE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BC8D1C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99E48D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7C83405">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9ACC80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9D59B1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14520748">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BE9329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EDF1F6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E72199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33615C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8E8940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D8AB9F2">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293CC7A">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w:t>
            </w:r>
          </w:p>
        </w:tc>
      </w:tr>
      <w:tr w14:paraId="132FE7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8BFD978">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4DD121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（二）部分公开</w:t>
            </w:r>
            <w:r>
              <w:rPr>
                <w:rFonts w:hint="eastAsia" w:ascii="楷体" w:hAnsi="楷体" w:eastAsia="楷体" w:cs="楷体"/>
                <w:kern w:val="0"/>
                <w:sz w:val="21"/>
                <w:szCs w:val="21"/>
                <w:lang w:val="en-US"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6C32BBD">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61D118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CB5A4C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0E780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FD65F3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E9BD2C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80D3BA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850626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8239BD5">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032D5E0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C3EB42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BF62771">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EC9A09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E13DD1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9CA99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A751BA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161132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9B0D0BD">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0E8F2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8F3C5B7">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115B52A">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85EC14D">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EE457C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94B56D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6FAF6C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4B1139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FD3AB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DBD438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7EC0F3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34AFE1B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6C87003">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D8E2D4D">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97735A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7B203F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0F139C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659FF2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4B7F4C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4842F0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3730569">
            <w:pPr>
              <w:widowControl/>
              <w:spacing w:line="300" w:lineRule="exact"/>
              <w:jc w:val="both"/>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C66593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1F12DF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AD011B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C2AF859">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F04F12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9A825F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389CBC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4C9DBA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31952F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7CED8F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F0466B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3A5FA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F124C3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288C73D">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2D17D15">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E55C2E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F88F8B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B710A3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C4218A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8615AD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ABAF50A">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82D0C7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B48712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A17DD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DCA6DEC">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169B05">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000F81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3C8C92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D4FAB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CCA99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7FD2C5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67908F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13ABDB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1C3D9E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99A992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6C84FB7">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0B9B2C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7B14B0E">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4A0662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D1F277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3B1D38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97E6EE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8C1F02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85E6B4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0D8333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3558C9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4BFD507">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F5D8D85">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7C5EC3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885BD0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14E338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6268E3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F0F493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D558C4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C837BF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C9BAE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86997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04B2BB6">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68C5CC8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648D82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F8E6842">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A536F09">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30D640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765203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0D2332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F589F5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E87F31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w:t>
            </w:r>
          </w:p>
        </w:tc>
      </w:tr>
      <w:tr w14:paraId="4E430B9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B21D23A">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06C71AC">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674193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166E9CC">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1570C5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08AB1B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301F65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44A2D0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C74561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69E180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59102A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FED7B40">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33B27E2">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C91568D">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85C5C2E">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EF9DC8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3CD6B4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718BEA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17FD4E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B23ED1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3957A2B">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24CA07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7554F0F">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7A3E4B7E">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F38A493">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E2AFBE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35E7F3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C411AF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11DC14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BE353A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26E3A6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ED829CF">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C278E1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7DF461D">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AE81FD0">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913E1B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6AB140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9E675C">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BDA289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4E8617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E9A161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FC7E84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1915AC9">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895858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6DCE88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C718AAD">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70EEB3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3AA057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111DC0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F8A7CE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81FC52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7E5607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8A1E42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A5D78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50CED5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162871A">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DF072ED">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F3471A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53EC10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8D686F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54038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8D5A3B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B1E817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0CCBF4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8301C8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6835565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4861F03">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929667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016D1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9329A1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AE1379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CE8696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A4A27F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6077F8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5FF5C2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F4DEBB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EFEAAD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FCE42A">
            <w:pPr>
              <w:jc w:val="both"/>
              <w:rPr>
                <w:rFonts w:hint="eastAsia" w:ascii="宋体" w:hAnsi="宋体" w:eastAsia="宋体" w:cs="宋体"/>
                <w:kern w:val="2"/>
                <w:sz w:val="21"/>
                <w:szCs w:val="21"/>
                <w:lang w:val="en-US"/>
              </w:rPr>
            </w:pPr>
          </w:p>
        </w:tc>
        <w:tc>
          <w:tcPr>
            <w:tcW w:w="855" w:type="dxa"/>
            <w:vMerge w:val="restart"/>
            <w:tcBorders>
              <w:top w:val="nil"/>
              <w:left w:val="nil"/>
              <w:right w:val="single" w:color="auto" w:sz="8" w:space="0"/>
            </w:tcBorders>
            <w:noWrap w:val="0"/>
            <w:tcMar>
              <w:left w:w="108" w:type="dxa"/>
              <w:right w:w="108" w:type="dxa"/>
            </w:tcMar>
            <w:vAlign w:val="center"/>
          </w:tcPr>
          <w:p w14:paraId="311C49AB">
            <w:pPr>
              <w:jc w:val="both"/>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val="en-US"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32859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453133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7B93C1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0EB61E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CF30D5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370A6C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334E47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FC014F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30C5585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F26822F">
            <w:pPr>
              <w:jc w:val="both"/>
              <w:rPr>
                <w:rFonts w:hint="eastAsia" w:ascii="宋体" w:hAnsi="宋体" w:eastAsia="宋体" w:cs="宋体"/>
                <w:kern w:val="2"/>
                <w:sz w:val="21"/>
                <w:szCs w:val="21"/>
                <w:lang w:val="en-US"/>
              </w:rPr>
            </w:pPr>
          </w:p>
        </w:tc>
        <w:tc>
          <w:tcPr>
            <w:tcW w:w="855" w:type="dxa"/>
            <w:vMerge w:val="continue"/>
            <w:tcBorders>
              <w:left w:val="nil"/>
              <w:right w:val="single" w:color="auto" w:sz="8" w:space="0"/>
            </w:tcBorders>
            <w:noWrap w:val="0"/>
            <w:tcMar>
              <w:left w:w="108" w:type="dxa"/>
              <w:right w:w="108" w:type="dxa"/>
            </w:tcMar>
            <w:vAlign w:val="center"/>
          </w:tcPr>
          <w:p w14:paraId="61FA4DF4">
            <w:pPr>
              <w:jc w:val="both"/>
              <w:rPr>
                <w:rFonts w:hint="eastAsia" w:ascii="宋体" w:hAnsi="宋体" w:eastAsia="宋体" w:cs="宋体"/>
                <w:kern w:val="0"/>
                <w:sz w:val="21"/>
                <w:szCs w:val="21"/>
                <w:lang w:val="en-US"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FCE6E9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D89769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4CC74D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A33BFD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3031DA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10D6FF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D83E95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5C1CFD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277A76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61AE617">
            <w:pPr>
              <w:jc w:val="both"/>
              <w:rPr>
                <w:rFonts w:hint="eastAsia" w:ascii="宋体" w:hAnsi="宋体" w:eastAsia="宋体" w:cs="宋体"/>
                <w:kern w:val="2"/>
                <w:sz w:val="21"/>
                <w:szCs w:val="21"/>
                <w:lang w:val="en-US"/>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763F541E">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89852A1">
            <w:pPr>
              <w:widowControl/>
              <w:spacing w:line="300" w:lineRule="exact"/>
              <w:jc w:val="left"/>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02ECD4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37FB53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1628F1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737A9D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3B5FB3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F19D9D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DAA9C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F8C49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4F53387">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685A1D2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FCE9FB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5D9E52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9174A4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AC7B1E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E15DF0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B21FF58">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2641D6D">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w:t>
            </w:r>
          </w:p>
        </w:tc>
      </w:tr>
      <w:tr w14:paraId="7D5E488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12DC3273">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64B615F">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72E4E7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805DE0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C51A5A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5DB644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D38CF5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AE688B">
            <w:pPr>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bl>
    <w:p w14:paraId="17EA621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75DAB4F1">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71E51C3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四、政府信息公开行政复议、行政诉讼情况</w:t>
      </w:r>
    </w:p>
    <w:tbl>
      <w:tblPr>
        <w:tblStyle w:val="4"/>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749B935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4AD1ED">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71FD21C4">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行政诉讼</w:t>
            </w:r>
          </w:p>
        </w:tc>
      </w:tr>
      <w:tr w14:paraId="057DD25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1964AC3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2BA9F66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75AE8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9A1D38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7A462C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43465FE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43C284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复议后起诉</w:t>
            </w:r>
          </w:p>
        </w:tc>
      </w:tr>
      <w:tr w14:paraId="129C55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5AC6F99">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0D889B7F">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108CB491">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16762E4">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7A93AC68">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2F4CCB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5CDC95F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8B8F14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C6E3A9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E5CB44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FC1D29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79EC91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93E1DB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BE5C8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2FD4B0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r>
      <w:tr w14:paraId="64EE8D3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492FEEF">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1EAC06E9">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1</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2DCBDB60">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7B4A824D">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1033B8F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1</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432200A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6098012E">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D995DFB">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55B89AE5">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038A3DE6">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2D0EF1D">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F5BF1EB">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4E0B17AB">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5D24285">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D0A02AF">
            <w:pPr>
              <w:keepNext w:val="0"/>
              <w:keepLines w:val="0"/>
              <w:pageBreakBefore w:val="0"/>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bl>
    <w:p w14:paraId="7C38C809">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618CC8D1">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65C213AC">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kern w:val="0"/>
          <w:sz w:val="32"/>
          <w:szCs w:val="32"/>
          <w:lang w:val="en-US" w:eastAsia="zh-CN" w:bidi="ar-SA"/>
        </w:rPr>
        <w:t>（一）存在的主要问题</w:t>
      </w:r>
    </w:p>
    <w:p w14:paraId="7AAEE29C">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一是</w:t>
      </w:r>
      <w:r>
        <w:rPr>
          <w:rFonts w:hint="default" w:ascii="CESI宋体-GB2312" w:hAnsi="CESI宋体-GB2312" w:eastAsia="方正仿宋_GBK" w:cs="方正仿宋_GBK"/>
          <w:kern w:val="0"/>
          <w:sz w:val="32"/>
          <w:szCs w:val="32"/>
          <w:lang w:val="en-US" w:eastAsia="zh-CN" w:bidi="ar-SA"/>
        </w:rPr>
        <w:t>信息公开的标准化水平有待进一步提升，部分信息的发布格式、要素归类可以进一步统一和规范。二是部分栏目的内容维护时效性有待进一步增强，个别因业务关联度低或更新频率固定的栏目，存在信息更新不够及时的情况。</w:t>
      </w:r>
    </w:p>
    <w:p w14:paraId="3F764438">
      <w:pPr>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CESI宋体-GB2312" w:hAnsi="CESI宋体-GB2312" w:eastAsia="方正仿宋_GBK" w:cs="方正仿宋_GBK"/>
          <w:b/>
          <w:bCs/>
          <w:kern w:val="0"/>
          <w:sz w:val="32"/>
          <w:szCs w:val="32"/>
          <w:lang w:val="en-US" w:eastAsia="zh-CN" w:bidi="ar-SA"/>
        </w:rPr>
      </w:pPr>
      <w:r>
        <w:rPr>
          <w:rFonts w:hint="eastAsia" w:ascii="CESI宋体-GB2312" w:hAnsi="CESI宋体-GB2312" w:eastAsia="方正仿宋_GBK" w:cs="方正仿宋_GBK"/>
          <w:b/>
          <w:bCs/>
          <w:kern w:val="0"/>
          <w:sz w:val="32"/>
          <w:szCs w:val="32"/>
          <w:lang w:val="en-US" w:eastAsia="zh-CN" w:bidi="ar-SA"/>
        </w:rPr>
        <w:t>下一步改进措施</w:t>
      </w:r>
    </w:p>
    <w:p w14:paraId="5648E7C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default" w:ascii="CESI宋体-GB2312" w:hAnsi="CESI宋体-GB2312" w:eastAsia="方正仿宋_GBK" w:cs="方正仿宋_GBK"/>
          <w:kern w:val="0"/>
          <w:sz w:val="32"/>
          <w:szCs w:val="32"/>
          <w:lang w:val="en-US" w:eastAsia="zh-CN" w:bidi="ar-SA"/>
        </w:rPr>
      </w:pPr>
      <w:r>
        <w:rPr>
          <w:rFonts w:hint="eastAsia" w:ascii="CESI宋体-GB2312" w:hAnsi="CESI宋体-GB2312" w:eastAsia="方正仿宋_GBK" w:cs="方正仿宋_GBK"/>
          <w:kern w:val="0"/>
          <w:sz w:val="32"/>
          <w:szCs w:val="32"/>
          <w:lang w:val="en-US" w:eastAsia="zh-CN" w:bidi="ar-SA"/>
        </w:rPr>
        <w:t>一是强化公开意识。切实加强对《中华人民共和国政府信息公开条例》的学习宣传。继续将政务公开作为本局重要工作内容，认真抓好抓落实，进一步提高干部职工的思想认识，不断增强做好政务公开工作的责任感和使命感。二是严格依法公开。按照《中华人民共和国政府信息公开条例》等法规、制度的规定，加强对公众关注度高的信息的梳理，及时公开政务信息，公开内容做到真实、具体、全面。三是完善工作机制。将政务公开工作与党建工作、创建工作及其他业务工作有机地结合起来，完善公开制度、公开行为，建立政务公开长效机制，切实做好我局政务公开的各项工作。</w:t>
      </w:r>
    </w:p>
    <w:p w14:paraId="326095CD">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p>
    <w:p w14:paraId="6E2FF0B6">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5BCB4AB7">
      <w:pPr>
        <w:keepNext w:val="0"/>
        <w:keepLines w:val="0"/>
        <w:pageBreakBefore w:val="0"/>
        <w:widowControl w:val="0"/>
        <w:kinsoku/>
        <w:wordWrap/>
        <w:overflowPunct/>
        <w:topLinePunct w:val="0"/>
        <w:autoSpaceDE/>
        <w:autoSpaceDN/>
        <w:bidi w:val="0"/>
        <w:adjustRightInd/>
        <w:snapToGrid/>
        <w:ind w:firstLine="240" w:firstLineChars="200"/>
        <w:textAlignment w:val="auto"/>
      </w:pPr>
      <w:r>
        <w:rPr>
          <w:rFonts w:hint="eastAsia" w:ascii="宋体" w:hAnsi="宋体" w:eastAsia="宋体" w:cs="宋体"/>
          <w:i w:val="0"/>
          <w:iCs w:val="0"/>
          <w:caps w:val="0"/>
          <w:color w:val="333333"/>
          <w:spacing w:val="0"/>
          <w:sz w:val="12"/>
          <w:szCs w:val="12"/>
          <w:shd w:val="clear" w:fill="FFFFFF"/>
        </w:rPr>
        <w:t>　</w:t>
      </w:r>
      <w:r>
        <w:rPr>
          <w:rFonts w:hint="eastAsia" w:ascii="CESI宋体-GB2312" w:hAnsi="CESI宋体-GB2312" w:eastAsia="方正仿宋_GBK" w:cs="方正仿宋_GBK"/>
          <w:kern w:val="0"/>
          <w:sz w:val="32"/>
          <w:szCs w:val="32"/>
          <w:lang w:val="en-US" w:eastAsia="zh-CN" w:bidi="ar-SA"/>
        </w:rPr>
        <w:t>　2025年，我局收到的政府信息公开申请中无数量、频次超过合理范围的，未收取信息处理费。</w:t>
      </w:r>
      <w:r>
        <w:rPr>
          <w:rFonts w:ascii="方正仿宋_GBK" w:hAnsi="方正仿宋_GBK" w:eastAsia="方正仿宋_GBK" w:cs="方正仿宋_GBK"/>
          <w:sz w:val="32"/>
          <w:szCs w:val="32"/>
        </w:rPr>
        <w:br w:type="page"/>
      </w:r>
    </w:p>
    <w:sectPr>
      <w:pgSz w:w="11906" w:h="16838"/>
      <w:pgMar w:top="2098" w:right="1474" w:bottom="1984" w:left="1587"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35B866-95A3-47E2-817C-7522F2AD3A4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embedRegular r:id="rId2" w:fontKey="{8508011D-5B39-44E7-B360-0A8184068B43}"/>
  </w:font>
  <w:font w:name="方正仿宋_GBK">
    <w:panose1 w:val="03000509000000000000"/>
    <w:charset w:val="86"/>
    <w:family w:val="script"/>
    <w:pitch w:val="default"/>
    <w:sig w:usb0="00000001" w:usb1="080E0000" w:usb2="00000000" w:usb3="00000000" w:csb0="00040000" w:csb1="00000000"/>
    <w:embedRegular r:id="rId3" w:fontKey="{9C67FDE3-1197-4071-8103-0480B82D53D1}"/>
  </w:font>
  <w:font w:name="CESI宋体-GB2312">
    <w:altName w:val="宋体"/>
    <w:panose1 w:val="02000500000000000000"/>
    <w:charset w:val="86"/>
    <w:family w:val="auto"/>
    <w:pitch w:val="default"/>
    <w:sig w:usb0="00000000" w:usb1="00000000" w:usb2="00000010" w:usb3="00000000" w:csb0="0004000F" w:csb1="00000000"/>
    <w:embedRegular r:id="rId4" w:fontKey="{BD22C9FE-842F-44AE-908B-345C7051B481}"/>
  </w:font>
  <w:font w:name="楷体">
    <w:panose1 w:val="02010609060101010101"/>
    <w:charset w:val="86"/>
    <w:family w:val="modern"/>
    <w:pitch w:val="default"/>
    <w:sig w:usb0="800002BF" w:usb1="38CF7CFA" w:usb2="00000016" w:usb3="00000000" w:csb0="00040001" w:csb1="00000000"/>
    <w:embedRegular r:id="rId5" w:fontKey="{5013DB52-D6D4-42C0-A441-3C4DDF6B3C6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7AEE25"/>
    <w:multiLevelType w:val="singleLevel"/>
    <w:tmpl w:val="CC7AEE25"/>
    <w:lvl w:ilvl="0" w:tentative="0">
      <w:start w:val="5"/>
      <w:numFmt w:val="chineseCounting"/>
      <w:suff w:val="nothing"/>
      <w:lvlText w:val="（%1）"/>
      <w:lvlJc w:val="left"/>
      <w:rPr>
        <w:rFonts w:hint="eastAsia"/>
      </w:rPr>
    </w:lvl>
  </w:abstractNum>
  <w:abstractNum w:abstractNumId="1">
    <w:nsid w:val="D9FA3A54"/>
    <w:multiLevelType w:val="singleLevel"/>
    <w:tmpl w:val="D9FA3A54"/>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64"/>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531C8F"/>
    <w:rsid w:val="02C362F0"/>
    <w:rsid w:val="0F531C8F"/>
    <w:rsid w:val="1B1C3409"/>
    <w:rsid w:val="58344DEE"/>
    <w:rsid w:val="5DAB5B22"/>
    <w:rsid w:val="78ED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pPr>
    <w:rPr>
      <w:rFonts w:hint="eastAsia" w:ascii="Times New Roman" w:hAnsi="Times New Roman" w:eastAsia="Times New Roman" w:cs="Times New Roman"/>
      <w:color w:val="000000"/>
      <w:sz w:val="24"/>
      <w:lang w:val="zh-CN"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endnote text"/>
    <w:basedOn w:val="1"/>
    <w:qFormat/>
    <w:uiPriority w:val="0"/>
    <w:rPr>
      <w:rFonts w:cs="Times New Roman"/>
    </w:r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2438</Words>
  <Characters>2508</Characters>
  <Lines>0</Lines>
  <Paragraphs>0</Paragraphs>
  <TotalTime>270</TotalTime>
  <ScaleCrop>false</ScaleCrop>
  <LinksUpToDate>false</LinksUpToDate>
  <CharactersWithSpaces>2510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2026-01-15T01:55:00Z</dcterms:created>
  <dc:creator>左手不右</dc:creator>
  <cp:lastModifiedBy>左手不右</cp:lastModifiedBy>
  <dcterms:modified xsi:type="dcterms:W3CDTF">2026-01-15T08:30:04Z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F84000ECD45347C69CF032E4C08B1649_11</vt:lpwstr>
  </property>
  <property fmtid="{D5CDD505-2E9C-101B-9397-08002B2CF9AE}" pid="4" name="KSOTemplateDocerSaveRecord">
    <vt:lpwstr>eyJoZGlkIjoiYjM4NWNlYWVmNzg3OGE0ZDAxMzk3MWZiODZjMjg1MjgiLCJ1c2VySWQiOiIzODQ2ODI2NjgifQ==</vt:lpwstr>
  </property>
</Properties>
</file>