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461DC1">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jc w:val="center"/>
        <w:textAlignment w:val="auto"/>
        <w:rPr>
          <w:rFonts w:hint="eastAsia" w:ascii="方正小标宋_GBK" w:hAnsi="方正小标宋_GBK" w:eastAsia="方正小标宋_GBK" w:cs="方正小标宋_GBK"/>
          <w:color w:val="000000"/>
          <w:kern w:val="0"/>
          <w:sz w:val="32"/>
          <w:szCs w:val="32"/>
          <w:lang w:val="en-US" w:eastAsia="zh-CN" w:bidi="ar-SA"/>
        </w:rPr>
      </w:pPr>
      <w:bookmarkStart w:id="0" w:name="_GoBack"/>
      <w:r>
        <w:rPr>
          <w:rFonts w:hint="eastAsia" w:ascii="方正小标宋_GBK" w:hAnsi="方正小标宋_GBK" w:eastAsia="方正小标宋_GBK" w:cs="方正小标宋_GBK"/>
          <w:color w:val="000000"/>
          <w:kern w:val="0"/>
          <w:sz w:val="44"/>
          <w:szCs w:val="44"/>
          <w:lang w:val="en-US" w:eastAsia="zh-CN" w:bidi="ar-SA"/>
        </w:rPr>
        <w:t>湘潭县农业农村局2025年政府信息公开工作年度报告</w:t>
      </w:r>
    </w:p>
    <w:bookmarkEnd w:id="0"/>
    <w:p w14:paraId="49369867">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420"/>
        <w:jc w:val="both"/>
        <w:textAlignment w:val="auto"/>
        <w:rPr>
          <w:rFonts w:hint="eastAsia" w:ascii="方正仿宋_GBK" w:hAnsi="方正仿宋_GBK" w:eastAsia="方正仿宋_GBK" w:cs="方正仿宋_GBK"/>
          <w:color w:val="000000"/>
          <w:kern w:val="0"/>
          <w:sz w:val="32"/>
          <w:szCs w:val="32"/>
          <w:lang w:val="en-US" w:eastAsia="zh-CN" w:bidi="ar-SA"/>
        </w:rPr>
      </w:pPr>
    </w:p>
    <w:p w14:paraId="272B7BB7">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CESI宋体-GB2312" w:hAnsi="CESI宋体-GB2312" w:eastAsia="方正仿宋_GBK" w:cs="方正仿宋_GBK"/>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根据《中华人民共和国政府信息公开条例》（国务院令第711号）规定，以及《国务院办公厅政府信息与政务公开办公室关于印发〈中华人民共和国政府信息公开工作年度报告格式〉的通知》（国办公开办函〔2021〕30号）要求编制本报告。本报告所列数据的统计期限为2025年1月1日至2025年12月31日。</w:t>
      </w:r>
    </w:p>
    <w:p w14:paraId="6265FD70">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color w:val="000000"/>
          <w:kern w:val="0"/>
          <w:sz w:val="32"/>
          <w:szCs w:val="32"/>
          <w:lang w:val="en-US" w:eastAsia="zh-CN" w:bidi="ar-SA"/>
        </w:rPr>
      </w:pPr>
      <w:r>
        <w:rPr>
          <w:rFonts w:hint="eastAsia" w:ascii="黑体" w:hAnsi="黑体" w:eastAsia="黑体" w:cs="黑体"/>
          <w:b w:val="0"/>
          <w:bCs/>
          <w:color w:val="000000"/>
          <w:kern w:val="0"/>
          <w:sz w:val="32"/>
          <w:szCs w:val="32"/>
          <w:lang w:val="en-US" w:eastAsia="zh-CN" w:bidi="ar-SA"/>
        </w:rPr>
        <w:t>一、总体情况</w:t>
      </w:r>
    </w:p>
    <w:p w14:paraId="2DE8A2B3">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CESI宋体-GB2312" w:hAnsi="CESI宋体-GB2312" w:eastAsia="方正仿宋_GBK" w:cs="方正仿宋_GBK"/>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　在2025年的工作中，我局深入贯彻落实《中华人民共和国政府信息公开条例》，不断加强工作基础建设，完善信息公开内容，创新信息公开载体，恪尽职守，积极履行政府信息公开职责。我们致力于进一步完善政府信息公开制度，切实推进政务公开工作以及政府门户网站和政务新媒体的内容保障工作，力求全面提升信息公开的质量。</w:t>
      </w:r>
    </w:p>
    <w:p w14:paraId="0E3F15A6">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CESI宋体-GB2312" w:hAnsi="CESI宋体-GB2312" w:eastAsia="方正仿宋_GBK" w:cs="方正仿宋_GBK"/>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　　主动公开方面，2025年我局对照政务公开年度工作要点，充分发挥网站作用，积极推进主动公开。公开的内容主要涉及农业政策，农业技术推广，重大活动，农产品质量安全、财政预决算，安全生产、行政处罚、办事指南及办理结果等。全年主动公开政府信息158件。</w:t>
      </w:r>
    </w:p>
    <w:p w14:paraId="15AFEC3E">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CESI宋体-GB2312" w:hAnsi="CESI宋体-GB2312" w:eastAsia="方正仿宋_GBK" w:cs="方正仿宋_GBK"/>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　　依申请公开方面，我局高度重视，依申请公开事项的答复，明确分管领导审签，由办公室专人负责，依申请公开事项的登记、协调、督查、督办等工作，各股站、室主要负责人为承办责任人，具体确定承办人员，健全完善了依申请公开的受理、转办、反馈机制，确保了办理质量。2025年收到6件政府信息公开申请事项，均依程序进行了回复。</w:t>
      </w:r>
    </w:p>
    <w:p w14:paraId="53B64BF7">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CESI宋体-GB2312" w:hAnsi="CESI宋体-GB2312" w:eastAsia="方正仿宋_GBK" w:cs="方正仿宋_GBK"/>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　　信息管理方面，成立了由局长任组长、分管副局长任副组长、各股室负责人为成员的政务信息公开工作领导小组，构建了以主要领导亲自部署、分管领导深入一线、专门股室精准落实的工作机制，确保了领导力量、股室职责、责任落实的“三到位”，从而保障了政务信息公开工作的扎实有效推进。强化了网络信息的保密审查工作。政府信息的网络发布实行股室初步审查、政策法规股二次审核、局领导最终审签的程序，由办公室指派专人负责在政府信息公开平台上进行发布，严格做到了“涉密信息不触网、上网信息不涉密”，有效防止了涉密信息违规上网公开的现象发生。</w:t>
      </w:r>
    </w:p>
    <w:p w14:paraId="5DED4318">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CESI宋体-GB2312" w:hAnsi="CESI宋体-GB2312" w:eastAsia="方正仿宋_GBK" w:cs="方正仿宋_GBK"/>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　　政府信息公开平台建设方面，继续完善建设重点信息领域公开—涉农补贴专栏；继续遵照执行《湘潭县农业农村局政府信息公开办法》、《湘潭县农业农村局信息发布审查制度》、《湘潭县农业农村局计算机网络安全保密暂行规定》、《湘潭县农业农村局文印制度》、《湘潭县农业农村信息网信息采集与考核办法》等一批涉及信息公开、信息保密、信息采集和发布、文印管理等方面的规章制度，确保政府信息公开严格遵守保密规定。制定、完善并积极推行相关制度，重点强化单位门户网站的安全建设，进一步提升单位门户网站的安全防范能力，完善门户网站网络防篡改功能。</w:t>
      </w:r>
    </w:p>
    <w:p w14:paraId="05E0E4D9">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b w:val="0"/>
          <w:bCs/>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　　在监督保障方面，我局将政府信息公开纳入局系统政务工作考核体系，确保其与业务工作同步研究、同步部署、同步检查。每季度对各股站（室）政府信息公开情况进行通报，以进一步提升政务公开工作的整体水平。</w:t>
      </w:r>
      <w:r>
        <w:rPr>
          <w:rFonts w:hint="eastAsia" w:ascii="黑体" w:hAnsi="黑体" w:eastAsia="黑体" w:cs="黑体"/>
          <w:b w:val="0"/>
          <w:bCs/>
          <w:color w:val="000000"/>
          <w:kern w:val="0"/>
          <w:sz w:val="32"/>
          <w:szCs w:val="32"/>
          <w:lang w:val="en-US" w:eastAsia="zh-CN" w:bidi="ar-SA"/>
        </w:rPr>
        <w:br w:type="page"/>
      </w:r>
      <w:r>
        <w:rPr>
          <w:rFonts w:hint="eastAsia" w:ascii="黑体" w:hAnsi="黑体" w:eastAsia="黑体" w:cs="黑体"/>
          <w:b w:val="0"/>
          <w:bCs/>
          <w:color w:val="000000"/>
          <w:kern w:val="0"/>
          <w:sz w:val="32"/>
          <w:szCs w:val="32"/>
          <w:lang w:val="en-US" w:eastAsia="zh-CN" w:bidi="ar-SA"/>
        </w:rPr>
        <w:t>二、主动公开政府信息情况</w:t>
      </w:r>
    </w:p>
    <w:tbl>
      <w:tblPr>
        <w:tblStyle w:val="2"/>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60835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436904F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第二十条第（一）项</w:t>
            </w:r>
          </w:p>
        </w:tc>
      </w:tr>
      <w:tr w14:paraId="04C02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24054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信息内容</w:t>
            </w:r>
          </w:p>
        </w:tc>
        <w:tc>
          <w:tcPr>
            <w:tcW w:w="1881" w:type="dxa"/>
            <w:noWrap/>
            <w:tcMar>
              <w:left w:w="108" w:type="dxa"/>
              <w:right w:w="108" w:type="dxa"/>
            </w:tcMar>
            <w:vAlign w:val="center"/>
          </w:tcPr>
          <w:p w14:paraId="1B27391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Times New Roman"/>
                <w:color w:val="000000"/>
                <w:kern w:val="2"/>
                <w:sz w:val="21"/>
                <w:szCs w:val="21"/>
                <w:lang w:val="en-US"/>
              </w:rPr>
              <w:t>本年制发件数</w:t>
            </w:r>
          </w:p>
        </w:tc>
        <w:tc>
          <w:tcPr>
            <w:tcW w:w="1979" w:type="dxa"/>
            <w:noWrap w:val="0"/>
            <w:tcMar>
              <w:left w:w="108" w:type="dxa"/>
              <w:right w:w="108" w:type="dxa"/>
            </w:tcMar>
            <w:vAlign w:val="center"/>
          </w:tcPr>
          <w:p w14:paraId="4255149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Times New Roman"/>
                <w:color w:val="000000"/>
                <w:kern w:val="2"/>
                <w:sz w:val="21"/>
                <w:szCs w:val="21"/>
                <w:lang w:val="en-US"/>
              </w:rPr>
              <w:t>本年废止件数</w:t>
            </w:r>
          </w:p>
        </w:tc>
        <w:tc>
          <w:tcPr>
            <w:tcW w:w="2091" w:type="dxa"/>
            <w:noWrap/>
            <w:tcMar>
              <w:left w:w="108" w:type="dxa"/>
              <w:right w:w="108" w:type="dxa"/>
            </w:tcMar>
            <w:vAlign w:val="center"/>
          </w:tcPr>
          <w:p w14:paraId="5DD92BB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Times New Roman"/>
                <w:color w:val="000000"/>
                <w:kern w:val="2"/>
                <w:sz w:val="21"/>
                <w:szCs w:val="21"/>
                <w:lang w:val="en-US"/>
              </w:rPr>
              <w:t>现行有效件数</w:t>
            </w:r>
          </w:p>
        </w:tc>
      </w:tr>
      <w:tr w14:paraId="06AA7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FFB145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规章</w:t>
            </w:r>
          </w:p>
        </w:tc>
        <w:tc>
          <w:tcPr>
            <w:tcW w:w="1881" w:type="dxa"/>
            <w:noWrap/>
            <w:tcMar>
              <w:left w:w="108" w:type="dxa"/>
              <w:right w:w="108" w:type="dxa"/>
            </w:tcMar>
            <w:vAlign w:val="center"/>
          </w:tcPr>
          <w:p w14:paraId="54A0108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1979" w:type="dxa"/>
            <w:noWrap w:val="0"/>
            <w:tcMar>
              <w:left w:w="108" w:type="dxa"/>
              <w:right w:w="108" w:type="dxa"/>
            </w:tcMar>
            <w:vAlign w:val="center"/>
          </w:tcPr>
          <w:p w14:paraId="03E85DE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2091" w:type="dxa"/>
            <w:noWrap/>
            <w:tcMar>
              <w:left w:w="108" w:type="dxa"/>
              <w:right w:w="108" w:type="dxa"/>
            </w:tcMar>
            <w:vAlign w:val="center"/>
          </w:tcPr>
          <w:p w14:paraId="0B1341A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r>
      <w:tr w14:paraId="10C02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52BF4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eastAsia="zh-CN" w:bidi="ar"/>
              </w:rPr>
              <w:t>行政</w:t>
            </w:r>
            <w:r>
              <w:rPr>
                <w:rFonts w:hint="eastAsia" w:ascii="宋体" w:hAnsi="Times New Roman" w:eastAsia="宋体" w:cs="宋体"/>
                <w:color w:val="000000"/>
                <w:kern w:val="0"/>
                <w:sz w:val="21"/>
                <w:szCs w:val="21"/>
                <w:lang w:val="en-US" w:bidi="ar"/>
              </w:rPr>
              <w:t>规范性文件</w:t>
            </w:r>
          </w:p>
        </w:tc>
        <w:tc>
          <w:tcPr>
            <w:tcW w:w="1881" w:type="dxa"/>
            <w:noWrap/>
            <w:tcMar>
              <w:left w:w="108" w:type="dxa"/>
              <w:right w:w="108" w:type="dxa"/>
            </w:tcMar>
            <w:vAlign w:val="center"/>
          </w:tcPr>
          <w:p w14:paraId="7D43323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1979" w:type="dxa"/>
            <w:noWrap w:val="0"/>
            <w:tcMar>
              <w:left w:w="108" w:type="dxa"/>
              <w:right w:w="108" w:type="dxa"/>
            </w:tcMar>
            <w:vAlign w:val="center"/>
          </w:tcPr>
          <w:p w14:paraId="7FCB071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2091" w:type="dxa"/>
            <w:noWrap/>
            <w:tcMar>
              <w:left w:w="108" w:type="dxa"/>
              <w:right w:w="108" w:type="dxa"/>
            </w:tcMar>
            <w:vAlign w:val="center"/>
          </w:tcPr>
          <w:p w14:paraId="505FC1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r>
      <w:tr w14:paraId="6216E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0CCE60A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Times New Roman"/>
                <w:color w:val="000000"/>
                <w:kern w:val="2"/>
                <w:sz w:val="21"/>
                <w:szCs w:val="21"/>
                <w:lang w:val="en-US"/>
              </w:rPr>
              <w:t>第二十条第（五）项</w:t>
            </w:r>
          </w:p>
        </w:tc>
      </w:tr>
      <w:tr w14:paraId="20DA9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D73FB1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33A233E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22DAE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E54911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行政许可</w:t>
            </w:r>
          </w:p>
        </w:tc>
        <w:tc>
          <w:tcPr>
            <w:tcW w:w="5951" w:type="dxa"/>
            <w:gridSpan w:val="3"/>
            <w:noWrap/>
            <w:tcMar>
              <w:left w:w="108" w:type="dxa"/>
              <w:right w:w="108" w:type="dxa"/>
            </w:tcMar>
            <w:vAlign w:val="center"/>
          </w:tcPr>
          <w:p w14:paraId="38A11F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4</w:t>
            </w:r>
          </w:p>
        </w:tc>
      </w:tr>
      <w:tr w14:paraId="3CD15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78DCBF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Times New Roman"/>
                <w:color w:val="000000"/>
                <w:kern w:val="2"/>
                <w:sz w:val="21"/>
                <w:szCs w:val="21"/>
                <w:lang w:val="en-US"/>
              </w:rPr>
              <w:t>第二十条第（六）项</w:t>
            </w:r>
          </w:p>
        </w:tc>
      </w:tr>
      <w:tr w14:paraId="322C7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0FDCECA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123F219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39917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09C1CF7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行政处罚</w:t>
            </w:r>
          </w:p>
        </w:tc>
        <w:tc>
          <w:tcPr>
            <w:tcW w:w="5951" w:type="dxa"/>
            <w:gridSpan w:val="3"/>
            <w:noWrap/>
            <w:tcMar>
              <w:left w:w="108" w:type="dxa"/>
              <w:right w:w="108" w:type="dxa"/>
            </w:tcMar>
            <w:vAlign w:val="center"/>
          </w:tcPr>
          <w:p w14:paraId="534682C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40</w:t>
            </w:r>
          </w:p>
        </w:tc>
      </w:tr>
      <w:tr w14:paraId="4F1DB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67A35CA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行政强制</w:t>
            </w:r>
          </w:p>
        </w:tc>
        <w:tc>
          <w:tcPr>
            <w:tcW w:w="5951" w:type="dxa"/>
            <w:gridSpan w:val="3"/>
            <w:noWrap/>
            <w:tcMar>
              <w:left w:w="108" w:type="dxa"/>
              <w:right w:w="108" w:type="dxa"/>
            </w:tcMar>
            <w:vAlign w:val="center"/>
          </w:tcPr>
          <w:p w14:paraId="3A9702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r>
      <w:tr w14:paraId="7A3E6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5F6759A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Times New Roman"/>
                <w:color w:val="000000"/>
                <w:kern w:val="2"/>
                <w:sz w:val="21"/>
                <w:szCs w:val="21"/>
                <w:lang w:val="en-US"/>
              </w:rPr>
              <w:t>第二十条第（八）项</w:t>
            </w:r>
          </w:p>
        </w:tc>
      </w:tr>
      <w:tr w14:paraId="64C3D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7F540E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16ADD3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default" w:ascii="宋体" w:hAnsi="Times New Roman" w:eastAsia="宋体" w:cs="宋体"/>
                <w:color w:val="000000"/>
                <w:kern w:val="0"/>
                <w:sz w:val="21"/>
                <w:szCs w:val="21"/>
                <w:lang w:val="en-US" w:eastAsia="zh-CN" w:bidi="ar"/>
              </w:rPr>
              <w:t>本年收费金额（单位：万元）</w:t>
            </w:r>
          </w:p>
        </w:tc>
      </w:tr>
      <w:tr w14:paraId="3A857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0B2CF89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行政事业性收费</w:t>
            </w:r>
          </w:p>
        </w:tc>
        <w:tc>
          <w:tcPr>
            <w:tcW w:w="5951" w:type="dxa"/>
            <w:gridSpan w:val="3"/>
            <w:noWrap/>
            <w:tcMar>
              <w:left w:w="108" w:type="dxa"/>
              <w:right w:w="108" w:type="dxa"/>
            </w:tcMar>
            <w:vAlign w:val="center"/>
          </w:tcPr>
          <w:p w14:paraId="77EE82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r>
    </w:tbl>
    <w:p w14:paraId="288E1140">
      <w:pPr>
        <w:widowControl/>
        <w:spacing w:before="0" w:beforeAutospacing="0" w:after="240" w:afterAutospacing="0"/>
        <w:ind w:left="0" w:right="0" w:firstLine="640" w:firstLineChars="200"/>
        <w:jc w:val="both"/>
        <w:rPr>
          <w:rFonts w:hint="eastAsia" w:ascii="黑体" w:hAnsi="黑体" w:eastAsia="黑体" w:cs="黑体"/>
          <w:b w:val="0"/>
          <w:bCs/>
          <w:color w:val="000000"/>
          <w:kern w:val="0"/>
          <w:sz w:val="32"/>
          <w:szCs w:val="32"/>
          <w:lang w:val="en-US" w:eastAsia="zh-CN" w:bidi="ar-SA"/>
        </w:rPr>
      </w:pPr>
      <w:r>
        <w:rPr>
          <w:rFonts w:hint="eastAsia" w:ascii="黑体" w:hAnsi="黑体" w:eastAsia="黑体" w:cs="黑体"/>
          <w:b w:val="0"/>
          <w:bCs/>
          <w:color w:val="000000"/>
          <w:kern w:val="0"/>
          <w:sz w:val="32"/>
          <w:szCs w:val="32"/>
          <w:lang w:val="en-US" w:eastAsia="zh-CN" w:bidi="ar-SA"/>
        </w:rPr>
        <w:br w:type="page"/>
      </w:r>
      <w:r>
        <w:rPr>
          <w:rFonts w:hint="eastAsia" w:ascii="黑体" w:hAnsi="黑体" w:eastAsia="黑体" w:cs="黑体"/>
          <w:b w:val="0"/>
          <w:bCs/>
          <w:color w:val="000000"/>
          <w:kern w:val="0"/>
          <w:sz w:val="32"/>
          <w:szCs w:val="32"/>
          <w:lang w:val="en-US" w:eastAsia="zh-CN" w:bidi="ar-SA"/>
        </w:rPr>
        <w:t>三、</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收到和处理政府信息公开申请情况</w:t>
      </w:r>
    </w:p>
    <w:tbl>
      <w:tblPr>
        <w:tblStyle w:val="2"/>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51B9469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FD988AF">
            <w:pPr>
              <w:widowControl/>
              <w:spacing w:line="300" w:lineRule="exact"/>
              <w:jc w:val="center"/>
              <w:rPr>
                <w:rFonts w:hint="eastAsia" w:ascii="宋体" w:hAnsi="宋体" w:eastAsia="宋体" w:cs="宋体"/>
                <w:color w:val="000000"/>
                <w:kern w:val="2"/>
                <w:sz w:val="21"/>
                <w:szCs w:val="21"/>
                <w:lang w:val="en-US"/>
              </w:rPr>
            </w:pPr>
            <w:r>
              <w:rPr>
                <w:rFonts w:hint="eastAsia" w:ascii="楷体" w:hAnsi="楷体" w:eastAsia="楷体" w:cs="楷体"/>
                <w:color w:val="000000"/>
                <w:kern w:val="2"/>
                <w:sz w:val="24"/>
                <w:szCs w:val="24"/>
                <w:lang w:val="en-US"/>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07D50CC4">
            <w:pPr>
              <w:widowControl/>
              <w:spacing w:line="30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申请人情况</w:t>
            </w:r>
          </w:p>
        </w:tc>
      </w:tr>
      <w:tr w14:paraId="6F78F23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9698CA3">
            <w:pPr>
              <w:jc w:val="both"/>
              <w:rPr>
                <w:rFonts w:hint="eastAsia" w:ascii="宋体" w:hAnsi="宋体" w:eastAsia="宋体" w:cs="宋体"/>
                <w:color w:val="000000"/>
                <w:kern w:val="2"/>
                <w:sz w:val="21"/>
                <w:szCs w:val="21"/>
                <w:lang w:val="en-US"/>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684655B2">
            <w:pPr>
              <w:widowControl/>
              <w:spacing w:line="26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177DA7F8">
            <w:pPr>
              <w:widowControl/>
              <w:spacing w:line="26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2DECB8E4">
            <w:pPr>
              <w:widowControl/>
              <w:spacing w:line="30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总计</w:t>
            </w:r>
          </w:p>
        </w:tc>
      </w:tr>
      <w:tr w14:paraId="62DD28A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DDDF8F2">
            <w:pPr>
              <w:jc w:val="both"/>
              <w:rPr>
                <w:rFonts w:hint="eastAsia" w:ascii="宋体" w:hAnsi="宋体" w:eastAsia="宋体" w:cs="宋体"/>
                <w:color w:val="000000"/>
                <w:kern w:val="2"/>
                <w:sz w:val="21"/>
                <w:szCs w:val="21"/>
                <w:lang w:val="en-US"/>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7A2C1516">
            <w:pPr>
              <w:jc w:val="both"/>
              <w:rPr>
                <w:rFonts w:hint="eastAsia" w:ascii="宋体" w:hAnsi="宋体" w:eastAsia="宋体" w:cs="宋体"/>
                <w:color w:val="000000"/>
                <w:kern w:val="2"/>
                <w:sz w:val="21"/>
                <w:szCs w:val="21"/>
                <w:lang w:val="en-US"/>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BC7970E">
            <w:pPr>
              <w:widowControl/>
              <w:spacing w:line="26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D609A46">
            <w:pPr>
              <w:widowControl/>
              <w:spacing w:line="26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ACE85A6">
            <w:pPr>
              <w:widowControl/>
              <w:spacing w:line="26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0D3F9D5">
            <w:pPr>
              <w:widowControl/>
              <w:spacing w:line="26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2DDA371">
            <w:pPr>
              <w:widowControl/>
              <w:spacing w:line="26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428EA5D">
            <w:pPr>
              <w:jc w:val="both"/>
              <w:rPr>
                <w:rFonts w:hint="eastAsia" w:ascii="宋体" w:hAnsi="宋体" w:eastAsia="宋体" w:cs="宋体"/>
                <w:color w:val="000000"/>
                <w:kern w:val="2"/>
                <w:sz w:val="21"/>
                <w:szCs w:val="21"/>
                <w:lang w:val="en-US"/>
              </w:rPr>
            </w:pPr>
          </w:p>
        </w:tc>
      </w:tr>
      <w:tr w14:paraId="7EA19C0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1DD85553">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FADE38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8C5F8E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ACDE9E0">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166BB00">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A658596">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899495D">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27AAE2F">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w:t>
            </w:r>
          </w:p>
        </w:tc>
      </w:tr>
      <w:tr w14:paraId="64ED887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7D7B92A0">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A847504">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E205AEF">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DFE19F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8700F7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18CB50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298324C">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3D3CA93">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6EB091E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4558CBFE">
            <w:pPr>
              <w:widowControl/>
              <w:spacing w:line="300" w:lineRule="exact"/>
              <w:jc w:val="center"/>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1069E5DE">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5E4E775">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70DF92F">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2DF47F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A07DDC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D93CB0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C1D2ED7">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6470714">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4</w:t>
            </w:r>
          </w:p>
        </w:tc>
      </w:tr>
      <w:tr w14:paraId="0B8F086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FE6BD92">
            <w:pPr>
              <w:jc w:val="both"/>
              <w:rPr>
                <w:rFonts w:hint="eastAsia" w:ascii="宋体" w:hAnsi="宋体" w:eastAsia="宋体" w:cs="宋体"/>
                <w:color w:val="000000"/>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4673743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（二）部分公开</w:t>
            </w:r>
            <w:r>
              <w:rPr>
                <w:rFonts w:hint="eastAsia" w:ascii="楷体" w:hAnsi="楷体" w:eastAsia="楷体" w:cs="楷体"/>
                <w:color w:val="000000"/>
                <w:kern w:val="0"/>
                <w:sz w:val="21"/>
                <w:szCs w:val="21"/>
                <w:lang w:val="en-US"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820DB4F">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7632AD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2D5289B">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488127F">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ABEB22C">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3C1C912">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11D9B82">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4000F93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184F7FC">
            <w:pPr>
              <w:jc w:val="both"/>
              <w:rPr>
                <w:rFonts w:hint="eastAsia" w:ascii="宋体" w:hAnsi="宋体" w:eastAsia="宋体" w:cs="宋体"/>
                <w:color w:val="000000"/>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05617C6D">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306130D">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005A615">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A1D4999">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ECCDF0C">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C56389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B632D3C">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4449BC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DBCF087">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0A0FA59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909B2BC">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7633B3E">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F2E590E">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5AF7A9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4C5763B">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8D7180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767095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538A15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BADC5E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E47905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0C700B7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782876F">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B31DA73">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544B1E5">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0543F3F">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763D2E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A05A07C">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AD5D1C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91D3A96">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C6EB609">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17B1C0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570F3EB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276EC5C">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715231A">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E3FB2DB">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0DC869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33B0099">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530CDBE">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732418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5BD18BF">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297E92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3C12DD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00BF681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DDEEBE9">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4BE23D1">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33E6B91">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697B6E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23E6AF6">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BEE4A32">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2A15F1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2037AE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282D822">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0E96B0E">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1175269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B74BA0D">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FF9DE58">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0833169">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970C54E">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6DC373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8EC58D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D806DB6">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5512E6C">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827C896">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E4E445A">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11F2856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B8A85B9">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B9BF3EF">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4DFAB79">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68466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7B3AE1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AA1D2D6">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98D9DD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CF23CF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C4B6DD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EF405DE">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170F972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22189FA">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4793C95">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F7DCB03">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CE55C7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867419C">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E719C7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1A680F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DE6A22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2E87B1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A3FE8D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04CD5AA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FACEDC4">
            <w:pPr>
              <w:jc w:val="both"/>
              <w:rPr>
                <w:rFonts w:hint="eastAsia" w:ascii="宋体" w:hAnsi="宋体" w:eastAsia="宋体" w:cs="宋体"/>
                <w:color w:val="000000"/>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2FF7B6B3">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EBD9E8A">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3A2C625">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CB1736A">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5E498A9">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731BBA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3E6D632">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9799A3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84564E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2</w:t>
            </w:r>
          </w:p>
        </w:tc>
      </w:tr>
      <w:tr w14:paraId="404161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1CD871C">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3327368">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852DAF3">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D915555">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1599AB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B0CDF9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58C642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6B587C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5D179CB">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39E7291">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17E0724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6059ABB">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7F8EB9E">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7CCFC47">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D36FAC6">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D30A74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9DE1DA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C35F3D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930CAA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CFB455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D7CF6E4">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7F2D262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7E7A4D4">
            <w:pPr>
              <w:jc w:val="both"/>
              <w:rPr>
                <w:rFonts w:hint="eastAsia" w:ascii="宋体" w:hAnsi="宋体" w:eastAsia="宋体" w:cs="宋体"/>
                <w:color w:val="000000"/>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6639ECBC">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9547E54">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AA75ECE">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DDC8A1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88C186C">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8A09352">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21E26C9">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8ADB9A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C1F2DD6">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5DBFD21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048374E">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C9B8753">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A7C7D2A">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0297217">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0EBA4FA">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D0B00D9">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ACD169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D943222">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407439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5C07003">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740F13D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4CE7BE4">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51614BF">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FED5B3D">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C83834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FD0895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02757EE">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C3ADF5B">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6E574AF">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657C816">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64A6C5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6186EE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743AA31">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C03EA80">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EDC3EC7">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84663DB">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135CBB0">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4BF7C1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45457F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E443D1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FD60326">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8360D8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18ACD89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3168884">
            <w:pPr>
              <w:jc w:val="both"/>
              <w:rPr>
                <w:rFonts w:hint="eastAsia" w:ascii="宋体" w:hAnsi="宋体" w:eastAsia="宋体" w:cs="宋体"/>
                <w:color w:val="000000"/>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7054A17">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058867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A560CF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A2A33DF">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070951F">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6B9048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908F7A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A30B42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1CDA65F">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23364DE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4A36DF4">
            <w:pPr>
              <w:jc w:val="both"/>
              <w:rPr>
                <w:rFonts w:hint="eastAsia" w:ascii="宋体" w:hAnsi="宋体" w:eastAsia="宋体" w:cs="宋体"/>
                <w:color w:val="000000"/>
                <w:kern w:val="2"/>
                <w:sz w:val="21"/>
                <w:szCs w:val="21"/>
                <w:lang w:val="en-US"/>
              </w:rPr>
            </w:pPr>
          </w:p>
        </w:tc>
        <w:tc>
          <w:tcPr>
            <w:tcW w:w="855" w:type="dxa"/>
            <w:vMerge w:val="restart"/>
            <w:tcBorders>
              <w:top w:val="nil"/>
              <w:left w:val="nil"/>
              <w:right w:val="single" w:color="auto" w:sz="8" w:space="0"/>
            </w:tcBorders>
            <w:noWrap w:val="0"/>
            <w:tcMar>
              <w:left w:w="108" w:type="dxa"/>
              <w:right w:w="108" w:type="dxa"/>
            </w:tcMar>
            <w:vAlign w:val="center"/>
          </w:tcPr>
          <w:p w14:paraId="5B9485D2">
            <w:pPr>
              <w:jc w:val="both"/>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w:t>
            </w:r>
            <w:r>
              <w:rPr>
                <w:rFonts w:hint="eastAsia" w:ascii="宋体" w:hAnsi="宋体" w:eastAsia="宋体" w:cs="宋体"/>
                <w:color w:val="000000"/>
                <w:kern w:val="0"/>
                <w:sz w:val="21"/>
                <w:szCs w:val="21"/>
                <w:lang w:val="en-US" w:eastAsia="zh-CN" w:bidi="ar"/>
              </w:rPr>
              <w:t>六</w:t>
            </w:r>
            <w:r>
              <w:rPr>
                <w:rFonts w:hint="eastAsia" w:ascii="宋体" w:hAnsi="宋体" w:eastAsia="宋体" w:cs="宋体"/>
                <w:color w:val="000000"/>
                <w:kern w:val="0"/>
                <w:sz w:val="21"/>
                <w:szCs w:val="21"/>
                <w:lang w:val="en-US" w:bidi="ar"/>
              </w:rPr>
              <w:t>）</w:t>
            </w:r>
            <w:r>
              <w:rPr>
                <w:rFonts w:hint="eastAsia" w:ascii="宋体" w:hAnsi="宋体" w:eastAsia="宋体" w:cs="宋体"/>
                <w:color w:val="000000"/>
                <w:kern w:val="0"/>
                <w:sz w:val="21"/>
                <w:szCs w:val="21"/>
                <w:lang w:val="en-US" w:eastAsia="zh-CN" w:bidi="ar"/>
              </w:rPr>
              <w:t>其他</w:t>
            </w:r>
            <w:r>
              <w:rPr>
                <w:rFonts w:hint="eastAsia" w:ascii="宋体" w:hAnsi="宋体" w:eastAsia="宋体" w:cs="宋体"/>
                <w:color w:val="000000"/>
                <w:kern w:val="0"/>
                <w:sz w:val="21"/>
                <w:szCs w:val="21"/>
                <w:lang w:val="en-US"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0AAECC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val="en-US" w:bidi="ar"/>
              </w:rPr>
            </w:pPr>
            <w:r>
              <w:rPr>
                <w:rFonts w:hint="eastAsia" w:ascii="宋体" w:hAnsi="宋体" w:eastAsia="宋体" w:cs="宋体"/>
                <w:color w:val="000000"/>
                <w:kern w:val="0"/>
                <w:sz w:val="21"/>
                <w:szCs w:val="21"/>
                <w:lang w:val="en-US"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70BC8E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13F6C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840E8C8">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4A73FF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C146A2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72EF0C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7370517">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4C5C8C1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9519C9D">
            <w:pPr>
              <w:jc w:val="both"/>
              <w:rPr>
                <w:rFonts w:hint="eastAsia" w:ascii="宋体" w:hAnsi="宋体" w:eastAsia="宋体" w:cs="宋体"/>
                <w:color w:val="000000"/>
                <w:kern w:val="2"/>
                <w:sz w:val="21"/>
                <w:szCs w:val="21"/>
                <w:lang w:val="en-US"/>
              </w:rPr>
            </w:pPr>
          </w:p>
        </w:tc>
        <w:tc>
          <w:tcPr>
            <w:tcW w:w="855" w:type="dxa"/>
            <w:vMerge w:val="continue"/>
            <w:tcBorders>
              <w:left w:val="nil"/>
              <w:right w:val="single" w:color="auto" w:sz="8" w:space="0"/>
            </w:tcBorders>
            <w:noWrap w:val="0"/>
            <w:tcMar>
              <w:left w:w="108" w:type="dxa"/>
              <w:right w:w="108" w:type="dxa"/>
            </w:tcMar>
            <w:vAlign w:val="center"/>
          </w:tcPr>
          <w:p w14:paraId="2F7C7B37">
            <w:pPr>
              <w:jc w:val="both"/>
              <w:rPr>
                <w:rFonts w:hint="eastAsia" w:ascii="宋体" w:hAnsi="宋体" w:eastAsia="宋体" w:cs="宋体"/>
                <w:color w:val="000000"/>
                <w:kern w:val="0"/>
                <w:sz w:val="21"/>
                <w:szCs w:val="21"/>
                <w:lang w:val="en-US"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2D13D4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000000"/>
                <w:kern w:val="0"/>
                <w:sz w:val="21"/>
                <w:szCs w:val="21"/>
                <w:lang w:val="en-US" w:bidi="ar"/>
              </w:rPr>
            </w:pPr>
            <w:r>
              <w:rPr>
                <w:rFonts w:hint="eastAsia" w:ascii="宋体" w:hAnsi="宋体" w:eastAsia="宋体" w:cs="宋体"/>
                <w:color w:val="000000"/>
                <w:kern w:val="0"/>
                <w:sz w:val="21"/>
                <w:szCs w:val="21"/>
                <w:lang w:val="en-US"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BAB2A5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129A042">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D091FE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E28557B">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7C1EA9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16A357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1F16E4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463FFF6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FDC8994">
            <w:pPr>
              <w:jc w:val="both"/>
              <w:rPr>
                <w:rFonts w:hint="eastAsia" w:ascii="宋体" w:hAnsi="宋体" w:eastAsia="宋体" w:cs="宋体"/>
                <w:color w:val="000000"/>
                <w:kern w:val="2"/>
                <w:sz w:val="21"/>
                <w:szCs w:val="21"/>
                <w:lang w:val="en-US"/>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64FD6F81">
            <w:pPr>
              <w:jc w:val="both"/>
              <w:rPr>
                <w:rFonts w:hint="eastAsia" w:ascii="宋体" w:hAnsi="宋体" w:eastAsia="宋体" w:cs="宋体"/>
                <w:color w:val="000000"/>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0D18130">
            <w:pPr>
              <w:widowControl/>
              <w:spacing w:line="300" w:lineRule="exact"/>
              <w:jc w:val="left"/>
              <w:rPr>
                <w:rFonts w:hint="eastAsia" w:ascii="宋体" w:hAnsi="宋体" w:eastAsia="宋体" w:cs="宋体"/>
                <w:color w:val="000000"/>
                <w:kern w:val="0"/>
                <w:sz w:val="21"/>
                <w:szCs w:val="21"/>
                <w:lang w:val="en-US" w:bidi="ar"/>
              </w:rPr>
            </w:pPr>
            <w:r>
              <w:rPr>
                <w:rFonts w:hint="eastAsia" w:ascii="宋体" w:hAnsi="宋体" w:eastAsia="宋体" w:cs="宋体"/>
                <w:color w:val="000000"/>
                <w:kern w:val="0"/>
                <w:sz w:val="21"/>
                <w:szCs w:val="21"/>
                <w:lang w:val="en-US"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F9D993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AB7C302">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3BB74D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C1705F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14273FD">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C0C7C19">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7E7A43">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r w14:paraId="5560D1A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CAE3D79">
            <w:pPr>
              <w:jc w:val="both"/>
              <w:rPr>
                <w:rFonts w:hint="eastAsia" w:ascii="宋体" w:hAnsi="宋体" w:eastAsia="宋体" w:cs="宋体"/>
                <w:color w:val="000000"/>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62C230F5">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1E34332">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3E6C668">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21E4D2F">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BDFC355">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ED2C8B1">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B187DB3">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EDF4F0D">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w:t>
            </w:r>
          </w:p>
        </w:tc>
      </w:tr>
      <w:tr w14:paraId="06D7F5C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2F56C470">
            <w:pPr>
              <w:widowControl/>
              <w:spacing w:line="300" w:lineRule="exact"/>
              <w:jc w:val="left"/>
              <w:rPr>
                <w:rFonts w:hint="eastAsia" w:ascii="宋体" w:hAnsi="宋体" w:eastAsia="宋体" w:cs="宋体"/>
                <w:color w:val="000000"/>
                <w:kern w:val="2"/>
                <w:sz w:val="21"/>
                <w:szCs w:val="21"/>
                <w:lang w:val="en-US"/>
              </w:rPr>
            </w:pPr>
            <w:r>
              <w:rPr>
                <w:rFonts w:hint="eastAsia" w:ascii="宋体" w:hAnsi="宋体" w:eastAsia="宋体" w:cs="宋体"/>
                <w:color w:val="000000"/>
                <w:kern w:val="0"/>
                <w:sz w:val="21"/>
                <w:szCs w:val="21"/>
                <w:lang w:val="en-US"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BEE66B9">
            <w:pPr>
              <w:widowControl/>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49238C4">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0FCD46B">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165D27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E3BB11A">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190058E">
            <w:pPr>
              <w:widowControl/>
              <w:spacing w:line="300" w:lineRule="exact"/>
              <w:jc w:val="center"/>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A86690">
            <w:pPr>
              <w:spacing w:line="300" w:lineRule="exact"/>
              <w:jc w:val="center"/>
              <w:rPr>
                <w:rFonts w:hint="default"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0</w:t>
            </w:r>
          </w:p>
        </w:tc>
      </w:tr>
    </w:tbl>
    <w:p w14:paraId="4099A449">
      <w:pPr>
        <w:keepNext w:val="0"/>
        <w:keepLines w:val="0"/>
        <w:pageBreakBefore w:val="0"/>
        <w:widowControl/>
        <w:tabs>
          <w:tab w:val="left" w:pos="493"/>
        </w:tabs>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ab/>
      </w:r>
    </w:p>
    <w:p w14:paraId="20F6E7F7">
      <w:pPr>
        <w:keepNext w:val="0"/>
        <w:keepLines w:val="0"/>
        <w:pageBreakBefore w:val="0"/>
        <w:widowControl/>
        <w:tabs>
          <w:tab w:val="left" w:pos="493"/>
        </w:tabs>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p>
    <w:p w14:paraId="59D59BE9">
      <w:pPr>
        <w:keepNext w:val="0"/>
        <w:keepLines w:val="0"/>
        <w:pageBreakBefore w:val="0"/>
        <w:widowControl/>
        <w:tabs>
          <w:tab w:val="left" w:pos="493"/>
        </w:tabs>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四、政府信息公开行政复议、行政诉讼情况</w:t>
      </w:r>
    </w:p>
    <w:tbl>
      <w:tblPr>
        <w:tblStyle w:val="2"/>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4A4B98B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4FCC16C">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26EEBEE9">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行政诉讼</w:t>
            </w:r>
          </w:p>
        </w:tc>
      </w:tr>
      <w:tr w14:paraId="58EC8D9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574ED31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7596168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E92309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26F147F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774AA01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7BA2ABE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6B87292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复议后起诉</w:t>
            </w:r>
          </w:p>
        </w:tc>
      </w:tr>
      <w:tr w14:paraId="65D5ADC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A491D49">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kern w:val="2"/>
                <w:sz w:val="21"/>
                <w:szCs w:val="21"/>
                <w:lang w:val="en-US"/>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02EDF232">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8E772EF">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2934673E">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kern w:val="2"/>
                <w:sz w:val="21"/>
                <w:szCs w:val="21"/>
                <w:lang w:val="en-US"/>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1BCBC246">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000000"/>
                <w:kern w:val="2"/>
                <w:sz w:val="21"/>
                <w:szCs w:val="21"/>
                <w:lang w:val="en-US"/>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57FC5BB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648A45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AD2992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61CA25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EA1BC7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F364ED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5CD86A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966CA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2DBEB2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32ED99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color w:val="000000"/>
                <w:kern w:val="2"/>
                <w:sz w:val="21"/>
                <w:szCs w:val="21"/>
                <w:lang w:val="en-US"/>
              </w:rPr>
            </w:pPr>
            <w:r>
              <w:rPr>
                <w:rFonts w:hint="eastAsia" w:ascii="宋体" w:hAnsi="Times New Roman" w:eastAsia="宋体" w:cs="宋体"/>
                <w:color w:val="000000"/>
                <w:kern w:val="0"/>
                <w:sz w:val="21"/>
                <w:szCs w:val="21"/>
                <w:lang w:val="en-US" w:bidi="ar"/>
              </w:rPr>
              <w:t>总计</w:t>
            </w:r>
          </w:p>
        </w:tc>
      </w:tr>
      <w:tr w14:paraId="6F8BC6D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0E043AF">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3</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7938336D">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1F4210EC">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5618F739">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1B60A5DF">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2CFD4A59">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1</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1AE5F97D">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3D735E87">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35C7D194">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72C0CBD8">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6C3AEE0">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0B534B38">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6F1FBF84">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4D365ECE">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715CE66">
            <w:pPr>
              <w:keepNext w:val="0"/>
              <w:keepLines w:val="0"/>
              <w:pageBreakBefore w:val="0"/>
              <w:kinsoku/>
              <w:wordWrap/>
              <w:overflowPunct/>
              <w:topLinePunct w:val="0"/>
              <w:autoSpaceDE/>
              <w:autoSpaceDN/>
              <w:bidi w:val="0"/>
              <w:adjustRightInd/>
              <w:snapToGrid/>
              <w:jc w:val="center"/>
              <w:textAlignment w:val="auto"/>
              <w:rPr>
                <w:rFonts w:hint="default" w:ascii="宋体" w:hAnsi="Times New Roman" w:eastAsia="宋体" w:cs="Times New Roman"/>
                <w:color w:val="000000"/>
                <w:kern w:val="2"/>
                <w:sz w:val="21"/>
                <w:szCs w:val="21"/>
                <w:lang w:val="en-US" w:eastAsia="zh-CN"/>
              </w:rPr>
            </w:pPr>
            <w:r>
              <w:rPr>
                <w:rFonts w:hint="eastAsia" w:ascii="宋体" w:hAnsi="Times New Roman" w:eastAsia="宋体" w:cs="Times New Roman"/>
                <w:color w:val="000000"/>
                <w:kern w:val="2"/>
                <w:sz w:val="21"/>
                <w:szCs w:val="21"/>
                <w:lang w:val="en-US" w:eastAsia="zh-CN"/>
              </w:rPr>
              <w:t>0</w:t>
            </w:r>
          </w:p>
        </w:tc>
      </w:tr>
    </w:tbl>
    <w:p w14:paraId="558C61D8">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color w:val="000000"/>
          <w:kern w:val="0"/>
          <w:sz w:val="32"/>
          <w:szCs w:val="32"/>
          <w:lang w:val="en-US" w:eastAsia="zh-CN" w:bidi="ar-SA"/>
        </w:rPr>
      </w:pPr>
    </w:p>
    <w:p w14:paraId="6B04F96D">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Times New Roman" w:eastAsia="宋体" w:cs="宋体"/>
          <w:color w:val="000000"/>
          <w:kern w:val="0"/>
          <w:sz w:val="24"/>
          <w:szCs w:val="24"/>
          <w:lang w:val="en-US" w:eastAsia="zh-CN" w:bidi="ar-SA"/>
        </w:rPr>
      </w:pPr>
      <w:r>
        <w:rPr>
          <w:rFonts w:hint="eastAsia" w:ascii="黑体" w:hAnsi="黑体" w:eastAsia="黑体" w:cs="黑体"/>
          <w:b w:val="0"/>
          <w:bCs/>
          <w:color w:val="000000"/>
          <w:kern w:val="0"/>
          <w:sz w:val="32"/>
          <w:szCs w:val="32"/>
          <w:lang w:val="en-US" w:eastAsia="zh-CN" w:bidi="ar-SA"/>
        </w:rPr>
        <w:t>五、存在的主要问题及改进情况</w:t>
      </w:r>
    </w:p>
    <w:p w14:paraId="10990131">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在政府信息公开工作中，仍存在部分内容更新不及时的问题，主要表现为部分栏目信息长期未动态维护，政策文件、通知公告、工作动态等信息发布滞后，影响了公众获取最新政务信息的时效性和准确性。针对该问题，我单位已采取以下改进措施：一是健全信息发布审核与更新机制，明确各科室信息报送和更新责任；二是建立定期巡查制度，对网站及公开平台栏目开展月度检查，督促及时更新。</w:t>
      </w:r>
    </w:p>
    <w:p w14:paraId="18E23A51">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color w:val="000000"/>
          <w:kern w:val="0"/>
          <w:sz w:val="32"/>
          <w:szCs w:val="32"/>
          <w:lang w:val="en-US" w:eastAsia="zh-CN" w:bidi="ar-SA"/>
        </w:rPr>
      </w:pPr>
      <w:r>
        <w:rPr>
          <w:rFonts w:hint="eastAsia" w:ascii="黑体" w:hAnsi="黑体" w:eastAsia="黑体" w:cs="黑体"/>
          <w:b w:val="0"/>
          <w:bCs/>
          <w:color w:val="000000"/>
          <w:kern w:val="0"/>
          <w:sz w:val="32"/>
          <w:szCs w:val="32"/>
          <w:lang w:val="en-US" w:eastAsia="zh-CN" w:bidi="ar-SA"/>
        </w:rPr>
        <w:t>六、其他需要报告的事项</w:t>
      </w:r>
    </w:p>
    <w:p w14:paraId="25CCA6E7">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CESI宋体-GB2312" w:hAnsi="CESI宋体-GB2312" w:eastAsia="方正仿宋_GBK" w:cs="方正仿宋_GBK"/>
          <w:color w:val="000000"/>
          <w:kern w:val="0"/>
          <w:sz w:val="32"/>
          <w:szCs w:val="32"/>
          <w:lang w:val="en-US" w:eastAsia="zh-CN" w:bidi="ar-SA"/>
        </w:rPr>
      </w:pPr>
      <w:r>
        <w:rPr>
          <w:rFonts w:hint="eastAsia" w:ascii="CESI宋体-GB2312" w:hAnsi="CESI宋体-GB2312" w:eastAsia="方正仿宋_GBK" w:cs="方正仿宋_GBK"/>
          <w:color w:val="000000"/>
          <w:kern w:val="0"/>
          <w:sz w:val="32"/>
          <w:szCs w:val="32"/>
          <w:lang w:val="en-US" w:eastAsia="zh-CN" w:bidi="ar-SA"/>
        </w:rPr>
        <w:t>信息处理费收费情况：本年度未收取信息处理费</w:t>
      </w:r>
    </w:p>
    <w:p w14:paraId="695C3AA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F6C553A-A551-41B1-902D-5F206097D57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D6C224C-5881-4987-B079-2AADF292CD09}"/>
  </w:font>
  <w:font w:name="方正小标宋_GBK">
    <w:panose1 w:val="02000000000000000000"/>
    <w:charset w:val="86"/>
    <w:family w:val="script"/>
    <w:pitch w:val="default"/>
    <w:sig w:usb0="A00002BF" w:usb1="38CF7CFA" w:usb2="00082016" w:usb3="00000000" w:csb0="00040001" w:csb1="00000000"/>
    <w:embedRegular r:id="rId3" w:fontKey="{1412D5C1-6D2F-4EC3-9025-2DF2A39C834F}"/>
  </w:font>
  <w:font w:name="方正仿宋_GBK">
    <w:panose1 w:val="02000000000000000000"/>
    <w:charset w:val="86"/>
    <w:family w:val="script"/>
    <w:pitch w:val="default"/>
    <w:sig w:usb0="A00002BF" w:usb1="38CF7CFA" w:usb2="00082016" w:usb3="00000000" w:csb0="00040001" w:csb1="00000000"/>
    <w:embedRegular r:id="rId4" w:fontKey="{07C17F38-D114-4F57-8EAA-8A8D250F243B}"/>
  </w:font>
  <w:font w:name="CESI宋体-GB2312">
    <w:altName w:val="宋体"/>
    <w:panose1 w:val="02000500000000000000"/>
    <w:charset w:val="86"/>
    <w:family w:val="auto"/>
    <w:pitch w:val="default"/>
    <w:sig w:usb0="00000000" w:usb1="00000000" w:usb2="00000010" w:usb3="00000000" w:csb0="0004000F" w:csb1="00000000"/>
    <w:embedRegular r:id="rId5" w:fontKey="{A67F1EF5-E391-4335-84A1-3196F87873B7}"/>
  </w:font>
  <w:font w:name="楷体">
    <w:panose1 w:val="02010609060101010101"/>
    <w:charset w:val="86"/>
    <w:family w:val="modern"/>
    <w:pitch w:val="default"/>
    <w:sig w:usb0="800002BF" w:usb1="38CF7CFA" w:usb2="00000016" w:usb3="00000000" w:csb0="00040001" w:csb1="00000000"/>
    <w:embedRegular r:id="rId6" w:fontKey="{D6DFE199-7F33-4F68-B576-CA6E449FFE8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0A64FC"/>
    <w:rsid w:val="650A6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2026-01-13T09:14:00Z</dcterms:created>
  <dc:creator>为于思周</dc:creator>
  <cp:lastModifiedBy>为于思周</cp:lastModifiedBy>
  <dcterms:modified xsi:type="dcterms:W3CDTF">2026-01-13T09:15:47Z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9F0B6C661B87453480663FC4E1C78ED9_11</vt:lpwstr>
  </property>
  <property fmtid="{D5CDD505-2E9C-101B-9397-08002B2CF9AE}" pid="4" name="KSOTemplateDocerSaveRecord">
    <vt:lpwstr>eyJoZGlkIjoiYmUxMjNkZjM5N2QzMWM2ZTc5M2Y0ZTI3MWQ2NmUzMWEiLCJ1c2VySWQiOiI0Njc3Njc2NDIifQ==</vt:lpwstr>
  </property>
</Properties>
</file>