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D8CC9">
      <w:pPr>
        <w:widowControl w:val="0"/>
        <w:spacing w:line="640" w:lineRule="exact"/>
        <w:jc w:val="center"/>
        <w:rPr>
          <w:rFonts w:ascii="Times New Roman" w:hAnsi="Times New Roman" w:eastAsia="方正小标宋_GBK" w:cs="Times New Roman"/>
          <w:bCs/>
          <w:color w:val="auto"/>
          <w:spacing w:val="-1"/>
          <w:sz w:val="44"/>
          <w:szCs w:val="44"/>
        </w:rPr>
      </w:pPr>
      <w:r>
        <w:rPr>
          <w:rFonts w:hint="eastAsia" w:ascii="Times New Roman" w:hAnsi="Times New Roman" w:eastAsia="方正小标宋_GBK" w:cs="Times New Roman"/>
          <w:bCs/>
          <w:color w:val="auto"/>
          <w:spacing w:val="-1"/>
          <w:sz w:val="44"/>
          <w:szCs w:val="44"/>
        </w:rPr>
        <w:t>湘潭县三富矿区矿泉水土地配给项目</w:t>
      </w:r>
    </w:p>
    <w:p w14:paraId="7C43510A">
      <w:pPr>
        <w:widowControl w:val="0"/>
        <w:spacing w:line="640" w:lineRule="exact"/>
        <w:jc w:val="center"/>
        <w:rPr>
          <w:rFonts w:ascii="Times New Roman" w:hAnsi="Times New Roman" w:eastAsia="方正小标宋_GBK" w:cs="Times New Roman"/>
          <w:bCs/>
          <w:color w:val="auto"/>
          <w:spacing w:val="-1"/>
          <w:sz w:val="44"/>
          <w:szCs w:val="44"/>
        </w:rPr>
      </w:pPr>
      <w:r>
        <w:rPr>
          <w:rFonts w:hint="eastAsia" w:ascii="Times New Roman" w:hAnsi="Times New Roman" w:eastAsia="方正小标宋_GBK" w:cs="Times New Roman"/>
          <w:bCs/>
          <w:color w:val="auto"/>
          <w:spacing w:val="-1"/>
          <w:sz w:val="44"/>
          <w:szCs w:val="44"/>
        </w:rPr>
        <w:t>采购需求</w:t>
      </w:r>
    </w:p>
    <w:p w14:paraId="047DE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630" w:firstLineChars="196"/>
        <w:outlineLvl w:val="1"/>
        <w:rPr>
          <w:rFonts w:ascii="Times New Roman" w:hAnsi="Times New Roman" w:eastAsia="仿宋" w:cs="Times New Roman"/>
          <w:b/>
          <w:sz w:val="32"/>
          <w:szCs w:val="32"/>
        </w:rPr>
      </w:pPr>
    </w:p>
    <w:p w14:paraId="56BBCE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27" w:firstLineChars="196"/>
        <w:outlineLvl w:val="1"/>
        <w:rPr>
          <w:rFonts w:ascii="黑体" w:hAnsi="黑体" w:eastAsia="黑体" w:cs="Times New Roman"/>
          <w:sz w:val="32"/>
          <w:szCs w:val="32"/>
        </w:rPr>
      </w:pPr>
      <w:r>
        <w:rPr>
          <w:rFonts w:hint="eastAsia" w:ascii="黑体" w:hAnsi="黑体" w:eastAsia="黑体" w:cs="Times New Roman"/>
          <w:sz w:val="32"/>
          <w:szCs w:val="32"/>
        </w:rPr>
        <w:t>一、项目名称</w:t>
      </w:r>
    </w:p>
    <w:p w14:paraId="52672B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outlineLvl w:val="1"/>
        <w:rPr>
          <w:rFonts w:ascii="Times New Roman" w:hAnsi="Times New Roman" w:eastAsia="仿宋" w:cs="Times New Roman"/>
          <w:sz w:val="32"/>
          <w:szCs w:val="32"/>
        </w:rPr>
      </w:pPr>
      <w:r>
        <w:rPr>
          <w:rFonts w:hint="eastAsia" w:ascii="Times New Roman" w:hAnsi="仿宋" w:eastAsia="仿宋" w:cs="Times New Roman"/>
          <w:sz w:val="32"/>
          <w:szCs w:val="32"/>
        </w:rPr>
        <w:t>湘潭县三富矿区矿泉水土地配给项目。</w:t>
      </w:r>
    </w:p>
    <w:p w14:paraId="7E256F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27" w:firstLineChars="196"/>
        <w:outlineLvl w:val="1"/>
        <w:rPr>
          <w:rFonts w:ascii="黑体" w:hAnsi="黑体" w:eastAsia="黑体" w:cs="Times New Roman"/>
          <w:sz w:val="32"/>
          <w:szCs w:val="32"/>
        </w:rPr>
      </w:pPr>
      <w:r>
        <w:rPr>
          <w:rFonts w:hint="eastAsia" w:ascii="黑体" w:hAnsi="黑体" w:eastAsia="黑体" w:cs="Times New Roman"/>
          <w:sz w:val="32"/>
          <w:szCs w:val="32"/>
        </w:rPr>
        <w:t>二、采购预算：</w:t>
      </w:r>
    </w:p>
    <w:p w14:paraId="64758FB8">
      <w:pPr>
        <w:spacing w:line="560" w:lineRule="exact"/>
        <w:ind w:firstLine="640" w:firstLineChars="200"/>
        <w:rPr>
          <w:rFonts w:ascii="Times New Roman" w:hAnsi="Times New Roman" w:eastAsia="仿宋" w:cs="Times New Roman"/>
          <w:bCs/>
          <w:sz w:val="32"/>
          <w:szCs w:val="32"/>
        </w:rPr>
      </w:pPr>
      <w:r>
        <w:rPr>
          <w:rFonts w:hint="eastAsia" w:ascii="Times New Roman" w:hAnsi="仿宋" w:eastAsia="仿宋" w:cs="Times New Roman"/>
          <w:sz w:val="32"/>
          <w:szCs w:val="32"/>
        </w:rPr>
        <w:t>湘潭县三富矿区矿泉水土地配给项目</w:t>
      </w:r>
      <w:r>
        <w:rPr>
          <w:rFonts w:hint="eastAsia" w:ascii="Times New Roman" w:hAnsi="仿宋" w:eastAsia="仿宋" w:cs="Times New Roman"/>
          <w:color w:val="auto"/>
          <w:sz w:val="32"/>
          <w:szCs w:val="32"/>
        </w:rPr>
        <w:t>预算</w:t>
      </w:r>
      <w:r>
        <w:rPr>
          <w:rFonts w:ascii="Times New Roman" w:hAnsi="Times New Roman" w:eastAsia="仿宋" w:cs="Times New Roman"/>
          <w:bCs/>
          <w:color w:val="auto"/>
          <w:sz w:val="32"/>
          <w:szCs w:val="32"/>
        </w:rPr>
        <w:t>70000.00</w:t>
      </w:r>
      <w:r>
        <w:rPr>
          <w:rFonts w:hint="eastAsia" w:ascii="Times New Roman" w:hAnsi="仿宋" w:eastAsia="仿宋" w:cs="Times New Roman"/>
          <w:bCs/>
          <w:color w:val="auto"/>
          <w:sz w:val="32"/>
          <w:szCs w:val="32"/>
        </w:rPr>
        <w:t>元</w:t>
      </w:r>
      <w:r>
        <w:rPr>
          <w:rFonts w:hint="eastAsia" w:ascii="Times New Roman" w:hAnsi="仿宋" w:eastAsia="仿宋" w:cs="Times New Roman"/>
          <w:bCs/>
          <w:sz w:val="32"/>
          <w:szCs w:val="32"/>
        </w:rPr>
        <w:t>。</w:t>
      </w:r>
    </w:p>
    <w:tbl>
      <w:tblPr>
        <w:tblStyle w:val="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640"/>
        <w:gridCol w:w="2227"/>
        <w:gridCol w:w="1608"/>
        <w:gridCol w:w="1130"/>
      </w:tblGrid>
      <w:tr w14:paraId="0B0A2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179" w:type="dxa"/>
            <w:vAlign w:val="center"/>
          </w:tcPr>
          <w:p w14:paraId="68171831">
            <w:pPr>
              <w:kinsoku/>
              <w:autoSpaceDE/>
              <w:autoSpaceDN/>
              <w:jc w:val="center"/>
              <w:textAlignment w:val="auto"/>
              <w:rPr>
                <w:rFonts w:ascii="Times New Roman" w:hAnsi="Times New Roman" w:eastAsia="仿宋" w:cs="Times New Roman"/>
                <w:sz w:val="32"/>
                <w:szCs w:val="32"/>
              </w:rPr>
            </w:pPr>
            <w:r>
              <w:rPr>
                <w:rFonts w:hint="eastAsia" w:ascii="Times New Roman" w:hAnsi="仿宋" w:eastAsia="仿宋" w:cs="Times New Roman"/>
                <w:sz w:val="32"/>
                <w:szCs w:val="32"/>
              </w:rPr>
              <w:t>包</w:t>
            </w:r>
            <w:r>
              <w:rPr>
                <w:rFonts w:ascii="Times New Roman" w:hAnsi="Times New Roman" w:eastAsia="仿宋" w:cs="Times New Roman"/>
                <w:sz w:val="32"/>
                <w:szCs w:val="32"/>
              </w:rPr>
              <w:t>/</w:t>
            </w:r>
            <w:r>
              <w:rPr>
                <w:rFonts w:hint="eastAsia" w:ascii="Times New Roman" w:hAnsi="仿宋" w:eastAsia="仿宋" w:cs="Times New Roman"/>
                <w:sz w:val="32"/>
                <w:szCs w:val="32"/>
              </w:rPr>
              <w:t>品目号</w:t>
            </w:r>
          </w:p>
        </w:tc>
        <w:tc>
          <w:tcPr>
            <w:tcW w:w="2640" w:type="dxa"/>
            <w:vAlign w:val="center"/>
          </w:tcPr>
          <w:p w14:paraId="1D0BE285">
            <w:pPr>
              <w:kinsoku/>
              <w:autoSpaceDE/>
              <w:autoSpaceDN/>
              <w:jc w:val="center"/>
              <w:textAlignment w:val="auto"/>
              <w:rPr>
                <w:rFonts w:ascii="Times New Roman" w:hAnsi="Times New Roman" w:eastAsia="仿宋" w:cs="Times New Roman"/>
                <w:sz w:val="32"/>
                <w:szCs w:val="32"/>
              </w:rPr>
            </w:pPr>
            <w:r>
              <w:rPr>
                <w:rFonts w:hint="eastAsia" w:ascii="Times New Roman" w:hAnsi="仿宋" w:eastAsia="仿宋" w:cs="Times New Roman"/>
                <w:sz w:val="32"/>
                <w:szCs w:val="32"/>
              </w:rPr>
              <w:t>标的名称</w:t>
            </w:r>
          </w:p>
        </w:tc>
        <w:tc>
          <w:tcPr>
            <w:tcW w:w="2227" w:type="dxa"/>
            <w:vAlign w:val="center"/>
          </w:tcPr>
          <w:p w14:paraId="633389FA">
            <w:pPr>
              <w:kinsoku/>
              <w:autoSpaceDE/>
              <w:autoSpaceDN/>
              <w:jc w:val="center"/>
              <w:textAlignment w:val="auto"/>
              <w:rPr>
                <w:rFonts w:ascii="Times New Roman" w:hAnsi="Times New Roman" w:eastAsia="仿宋" w:cs="Times New Roman"/>
                <w:sz w:val="32"/>
                <w:szCs w:val="32"/>
                <w:highlight w:val="yellow"/>
              </w:rPr>
            </w:pPr>
            <w:r>
              <w:rPr>
                <w:rFonts w:hint="eastAsia" w:ascii="Times New Roman" w:hAnsi="仿宋" w:eastAsia="仿宋" w:cs="Times New Roman"/>
                <w:sz w:val="32"/>
                <w:szCs w:val="32"/>
              </w:rPr>
              <w:t>服务需求</w:t>
            </w:r>
          </w:p>
        </w:tc>
        <w:tc>
          <w:tcPr>
            <w:tcW w:w="1608" w:type="dxa"/>
            <w:vAlign w:val="center"/>
          </w:tcPr>
          <w:p w14:paraId="7F54F1C2">
            <w:pPr>
              <w:kinsoku/>
              <w:autoSpaceDE/>
              <w:autoSpaceDN/>
              <w:jc w:val="center"/>
              <w:textAlignment w:val="auto"/>
              <w:rPr>
                <w:rFonts w:ascii="Times New Roman" w:hAnsi="Times New Roman" w:eastAsia="仿宋" w:cs="Times New Roman"/>
                <w:sz w:val="32"/>
                <w:szCs w:val="32"/>
                <w:highlight w:val="yellow"/>
              </w:rPr>
            </w:pPr>
            <w:r>
              <w:rPr>
                <w:rFonts w:hint="eastAsia" w:ascii="Times New Roman" w:hAnsi="仿宋" w:eastAsia="仿宋" w:cs="Times New Roman"/>
                <w:sz w:val="32"/>
                <w:szCs w:val="32"/>
              </w:rPr>
              <w:t>控制价（元）</w:t>
            </w:r>
          </w:p>
        </w:tc>
        <w:tc>
          <w:tcPr>
            <w:tcW w:w="1130" w:type="dxa"/>
            <w:vAlign w:val="center"/>
          </w:tcPr>
          <w:p w14:paraId="7C04CFBD">
            <w:pPr>
              <w:kinsoku/>
              <w:autoSpaceDE/>
              <w:autoSpaceDN/>
              <w:jc w:val="center"/>
              <w:textAlignment w:val="auto"/>
              <w:rPr>
                <w:rFonts w:ascii="Times New Roman" w:hAnsi="Times New Roman" w:eastAsia="仿宋" w:cs="Times New Roman"/>
                <w:sz w:val="32"/>
                <w:szCs w:val="32"/>
                <w:highlight w:val="yellow"/>
              </w:rPr>
            </w:pPr>
            <w:r>
              <w:rPr>
                <w:rFonts w:hint="eastAsia" w:ascii="Times New Roman" w:hAnsi="仿宋" w:eastAsia="仿宋" w:cs="Times New Roman"/>
                <w:sz w:val="32"/>
                <w:szCs w:val="32"/>
              </w:rPr>
              <w:t>合计（元）</w:t>
            </w:r>
          </w:p>
        </w:tc>
      </w:tr>
      <w:tr w14:paraId="115BB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179" w:type="dxa"/>
            <w:vAlign w:val="center"/>
          </w:tcPr>
          <w:p w14:paraId="599AD400">
            <w:pPr>
              <w:spacing w:line="360" w:lineRule="auto"/>
              <w:jc w:val="center"/>
              <w:rPr>
                <w:rFonts w:ascii="Times New Roman" w:hAnsi="Times New Roman" w:eastAsia="仿宋" w:cs="Times New Roman"/>
                <w:sz w:val="32"/>
                <w:szCs w:val="32"/>
              </w:rPr>
            </w:pPr>
            <w:r>
              <w:rPr>
                <w:rFonts w:ascii="Times New Roman" w:hAnsi="Times New Roman" w:eastAsia="仿宋" w:cs="Times New Roman"/>
                <w:sz w:val="32"/>
                <w:szCs w:val="32"/>
              </w:rPr>
              <w:t>1</w:t>
            </w:r>
          </w:p>
        </w:tc>
        <w:tc>
          <w:tcPr>
            <w:tcW w:w="2640" w:type="dxa"/>
            <w:vAlign w:val="center"/>
          </w:tcPr>
          <w:p w14:paraId="6B49EDA8">
            <w:pPr>
              <w:spacing w:line="400" w:lineRule="exact"/>
              <w:jc w:val="center"/>
              <w:rPr>
                <w:rFonts w:ascii="Times New Roman" w:hAnsi="Times New Roman" w:eastAsia="仿宋" w:cs="Times New Roman"/>
                <w:sz w:val="32"/>
                <w:szCs w:val="32"/>
              </w:rPr>
            </w:pPr>
            <w:r>
              <w:rPr>
                <w:rFonts w:hint="eastAsia" w:ascii="Times New Roman" w:hAnsi="仿宋" w:eastAsia="仿宋" w:cs="Times New Roman"/>
                <w:sz w:val="32"/>
                <w:szCs w:val="32"/>
              </w:rPr>
              <w:t>湘潭县三富矿区矿泉水土地配给项目</w:t>
            </w:r>
          </w:p>
        </w:tc>
        <w:tc>
          <w:tcPr>
            <w:tcW w:w="2227" w:type="dxa"/>
            <w:vAlign w:val="center"/>
          </w:tcPr>
          <w:p w14:paraId="255AE013">
            <w:pPr>
              <w:spacing w:line="400" w:lineRule="exact"/>
              <w:jc w:val="center"/>
              <w:textAlignment w:val="center"/>
              <w:rPr>
                <w:rFonts w:ascii="Times New Roman" w:hAnsi="Times New Roman" w:eastAsia="仿宋" w:cs="Times New Roman"/>
                <w:sz w:val="32"/>
                <w:szCs w:val="32"/>
              </w:rPr>
            </w:pPr>
            <w:r>
              <w:rPr>
                <w:rFonts w:hint="eastAsia" w:ascii="Times New Roman" w:hAnsi="仿宋" w:eastAsia="仿宋" w:cs="Times New Roman"/>
                <w:color w:val="auto"/>
                <w:sz w:val="32"/>
                <w:szCs w:val="32"/>
              </w:rPr>
              <w:t>编制</w:t>
            </w:r>
            <w:r>
              <w:rPr>
                <w:rFonts w:hint="eastAsia" w:ascii="Times New Roman" w:hAnsi="仿宋" w:eastAsia="仿宋" w:cs="Times New Roman"/>
                <w:sz w:val="32"/>
                <w:szCs w:val="32"/>
              </w:rPr>
              <w:t>土地配给方案</w:t>
            </w:r>
            <w:r>
              <w:rPr>
                <w:rFonts w:hint="eastAsia" w:ascii="Times New Roman" w:hAnsi="仿宋" w:eastAsia="仿宋" w:cs="Times New Roman"/>
                <w:color w:val="auto"/>
                <w:sz w:val="32"/>
                <w:szCs w:val="32"/>
              </w:rPr>
              <w:t>，并通过湘潭县自然资源</w:t>
            </w:r>
            <w:bookmarkStart w:id="0" w:name="_GoBack"/>
            <w:bookmarkEnd w:id="0"/>
            <w:r>
              <w:rPr>
                <w:rFonts w:hint="eastAsia" w:ascii="Times New Roman" w:hAnsi="仿宋" w:eastAsia="仿宋" w:cs="Times New Roman"/>
                <w:color w:val="auto"/>
                <w:sz w:val="32"/>
                <w:szCs w:val="32"/>
              </w:rPr>
              <w:t>局组织的评审</w:t>
            </w:r>
          </w:p>
        </w:tc>
        <w:tc>
          <w:tcPr>
            <w:tcW w:w="1608" w:type="dxa"/>
            <w:vAlign w:val="center"/>
          </w:tcPr>
          <w:p w14:paraId="7278E107">
            <w:pPr>
              <w:kinsoku/>
              <w:autoSpaceDE/>
              <w:autoSpaceDN/>
              <w:jc w:val="center"/>
              <w:textAlignment w:val="auto"/>
              <w:rPr>
                <w:rFonts w:ascii="Times New Roman" w:hAnsi="Times New Roman" w:eastAsia="仿宋" w:cs="Times New Roman"/>
                <w:sz w:val="32"/>
                <w:szCs w:val="32"/>
              </w:rPr>
            </w:pPr>
            <w:r>
              <w:rPr>
                <w:rFonts w:ascii="Times New Roman" w:hAnsi="Times New Roman" w:eastAsia="仿宋" w:cs="Times New Roman"/>
                <w:sz w:val="32"/>
                <w:szCs w:val="32"/>
              </w:rPr>
              <w:t>70000.00</w:t>
            </w:r>
          </w:p>
        </w:tc>
        <w:tc>
          <w:tcPr>
            <w:tcW w:w="1130" w:type="dxa"/>
            <w:vAlign w:val="center"/>
          </w:tcPr>
          <w:p w14:paraId="28AA69B4">
            <w:pPr>
              <w:spacing w:line="360" w:lineRule="exact"/>
              <w:jc w:val="center"/>
              <w:rPr>
                <w:rFonts w:ascii="Times New Roman" w:hAnsi="Times New Roman" w:eastAsia="仿宋" w:cs="Times New Roman"/>
                <w:bCs/>
                <w:sz w:val="32"/>
                <w:szCs w:val="32"/>
              </w:rPr>
            </w:pPr>
          </w:p>
        </w:tc>
      </w:tr>
    </w:tbl>
    <w:p w14:paraId="7DD604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27" w:firstLineChars="196"/>
        <w:outlineLvl w:val="1"/>
        <w:rPr>
          <w:rFonts w:ascii="黑体" w:hAnsi="黑体" w:eastAsia="黑体" w:cs="Times New Roman"/>
          <w:sz w:val="32"/>
          <w:szCs w:val="32"/>
        </w:rPr>
      </w:pPr>
      <w:r>
        <w:rPr>
          <w:rFonts w:hint="eastAsia" w:ascii="黑体" w:hAnsi="黑体" w:eastAsia="黑体" w:cs="Times New Roman"/>
          <w:sz w:val="32"/>
          <w:szCs w:val="32"/>
        </w:rPr>
        <w:t>三、服务目的</w:t>
      </w:r>
    </w:p>
    <w:p w14:paraId="2CEF59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jc w:val="both"/>
        <w:outlineLvl w:val="1"/>
        <w:rPr>
          <w:rFonts w:ascii="Times New Roman" w:hAnsi="Times New Roman" w:eastAsia="仿宋" w:cs="Times New Roman"/>
          <w:sz w:val="32"/>
          <w:szCs w:val="32"/>
        </w:rPr>
      </w:pPr>
      <w:r>
        <w:rPr>
          <w:rFonts w:hint="eastAsia" w:ascii="Times New Roman" w:hAnsi="仿宋" w:eastAsia="仿宋" w:cs="Times New Roman"/>
          <w:sz w:val="32"/>
          <w:szCs w:val="32"/>
        </w:rPr>
        <w:t>根据湘自资发〔</w:t>
      </w:r>
      <w:r>
        <w:rPr>
          <w:rFonts w:ascii="Times New Roman" w:hAnsi="Times New Roman" w:eastAsia="仿宋" w:cs="Times New Roman"/>
          <w:sz w:val="32"/>
          <w:szCs w:val="32"/>
        </w:rPr>
        <w:t>2020</w:t>
      </w:r>
      <w:r>
        <w:rPr>
          <w:rFonts w:hint="eastAsia" w:ascii="Times New Roman" w:hAnsi="仿宋" w:eastAsia="仿宋" w:cs="Times New Roman"/>
          <w:sz w:val="32"/>
          <w:szCs w:val="32"/>
        </w:rPr>
        <w:t>〕</w:t>
      </w:r>
      <w:r>
        <w:rPr>
          <w:rFonts w:ascii="Times New Roman" w:hAnsi="Times New Roman" w:eastAsia="仿宋" w:cs="Times New Roman"/>
          <w:sz w:val="32"/>
          <w:szCs w:val="32"/>
        </w:rPr>
        <w:t>57</w:t>
      </w:r>
      <w:r>
        <w:rPr>
          <w:rFonts w:hint="eastAsia" w:ascii="Times New Roman" w:hAnsi="仿宋" w:eastAsia="仿宋" w:cs="Times New Roman"/>
          <w:sz w:val="32"/>
          <w:szCs w:val="32"/>
        </w:rPr>
        <w:t>号及其他相关文件要求，需编制湘潭县三富矿区矿泉水土地配给项目。采矿权新设时，对项目土地配给方案进行优化，提升优质矿泉水资源开发与土地利用的协同布局水平，充分发挥区域水资源禀赋优势，填补区域高端饮用水供给空白。通过规范化的方案编制，将潜在的水资源优势转化为经济优势，助力县域</w:t>
      </w:r>
      <w:r>
        <w:rPr>
          <w:rFonts w:ascii="Times New Roman" w:hAnsi="Times New Roman" w:eastAsia="仿宋" w:cs="Times New Roman"/>
          <w:sz w:val="32"/>
          <w:szCs w:val="32"/>
        </w:rPr>
        <w:t>“</w:t>
      </w:r>
      <w:r>
        <w:rPr>
          <w:rFonts w:hint="eastAsia" w:ascii="Times New Roman" w:hAnsi="仿宋" w:eastAsia="仿宋" w:cs="Times New Roman"/>
          <w:sz w:val="32"/>
          <w:szCs w:val="32"/>
        </w:rPr>
        <w:t>推动绿色产业升级，培育水资源开发特色产业</w:t>
      </w:r>
      <w:r>
        <w:rPr>
          <w:rFonts w:ascii="Times New Roman" w:hAnsi="Times New Roman" w:eastAsia="仿宋" w:cs="Times New Roman"/>
          <w:sz w:val="32"/>
          <w:szCs w:val="32"/>
        </w:rPr>
        <w:t>”</w:t>
      </w:r>
      <w:r>
        <w:rPr>
          <w:rFonts w:hint="eastAsia" w:ascii="Times New Roman" w:hAnsi="仿宋" w:eastAsia="仿宋" w:cs="Times New Roman"/>
          <w:sz w:val="32"/>
          <w:szCs w:val="32"/>
        </w:rPr>
        <w:t>目标落地，带动周边及县域经济可持续发展，同时践行集约节约用地理念，实现生态保护与产业发展的有机统一。</w:t>
      </w:r>
    </w:p>
    <w:p w14:paraId="58BE26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27" w:firstLineChars="196"/>
        <w:outlineLvl w:val="1"/>
        <w:rPr>
          <w:rFonts w:ascii="黑体" w:hAnsi="黑体" w:eastAsia="黑体" w:cs="Times New Roman"/>
          <w:sz w:val="32"/>
          <w:szCs w:val="32"/>
        </w:rPr>
      </w:pPr>
      <w:r>
        <w:rPr>
          <w:rFonts w:hint="eastAsia" w:ascii="黑体" w:hAnsi="黑体" w:eastAsia="黑体" w:cs="Times New Roman"/>
          <w:sz w:val="32"/>
          <w:szCs w:val="32"/>
        </w:rPr>
        <w:t>四、服务内容</w:t>
      </w:r>
    </w:p>
    <w:p w14:paraId="0B21B7C5">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color w:val="0000FF"/>
          <w:sz w:val="32"/>
          <w:szCs w:val="32"/>
        </w:rPr>
      </w:pPr>
      <w:r>
        <w:rPr>
          <w:rFonts w:hint="eastAsia" w:ascii="Times New Roman" w:hAnsi="仿宋" w:eastAsia="仿宋" w:cs="Times New Roman"/>
          <w:sz w:val="32"/>
          <w:szCs w:val="32"/>
        </w:rPr>
        <w:t>根据《中华人民共和国土地管理法》、《全面加强矿产资源开发管理的工作方案》、《湖南省采矿项目用地管理指导意见</w:t>
      </w:r>
      <w:r>
        <w:rPr>
          <w:rFonts w:hint="eastAsia" w:ascii="Times New Roman" w:hAnsi="Times New Roman" w:eastAsia="仿宋" w:cs="Times New Roman"/>
          <w:sz w:val="32"/>
          <w:szCs w:val="32"/>
        </w:rPr>
        <w:t>（</w:t>
      </w:r>
      <w:r>
        <w:rPr>
          <w:rFonts w:hint="eastAsia" w:ascii="Times New Roman" w:hAnsi="仿宋" w:eastAsia="仿宋" w:cs="Times New Roman"/>
          <w:sz w:val="32"/>
          <w:szCs w:val="32"/>
        </w:rPr>
        <w:t>试行</w:t>
      </w:r>
      <w:r>
        <w:rPr>
          <w:rFonts w:hint="eastAsia" w:ascii="Times New Roman" w:hAnsi="Times New Roman" w:eastAsia="仿宋" w:cs="Times New Roman"/>
          <w:sz w:val="32"/>
          <w:szCs w:val="32"/>
        </w:rPr>
        <w:t>）</w:t>
      </w:r>
      <w:r>
        <w:rPr>
          <w:rFonts w:hint="eastAsia" w:ascii="Times New Roman" w:hAnsi="仿宋" w:eastAsia="仿宋" w:cs="Times New Roman"/>
          <w:sz w:val="32"/>
          <w:szCs w:val="32"/>
        </w:rPr>
        <w:t>》、《湖南省建设用地指标</w:t>
      </w:r>
      <w:r>
        <w:rPr>
          <w:rFonts w:hint="eastAsia" w:ascii="Times New Roman" w:hAnsi="Times New Roman" w:eastAsia="仿宋" w:cs="Times New Roman"/>
          <w:sz w:val="32"/>
          <w:szCs w:val="32"/>
        </w:rPr>
        <w:t>（</w:t>
      </w:r>
      <w:r>
        <w:rPr>
          <w:rFonts w:ascii="Times New Roman" w:hAnsi="Times New Roman" w:eastAsia="仿宋" w:cs="Times New Roman"/>
          <w:sz w:val="32"/>
          <w:szCs w:val="32"/>
        </w:rPr>
        <w:t>2021</w:t>
      </w:r>
      <w:r>
        <w:rPr>
          <w:rFonts w:hint="eastAsia" w:ascii="Times New Roman" w:hAnsi="仿宋" w:eastAsia="仿宋" w:cs="Times New Roman"/>
          <w:sz w:val="32"/>
          <w:szCs w:val="32"/>
        </w:rPr>
        <w:t>年版</w:t>
      </w:r>
      <w:r>
        <w:rPr>
          <w:rFonts w:hint="eastAsia" w:ascii="Times New Roman" w:hAnsi="Times New Roman" w:eastAsia="仿宋" w:cs="Times New Roman"/>
          <w:sz w:val="32"/>
          <w:szCs w:val="32"/>
        </w:rPr>
        <w:t>）</w:t>
      </w:r>
      <w:r>
        <w:rPr>
          <w:rFonts w:hint="eastAsia" w:ascii="Times New Roman" w:hAnsi="仿宋" w:eastAsia="仿宋" w:cs="Times New Roman"/>
          <w:sz w:val="32"/>
          <w:szCs w:val="32"/>
        </w:rPr>
        <w:t>》等相关法律法规及文件要求编制湘潭县三富矿区矿泉水土地配给方案，并通过湘潭县自然资源局组织的评审。</w:t>
      </w:r>
    </w:p>
    <w:p w14:paraId="1AE4B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27" w:firstLineChars="196"/>
        <w:jc w:val="both"/>
        <w:outlineLvl w:val="1"/>
        <w:rPr>
          <w:rFonts w:ascii="黑体" w:hAnsi="黑体" w:eastAsia="黑体" w:cs="Times New Roman"/>
          <w:sz w:val="32"/>
          <w:szCs w:val="32"/>
        </w:rPr>
      </w:pPr>
      <w:r>
        <w:rPr>
          <w:rFonts w:hint="eastAsia" w:ascii="黑体" w:hAnsi="黑体" w:eastAsia="黑体" w:cs="Times New Roman"/>
          <w:sz w:val="32"/>
          <w:szCs w:val="32"/>
        </w:rPr>
        <w:t>五、工作要求</w:t>
      </w:r>
    </w:p>
    <w:p w14:paraId="31496BAC">
      <w:pPr>
        <w:spacing w:line="560" w:lineRule="exact"/>
        <w:jc w:val="both"/>
        <w:rPr>
          <w:rFonts w:ascii="Times New Roman" w:hAnsi="Times New Roman" w:eastAsia="仿宋" w:cs="Times New Roman"/>
          <w:sz w:val="32"/>
          <w:szCs w:val="32"/>
        </w:rPr>
      </w:pPr>
      <w:r>
        <w:rPr>
          <w:rFonts w:ascii="Times New Roman" w:hAnsi="Times New Roman" w:eastAsia="仿宋" w:cs="Times New Roman"/>
          <w:b/>
          <w:sz w:val="32"/>
          <w:szCs w:val="32"/>
        </w:rPr>
        <w:t xml:space="preserve">    </w:t>
      </w:r>
      <w:r>
        <w:rPr>
          <w:rFonts w:hint="eastAsia" w:ascii="Times New Roman" w:hAnsi="仿宋" w:eastAsia="仿宋" w:cs="Times New Roman"/>
          <w:sz w:val="32"/>
          <w:szCs w:val="32"/>
        </w:rPr>
        <w:t>在编制本方案的基础上应体现以下几点原则：</w:t>
      </w:r>
    </w:p>
    <w:p w14:paraId="04FC08AA">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w:t>
      </w:r>
      <w:r>
        <w:rPr>
          <w:rFonts w:ascii="Times New Roman" w:hAnsi="Times New Roman" w:eastAsia="仿宋" w:cs="Times New Roman"/>
          <w:sz w:val="32"/>
          <w:szCs w:val="32"/>
        </w:rPr>
        <w:t>1</w:t>
      </w:r>
      <w:r>
        <w:rPr>
          <w:rFonts w:hint="eastAsia" w:ascii="Times New Roman" w:hAnsi="Times New Roman" w:eastAsia="仿宋" w:cs="Times New Roman"/>
          <w:sz w:val="32"/>
          <w:szCs w:val="32"/>
        </w:rPr>
        <w:t>）</w:t>
      </w:r>
      <w:r>
        <w:rPr>
          <w:rFonts w:hint="eastAsia" w:ascii="Times New Roman" w:hAnsi="仿宋" w:eastAsia="仿宋" w:cs="Times New Roman"/>
          <w:sz w:val="32"/>
          <w:szCs w:val="32"/>
        </w:rPr>
        <w:t>新型化原则</w:t>
      </w:r>
    </w:p>
    <w:p w14:paraId="1BB93AE3">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技术创新与应用，在矿泉水开采、加工、仓储、管理全流程采用新技术、新工艺和新设备，提高生产自动化、智能化水平，适配自动化灌装线等核心生产需求，提升产品质量和生产效率，降低生产能耗与环境成本。</w:t>
      </w:r>
    </w:p>
    <w:p w14:paraId="5D3EBC64">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w:t>
      </w:r>
      <w:r>
        <w:rPr>
          <w:rFonts w:ascii="Times New Roman" w:hAnsi="Times New Roman" w:eastAsia="仿宋" w:cs="Times New Roman"/>
          <w:sz w:val="32"/>
          <w:szCs w:val="32"/>
        </w:rPr>
        <w:t>2</w:t>
      </w:r>
      <w:r>
        <w:rPr>
          <w:rFonts w:hint="eastAsia" w:ascii="Times New Roman" w:hAnsi="仿宋" w:eastAsia="仿宋" w:cs="Times New Roman"/>
          <w:sz w:val="32"/>
          <w:szCs w:val="32"/>
        </w:rPr>
        <w:t>）绿色化原则</w:t>
      </w:r>
    </w:p>
    <w:p w14:paraId="54658685">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践行</w:t>
      </w:r>
      <w:r>
        <w:rPr>
          <w:rFonts w:ascii="Times New Roman" w:hAnsi="Times New Roman" w:eastAsia="仿宋" w:cs="Times New Roman"/>
          <w:sz w:val="32"/>
          <w:szCs w:val="32"/>
        </w:rPr>
        <w:t>“</w:t>
      </w:r>
      <w:r>
        <w:rPr>
          <w:rFonts w:hint="eastAsia" w:ascii="Times New Roman" w:hAnsi="仿宋" w:eastAsia="仿宋" w:cs="Times New Roman"/>
          <w:sz w:val="32"/>
          <w:szCs w:val="32"/>
        </w:rPr>
        <w:t>绿水青山就是金山银山</w:t>
      </w:r>
      <w:r>
        <w:rPr>
          <w:rFonts w:ascii="Times New Roman" w:hAnsi="Times New Roman" w:eastAsia="仿宋" w:cs="Times New Roman"/>
          <w:sz w:val="32"/>
          <w:szCs w:val="32"/>
        </w:rPr>
        <w:t>”</w:t>
      </w:r>
      <w:r>
        <w:rPr>
          <w:rFonts w:hint="eastAsia" w:ascii="Times New Roman" w:hAnsi="仿宋" w:eastAsia="仿宋" w:cs="Times New Roman"/>
          <w:sz w:val="32"/>
          <w:szCs w:val="32"/>
        </w:rPr>
        <w:t>的发展理念，严格执行国家及地方环保法规和标准，保护生态环境，处理好建设与长期发展、经济发展与资源环境保护关系。严格避让生态保护红线，控制场地扰动范围，减少对周边乔木林地等自然环境的破坏，施工后及时补种本地适生植被，生产废水经处理后达标排放或回用于厂区绿化，促进生态环境良性循环。</w:t>
      </w:r>
    </w:p>
    <w:p w14:paraId="2A9212E6">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w:t>
      </w:r>
      <w:r>
        <w:rPr>
          <w:rFonts w:ascii="Times New Roman" w:hAnsi="Times New Roman" w:eastAsia="仿宋" w:cs="Times New Roman"/>
          <w:sz w:val="32"/>
          <w:szCs w:val="32"/>
        </w:rPr>
        <w:t>3</w:t>
      </w:r>
      <w:r>
        <w:rPr>
          <w:rFonts w:hint="eastAsia" w:ascii="Times New Roman" w:hAnsi="仿宋" w:eastAsia="仿宋" w:cs="Times New Roman"/>
          <w:sz w:val="32"/>
          <w:szCs w:val="32"/>
        </w:rPr>
        <w:t>）以人为本原则</w:t>
      </w:r>
    </w:p>
    <w:p w14:paraId="5A309B10">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坚持以人为本的原则，保护好群众的切身利益，尽可能避开农村居住密集区，减少拆迁量。项目选址远离集中居民点，降低生产噪音、车辆通行等对村民日常生活的干扰，降低矿地矛盾风险。</w:t>
      </w:r>
    </w:p>
    <w:p w14:paraId="1DCF757B">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w:t>
      </w:r>
      <w:r>
        <w:rPr>
          <w:rFonts w:ascii="Times New Roman" w:hAnsi="Times New Roman" w:eastAsia="仿宋" w:cs="Times New Roman"/>
          <w:sz w:val="32"/>
          <w:szCs w:val="32"/>
        </w:rPr>
        <w:t>4</w:t>
      </w:r>
      <w:r>
        <w:rPr>
          <w:rFonts w:hint="eastAsia" w:ascii="Times New Roman" w:hAnsi="仿宋" w:eastAsia="仿宋" w:cs="Times New Roman"/>
          <w:sz w:val="32"/>
          <w:szCs w:val="32"/>
        </w:rPr>
        <w:t>）邻近产地原则</w:t>
      </w:r>
    </w:p>
    <w:p w14:paraId="266F6779">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为减少原水输送损耗、降低物流成本，将加工管理区等配套生产设施设置于矿泉水源地及采矿区周边。此举既能缩短取水管道长度，减少输水能耗与水资源损耗，又能依托区域交通网络优化运输路线，降低成品矿泉水输出及原材料输入成本，实现经济、生态效益相结合，同时避免设施建于矿体敏感区域。。</w:t>
      </w:r>
    </w:p>
    <w:p w14:paraId="59DD68E9">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w:t>
      </w:r>
      <w:r>
        <w:rPr>
          <w:rFonts w:ascii="Times New Roman" w:hAnsi="Times New Roman" w:eastAsia="仿宋" w:cs="Times New Roman"/>
          <w:sz w:val="32"/>
          <w:szCs w:val="32"/>
        </w:rPr>
        <w:t>5</w:t>
      </w:r>
      <w:r>
        <w:rPr>
          <w:rFonts w:hint="eastAsia" w:ascii="Times New Roman" w:hAnsi="仿宋" w:eastAsia="仿宋" w:cs="Times New Roman"/>
          <w:sz w:val="32"/>
          <w:szCs w:val="32"/>
        </w:rPr>
        <w:t>）便捷、安全原则</w:t>
      </w:r>
    </w:p>
    <w:p w14:paraId="6D065913">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选址上应设置地质条件稳定、地形平坦、自然灾害风险较低的区域，避免选址在断层、滑坡、泥石流等地质灾害易发区。应设置在交通便捷、生活便利的区域，以提高厂区工人生活质量与生产便捷度。</w:t>
      </w:r>
    </w:p>
    <w:p w14:paraId="3D855C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27" w:firstLineChars="196"/>
        <w:jc w:val="both"/>
        <w:outlineLvl w:val="1"/>
        <w:rPr>
          <w:rFonts w:ascii="黑体" w:hAnsi="黑体" w:eastAsia="黑体" w:cs="Times New Roman"/>
          <w:sz w:val="32"/>
          <w:szCs w:val="32"/>
        </w:rPr>
      </w:pPr>
      <w:r>
        <w:rPr>
          <w:rFonts w:hint="eastAsia" w:ascii="黑体" w:hAnsi="黑体" w:eastAsia="黑体" w:cs="Times New Roman"/>
          <w:sz w:val="32"/>
          <w:szCs w:val="32"/>
        </w:rPr>
        <w:t>六、服务时间</w:t>
      </w:r>
    </w:p>
    <w:p w14:paraId="0AB150FD">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自项目采购中标合同签订之日起到项目评审通过。</w:t>
      </w:r>
    </w:p>
    <w:p w14:paraId="743CE6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27" w:firstLineChars="196"/>
        <w:jc w:val="both"/>
        <w:outlineLvl w:val="1"/>
        <w:rPr>
          <w:rFonts w:ascii="黑体" w:hAnsi="黑体" w:eastAsia="黑体" w:cs="Times New Roman"/>
          <w:sz w:val="32"/>
          <w:szCs w:val="32"/>
        </w:rPr>
      </w:pPr>
      <w:r>
        <w:rPr>
          <w:rFonts w:hint="eastAsia" w:ascii="黑体" w:hAnsi="黑体" w:eastAsia="黑体" w:cs="Times New Roman"/>
          <w:sz w:val="32"/>
          <w:szCs w:val="32"/>
        </w:rPr>
        <w:t>七、付款方式</w:t>
      </w:r>
    </w:p>
    <w:p w14:paraId="4F10D786">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按合同约定方式付款。</w:t>
      </w:r>
    </w:p>
    <w:p w14:paraId="1ACF17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27" w:firstLineChars="196"/>
        <w:jc w:val="both"/>
        <w:outlineLvl w:val="1"/>
        <w:rPr>
          <w:rFonts w:ascii="黑体" w:hAnsi="黑体" w:eastAsia="黑体" w:cs="Times New Roman"/>
          <w:sz w:val="32"/>
          <w:szCs w:val="32"/>
        </w:rPr>
      </w:pPr>
      <w:r>
        <w:rPr>
          <w:rFonts w:hint="eastAsia" w:ascii="黑体" w:hAnsi="黑体" w:eastAsia="黑体" w:cs="Times New Roman"/>
          <w:sz w:val="32"/>
          <w:szCs w:val="32"/>
        </w:rPr>
        <w:t>八、质量要求</w:t>
      </w:r>
    </w:p>
    <w:p w14:paraId="7A7A6AF3">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符合《中华人民共和国土地管理法》《湖南省采矿项目用地管理指导意见</w:t>
      </w:r>
      <w:r>
        <w:rPr>
          <w:rFonts w:hint="eastAsia" w:ascii="Times New Roman" w:hAnsi="Times New Roman" w:eastAsia="仿宋" w:cs="Times New Roman"/>
          <w:sz w:val="32"/>
          <w:szCs w:val="32"/>
        </w:rPr>
        <w:t>（</w:t>
      </w:r>
      <w:r>
        <w:rPr>
          <w:rFonts w:hint="eastAsia" w:ascii="Times New Roman" w:hAnsi="仿宋" w:eastAsia="仿宋" w:cs="Times New Roman"/>
          <w:sz w:val="32"/>
          <w:szCs w:val="32"/>
        </w:rPr>
        <w:t>试行</w:t>
      </w:r>
      <w:r>
        <w:rPr>
          <w:rFonts w:hint="eastAsia" w:ascii="Times New Roman" w:hAnsi="Times New Roman" w:eastAsia="仿宋" w:cs="Times New Roman"/>
          <w:sz w:val="32"/>
          <w:szCs w:val="32"/>
        </w:rPr>
        <w:t>）</w:t>
      </w:r>
      <w:r>
        <w:rPr>
          <w:rFonts w:hint="eastAsia" w:ascii="Times New Roman" w:hAnsi="仿宋" w:eastAsia="仿宋" w:cs="Times New Roman"/>
          <w:sz w:val="32"/>
          <w:szCs w:val="32"/>
        </w:rPr>
        <w:t>》《湖南省建设用地指标</w:t>
      </w:r>
      <w:r>
        <w:rPr>
          <w:rFonts w:hint="eastAsia" w:ascii="Times New Roman" w:hAnsi="Times New Roman" w:eastAsia="仿宋" w:cs="Times New Roman"/>
          <w:sz w:val="32"/>
          <w:szCs w:val="32"/>
        </w:rPr>
        <w:t>（</w:t>
      </w:r>
      <w:r>
        <w:rPr>
          <w:rFonts w:ascii="Times New Roman" w:hAnsi="Times New Roman" w:eastAsia="仿宋" w:cs="Times New Roman"/>
          <w:sz w:val="32"/>
          <w:szCs w:val="32"/>
        </w:rPr>
        <w:t>2021</w:t>
      </w:r>
      <w:r>
        <w:rPr>
          <w:rFonts w:hint="eastAsia" w:ascii="Times New Roman" w:hAnsi="仿宋" w:eastAsia="仿宋" w:cs="Times New Roman"/>
          <w:sz w:val="32"/>
          <w:szCs w:val="32"/>
        </w:rPr>
        <w:t>年版</w:t>
      </w:r>
      <w:r>
        <w:rPr>
          <w:rFonts w:hint="eastAsia" w:ascii="Times New Roman" w:hAnsi="Times New Roman" w:eastAsia="仿宋" w:cs="Times New Roman"/>
          <w:sz w:val="32"/>
          <w:szCs w:val="32"/>
        </w:rPr>
        <w:t>）</w:t>
      </w:r>
      <w:r>
        <w:rPr>
          <w:rFonts w:hint="eastAsia" w:ascii="Times New Roman" w:hAnsi="仿宋" w:eastAsia="仿宋" w:cs="Times New Roman"/>
          <w:sz w:val="32"/>
          <w:szCs w:val="32"/>
        </w:rPr>
        <w:t>》等相关法律法规及文件要求，方案需通过湘潭县自然资源局组织的评审。</w:t>
      </w:r>
    </w:p>
    <w:p w14:paraId="5220E6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27" w:firstLineChars="196"/>
        <w:jc w:val="both"/>
        <w:outlineLvl w:val="1"/>
        <w:rPr>
          <w:rFonts w:ascii="黑体" w:hAnsi="黑体" w:eastAsia="黑体" w:cs="Times New Roman"/>
          <w:sz w:val="32"/>
          <w:szCs w:val="32"/>
        </w:rPr>
      </w:pPr>
      <w:r>
        <w:rPr>
          <w:rFonts w:hint="eastAsia" w:ascii="黑体" w:hAnsi="黑体" w:eastAsia="黑体" w:cs="Times New Roman"/>
          <w:sz w:val="32"/>
          <w:szCs w:val="32"/>
        </w:rPr>
        <w:t>九、资质要求</w:t>
      </w:r>
    </w:p>
    <w:p w14:paraId="13264782">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ascii="Times New Roman" w:hAnsi="Times New Roman" w:eastAsia="仿宋" w:cs="Times New Roman"/>
          <w:sz w:val="32"/>
          <w:szCs w:val="32"/>
        </w:rPr>
        <w:t>1</w:t>
      </w:r>
      <w:r>
        <w:rPr>
          <w:rFonts w:hint="eastAsia" w:ascii="Times New Roman" w:hAnsi="仿宋" w:eastAsia="仿宋" w:cs="Times New Roman"/>
          <w:sz w:val="32"/>
          <w:szCs w:val="32"/>
        </w:rPr>
        <w:t>、供应商基本资格要求：</w:t>
      </w:r>
    </w:p>
    <w:p w14:paraId="02D4B250">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ascii="Times New Roman" w:hAnsi="Times New Roman" w:eastAsia="仿宋" w:cs="Times New Roman"/>
          <w:sz w:val="32"/>
          <w:szCs w:val="32"/>
        </w:rPr>
        <w:t>1.1</w:t>
      </w:r>
      <w:r>
        <w:rPr>
          <w:rFonts w:hint="eastAsia" w:ascii="Times New Roman" w:hAnsi="仿宋" w:eastAsia="仿宋" w:cs="Times New Roman"/>
          <w:sz w:val="32"/>
          <w:szCs w:val="32"/>
        </w:rPr>
        <w:t>符合《中华人民共和国政府采购法》第二十二条之规定。</w:t>
      </w:r>
    </w:p>
    <w:p w14:paraId="6E9B7CE7">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（一）具有独立承担民事责任的能力；</w:t>
      </w:r>
    </w:p>
    <w:p w14:paraId="4C38E105">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（二）具有良好的商业信誉和健全的财务会计制度；</w:t>
      </w:r>
    </w:p>
    <w:p w14:paraId="37DB73D3">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（三）具有履行合同所必需的设备和专业技术能力；</w:t>
      </w:r>
    </w:p>
    <w:p w14:paraId="6CE0E7B7">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（四）有依法缴纳税收和社会保障资金的良好记录；</w:t>
      </w:r>
    </w:p>
    <w:p w14:paraId="10DA49A2">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（五）参加政府采购活动前三年内，在经营活动中没有重大违法记录；</w:t>
      </w:r>
    </w:p>
    <w:p w14:paraId="2CD43E5C">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hint="eastAsia" w:ascii="Times New Roman" w:hAnsi="仿宋" w:eastAsia="仿宋" w:cs="Times New Roman"/>
          <w:sz w:val="32"/>
          <w:szCs w:val="32"/>
        </w:rPr>
        <w:t>（六）法律、行政法规规定的其他条件。</w:t>
      </w:r>
    </w:p>
    <w:p w14:paraId="5BC1A1CA">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ascii="Times New Roman" w:hAnsi="Times New Roman" w:eastAsia="仿宋" w:cs="Times New Roman"/>
          <w:sz w:val="32"/>
          <w:szCs w:val="32"/>
        </w:rPr>
        <w:t>1.2</w:t>
      </w:r>
      <w:r>
        <w:rPr>
          <w:rFonts w:hint="eastAsia" w:ascii="Times New Roman" w:hAnsi="仿宋" w:eastAsia="仿宋" w:cs="Times New Roman"/>
          <w:sz w:val="32"/>
          <w:szCs w:val="32"/>
        </w:rPr>
        <w:t>营业执照副本、银行开户许可证。</w:t>
      </w:r>
    </w:p>
    <w:p w14:paraId="5CAEF618">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ascii="Times New Roman" w:hAnsi="Times New Roman" w:eastAsia="仿宋" w:cs="Times New Roman"/>
          <w:sz w:val="32"/>
          <w:szCs w:val="32"/>
        </w:rPr>
        <w:t>1.3</w:t>
      </w:r>
      <w:r>
        <w:rPr>
          <w:rFonts w:hint="eastAsia" w:ascii="Times New Roman" w:hAnsi="仿宋" w:eastAsia="仿宋" w:cs="Times New Roman"/>
          <w:sz w:val="32"/>
          <w:szCs w:val="32"/>
        </w:rPr>
        <w:t>参加政府采购活动前三年内在经营活动中没有重大违法记录的书面声明。</w:t>
      </w:r>
    </w:p>
    <w:p w14:paraId="20E230B3">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ascii="Times New Roman" w:hAnsi="Times New Roman" w:eastAsia="仿宋" w:cs="Times New Roman"/>
          <w:sz w:val="32"/>
          <w:szCs w:val="32"/>
        </w:rPr>
        <w:t>1.4</w:t>
      </w:r>
      <w:r>
        <w:rPr>
          <w:rFonts w:hint="eastAsia" w:ascii="Times New Roman" w:hAnsi="仿宋" w:eastAsia="仿宋" w:cs="Times New Roman"/>
          <w:sz w:val="32"/>
          <w:szCs w:val="32"/>
        </w:rPr>
        <w:t>被</w:t>
      </w:r>
      <w:r>
        <w:rPr>
          <w:rFonts w:ascii="Times New Roman" w:hAnsi="Times New Roman" w:eastAsia="仿宋" w:cs="Times New Roman"/>
          <w:sz w:val="32"/>
          <w:szCs w:val="32"/>
        </w:rPr>
        <w:t>“</w:t>
      </w:r>
      <w:r>
        <w:rPr>
          <w:rFonts w:hint="eastAsia" w:ascii="Times New Roman" w:hAnsi="仿宋" w:eastAsia="仿宋" w:cs="Times New Roman"/>
          <w:sz w:val="32"/>
          <w:szCs w:val="32"/>
        </w:rPr>
        <w:t>信用中国</w:t>
      </w:r>
      <w:r>
        <w:rPr>
          <w:rFonts w:ascii="Times New Roman" w:hAnsi="Times New Roman" w:eastAsia="仿宋" w:cs="Times New Roman"/>
          <w:sz w:val="32"/>
          <w:szCs w:val="32"/>
        </w:rPr>
        <w:t>”</w:t>
      </w:r>
      <w:r>
        <w:rPr>
          <w:rFonts w:hint="eastAsia" w:ascii="Times New Roman" w:hAnsi="仿宋" w:eastAsia="仿宋" w:cs="Times New Roman"/>
          <w:sz w:val="32"/>
          <w:szCs w:val="32"/>
        </w:rPr>
        <w:t>网站列入失信被执行人和重大税收违法案件当事人名单的、被</w:t>
      </w:r>
      <w:r>
        <w:rPr>
          <w:rFonts w:ascii="Times New Roman" w:hAnsi="Times New Roman" w:eastAsia="仿宋" w:cs="Times New Roman"/>
          <w:sz w:val="32"/>
          <w:szCs w:val="32"/>
        </w:rPr>
        <w:t>“</w:t>
      </w:r>
      <w:r>
        <w:rPr>
          <w:rFonts w:hint="eastAsia" w:ascii="Times New Roman" w:hAnsi="仿宋" w:eastAsia="仿宋" w:cs="Times New Roman"/>
          <w:sz w:val="32"/>
          <w:szCs w:val="32"/>
        </w:rPr>
        <w:t>中国政府采购网</w:t>
      </w:r>
      <w:r>
        <w:rPr>
          <w:rFonts w:ascii="Times New Roman" w:hAnsi="Times New Roman" w:eastAsia="仿宋" w:cs="Times New Roman"/>
          <w:sz w:val="32"/>
          <w:szCs w:val="32"/>
        </w:rPr>
        <w:t>”</w:t>
      </w:r>
      <w:r>
        <w:rPr>
          <w:rFonts w:hint="eastAsia" w:ascii="Times New Roman" w:hAnsi="仿宋" w:eastAsia="仿宋" w:cs="Times New Roman"/>
          <w:sz w:val="32"/>
          <w:szCs w:val="32"/>
        </w:rPr>
        <w:t>网站列入政府采购严重违法失信行为记录名单（处罚期限尚未届满的），不得参与本项目的政府采购活动。</w:t>
      </w:r>
    </w:p>
    <w:p w14:paraId="4495E66C">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ascii="Times New Roman" w:hAnsi="Times New Roman" w:eastAsia="仿宋" w:cs="Times New Roman"/>
          <w:sz w:val="32"/>
          <w:szCs w:val="32"/>
        </w:rPr>
        <w:t>1.5</w:t>
      </w:r>
      <w:r>
        <w:rPr>
          <w:rFonts w:hint="eastAsia" w:ascii="Times New Roman" w:hAnsi="仿宋" w:eastAsia="仿宋" w:cs="Times New Roman"/>
          <w:sz w:val="32"/>
          <w:szCs w:val="32"/>
        </w:rPr>
        <w:t>法律、行政法规规定的其他条件的证明材料。</w:t>
      </w:r>
    </w:p>
    <w:p w14:paraId="137CDB40">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sz w:val="32"/>
          <w:szCs w:val="32"/>
        </w:rPr>
      </w:pPr>
      <w:r>
        <w:rPr>
          <w:rFonts w:ascii="Times New Roman" w:hAnsi="Times New Roman" w:eastAsia="仿宋" w:cs="Times New Roman"/>
          <w:sz w:val="32"/>
          <w:szCs w:val="32"/>
        </w:rPr>
        <w:t>2</w:t>
      </w:r>
      <w:r>
        <w:rPr>
          <w:rFonts w:hint="eastAsia" w:ascii="Times New Roman" w:hAnsi="仿宋" w:eastAsia="仿宋" w:cs="Times New Roman"/>
          <w:sz w:val="32"/>
          <w:szCs w:val="32"/>
        </w:rPr>
        <w:t>、供应商特定资格要求：</w:t>
      </w:r>
    </w:p>
    <w:p w14:paraId="4587CE62">
      <w:pPr>
        <w:widowControl w:val="0"/>
        <w:kinsoku/>
        <w:autoSpaceDE/>
        <w:autoSpaceDN/>
        <w:spacing w:line="560" w:lineRule="exact"/>
        <w:ind w:firstLine="640" w:firstLineChars="200"/>
        <w:jc w:val="both"/>
        <w:textAlignment w:val="auto"/>
        <w:outlineLvl w:val="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 xml:space="preserve">2.1 </w:t>
      </w:r>
      <w:r>
        <w:rPr>
          <w:rFonts w:hint="eastAsia" w:ascii="Times New Roman" w:hAnsi="仿宋" w:eastAsia="仿宋" w:cs="Times New Roman"/>
          <w:color w:val="auto"/>
          <w:sz w:val="32"/>
          <w:szCs w:val="32"/>
        </w:rPr>
        <w:t>具备自然资源行政主管部门颁发的土地规划资质证书乙级及以上资质证书。</w:t>
      </w:r>
    </w:p>
    <w:p w14:paraId="107FFF84">
      <w:pPr>
        <w:spacing w:line="360" w:lineRule="auto"/>
        <w:rPr>
          <w:rFonts w:ascii="Times New Roman" w:hAnsi="Times New Roman" w:eastAsia="仿宋" w:cs="Times New Roman"/>
          <w:color w:val="auto"/>
          <w:spacing w:val="-1"/>
          <w:sz w:val="32"/>
          <w:szCs w:val="32"/>
        </w:rPr>
      </w:pPr>
    </w:p>
    <w:sectPr>
      <w:footerReference r:id="rId3" w:type="default"/>
      <w:pgSz w:w="11906" w:h="16838"/>
      <w:pgMar w:top="1985"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简体">
    <w:altName w:val="宋体"/>
    <w:panose1 w:val="00000000000000000000"/>
    <w:charset w:val="86"/>
    <w:family w:val="auto"/>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6DCAA">
    <w:pPr>
      <w:pStyle w:val="2"/>
      <w:jc w:val="center"/>
    </w:pPr>
    <w:r>
      <w:fldChar w:fldCharType="begin"/>
    </w:r>
    <w:r>
      <w:instrText xml:space="preserve">PAGE   \* MERGEFORMAT</w:instrText>
    </w:r>
    <w:r>
      <w:fldChar w:fldCharType="separate"/>
    </w:r>
    <w:r>
      <w:rPr>
        <w:lang w:val="zh-CN"/>
      </w:rPr>
      <w:t>2</w:t>
    </w:r>
    <w:r>
      <w:rPr>
        <w:lang w:val="zh-CN"/>
      </w:rPr>
      <w:fldChar w:fldCharType="end"/>
    </w:r>
  </w:p>
  <w:p w14:paraId="7E8ADB95">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UzMjUyMjExZTk5MzRhY2M2ZWE5ODVlYjNiOWYwOTUifQ=="/>
  </w:docVars>
  <w:rsids>
    <w:rsidRoot w:val="00CC41D9"/>
    <w:rsid w:val="0001705D"/>
    <w:rsid w:val="00081EEF"/>
    <w:rsid w:val="000824D1"/>
    <w:rsid w:val="00085343"/>
    <w:rsid w:val="00092B0F"/>
    <w:rsid w:val="001157D1"/>
    <w:rsid w:val="00153C48"/>
    <w:rsid w:val="00194961"/>
    <w:rsid w:val="001B7AF3"/>
    <w:rsid w:val="001F24A1"/>
    <w:rsid w:val="00215D02"/>
    <w:rsid w:val="002611F4"/>
    <w:rsid w:val="002706C0"/>
    <w:rsid w:val="00286D2A"/>
    <w:rsid w:val="002B39F4"/>
    <w:rsid w:val="00346C4A"/>
    <w:rsid w:val="003D4782"/>
    <w:rsid w:val="004A65C0"/>
    <w:rsid w:val="004D14CD"/>
    <w:rsid w:val="004D5176"/>
    <w:rsid w:val="004D68FC"/>
    <w:rsid w:val="004F19B0"/>
    <w:rsid w:val="00530D97"/>
    <w:rsid w:val="005352DD"/>
    <w:rsid w:val="005728B0"/>
    <w:rsid w:val="005D3A66"/>
    <w:rsid w:val="005E0FEC"/>
    <w:rsid w:val="00611DF1"/>
    <w:rsid w:val="006B3ACE"/>
    <w:rsid w:val="00767A79"/>
    <w:rsid w:val="00794A81"/>
    <w:rsid w:val="007C0833"/>
    <w:rsid w:val="00801724"/>
    <w:rsid w:val="00873F3E"/>
    <w:rsid w:val="00941871"/>
    <w:rsid w:val="00986ED1"/>
    <w:rsid w:val="0099036E"/>
    <w:rsid w:val="00A11EF6"/>
    <w:rsid w:val="00A70A56"/>
    <w:rsid w:val="00A75ADB"/>
    <w:rsid w:val="00AE612C"/>
    <w:rsid w:val="00B45803"/>
    <w:rsid w:val="00BC02B4"/>
    <w:rsid w:val="00BD4856"/>
    <w:rsid w:val="00C03A9D"/>
    <w:rsid w:val="00C427BD"/>
    <w:rsid w:val="00C9350B"/>
    <w:rsid w:val="00CB2A7A"/>
    <w:rsid w:val="00CC41D9"/>
    <w:rsid w:val="00CF350A"/>
    <w:rsid w:val="00D37EB0"/>
    <w:rsid w:val="00E07159"/>
    <w:rsid w:val="00E16364"/>
    <w:rsid w:val="00E34F4A"/>
    <w:rsid w:val="00E64769"/>
    <w:rsid w:val="00EB4DC7"/>
    <w:rsid w:val="00EF5DFF"/>
    <w:rsid w:val="00FC191F"/>
    <w:rsid w:val="08F203BB"/>
    <w:rsid w:val="0BC315AE"/>
    <w:rsid w:val="0F846DDB"/>
    <w:rsid w:val="1F3423DD"/>
    <w:rsid w:val="243548F6"/>
    <w:rsid w:val="2920429C"/>
    <w:rsid w:val="2A8F072F"/>
    <w:rsid w:val="2F364819"/>
    <w:rsid w:val="30717AD3"/>
    <w:rsid w:val="332C549A"/>
    <w:rsid w:val="33CA3782"/>
    <w:rsid w:val="35301D0A"/>
    <w:rsid w:val="38787C50"/>
    <w:rsid w:val="38DB2370"/>
    <w:rsid w:val="38DE2D8B"/>
    <w:rsid w:val="3A483652"/>
    <w:rsid w:val="3AD96499"/>
    <w:rsid w:val="41170E6F"/>
    <w:rsid w:val="424C2DF3"/>
    <w:rsid w:val="43CF7452"/>
    <w:rsid w:val="452D3B70"/>
    <w:rsid w:val="478D3E0D"/>
    <w:rsid w:val="48585503"/>
    <w:rsid w:val="4BE56B11"/>
    <w:rsid w:val="53D37129"/>
    <w:rsid w:val="56BC4ADC"/>
    <w:rsid w:val="57DE0CFA"/>
    <w:rsid w:val="5DF4619F"/>
    <w:rsid w:val="5F52713E"/>
    <w:rsid w:val="61857E14"/>
    <w:rsid w:val="68FB5F09"/>
    <w:rsid w:val="6BDD77EF"/>
    <w:rsid w:val="6C80726E"/>
    <w:rsid w:val="6DE94229"/>
    <w:rsid w:val="6E575151"/>
    <w:rsid w:val="7161621F"/>
    <w:rsid w:val="77B52B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autoRedefine/>
    <w:uiPriority w:val="99"/>
    <w:pPr>
      <w:tabs>
        <w:tab w:val="center" w:pos="4153"/>
        <w:tab w:val="right" w:pos="8306"/>
      </w:tabs>
    </w:pPr>
    <w:rPr>
      <w:sz w:val="18"/>
      <w:szCs w:val="18"/>
    </w:rPr>
  </w:style>
  <w:style w:type="paragraph" w:styleId="3">
    <w:name w:val="header"/>
    <w:basedOn w:val="1"/>
    <w:link w:val="7"/>
    <w:autoRedefine/>
    <w:uiPriority w:val="99"/>
    <w:pPr>
      <w:pBdr>
        <w:bottom w:val="single" w:color="auto" w:sz="6" w:space="1"/>
      </w:pBdr>
      <w:tabs>
        <w:tab w:val="center" w:pos="4153"/>
        <w:tab w:val="right" w:pos="8306"/>
      </w:tabs>
      <w:jc w:val="center"/>
    </w:pPr>
    <w:rPr>
      <w:sz w:val="18"/>
      <w:szCs w:val="18"/>
    </w:rPr>
  </w:style>
  <w:style w:type="character" w:customStyle="1" w:styleId="6">
    <w:name w:val="Footer Char"/>
    <w:basedOn w:val="5"/>
    <w:link w:val="2"/>
    <w:locked/>
    <w:uiPriority w:val="99"/>
    <w:rPr>
      <w:rFonts w:ascii="Arial" w:hAnsi="Arial" w:eastAsia="Times New Roman" w:cs="Arial"/>
      <w:snapToGrid w:val="0"/>
      <w:color w:val="000000"/>
      <w:kern w:val="0"/>
      <w:sz w:val="18"/>
      <w:szCs w:val="18"/>
    </w:rPr>
  </w:style>
  <w:style w:type="character" w:customStyle="1" w:styleId="7">
    <w:name w:val="Header Char"/>
    <w:basedOn w:val="5"/>
    <w:link w:val="3"/>
    <w:locked/>
    <w:uiPriority w:val="99"/>
    <w:rPr>
      <w:rFonts w:ascii="Arial" w:hAnsi="Arial" w:eastAsia="Times New Roman" w:cs="Arial"/>
      <w:snapToGrid w:val="0"/>
      <w:color w:val="000000"/>
      <w:kern w:val="0"/>
      <w:sz w:val="18"/>
      <w:szCs w:val="18"/>
    </w:rPr>
  </w:style>
  <w:style w:type="paragraph" w:customStyle="1" w:styleId="8">
    <w:name w:val="首行缩进"/>
    <w:basedOn w:val="1"/>
    <w:qFormat/>
    <w:uiPriority w:val="99"/>
    <w:pPr>
      <w:spacing w:line="300" w:lineRule="auto"/>
      <w:ind w:firstLine="420" w:firstLineChars="200"/>
    </w:pPr>
    <w:rPr>
      <w:rFonts w:eastAsia="方正书宋简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4</Pages>
  <Words>1639</Words>
  <Characters>1675</Characters>
  <Lines>0</Lines>
  <Paragraphs>0</Paragraphs>
  <TotalTime>26</TotalTime>
  <ScaleCrop>false</ScaleCrop>
  <LinksUpToDate>false</LinksUpToDate>
  <CharactersWithSpaces>1680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2023-08-01T07:08:00Z</dcterms:created>
  <dc:creator>PC</dc:creator>
  <cp:lastModifiedBy>马丁</cp:lastModifiedBy>
  <cp:lastPrinted>2025-12-18T00:30:54Z</cp:lastPrinted>
  <dcterms:modified xsi:type="dcterms:W3CDTF">2025-12-18T00:30:59Z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BC56B288E658429DAD532CCDE6ACC6BB_13</vt:lpwstr>
  </property>
  <property fmtid="{D5CDD505-2E9C-101B-9397-08002B2CF9AE}" pid="4" name="KSOTemplateDocerSaveRecord">
    <vt:lpwstr>eyJoZGlkIjoiMmUwNGU0OThiNzk2NmU5ZmM1NjRiNWZjNWIxYTIzNTEiLCJ1c2VySWQiOiIzNzMwNzA2MzUifQ==</vt:lpwstr>
  </property>
</Properties>
</file>