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01E51148">
      <w:pPr>
        <w:spacing w:line="576" w:lineRule="exact"/>
        <w:rPr>
          <w:rFonts w:ascii="仿宋_GB2312" w:hAnsi="仿宋_GB2312" w:eastAsia="仿宋_GB2312" w:cs="仿宋_GB2312"/>
          <w:sz w:val="32"/>
          <w:szCs w:val="32"/>
        </w:rPr>
      </w:pPr>
      <w:r>
        <w:rPr>
          <w:rFonts w:hint="eastAsia" w:ascii="仿宋" w:hAnsi="仿宋" w:eastAsia="仿宋" w:cs="仿宋"/>
          <w:sz w:val="32"/>
          <w:szCs w:val="32"/>
        </w:rPr>
        <w:t>湘潭县射埠镇百水村经济合作社</w:t>
      </w:r>
      <w:r>
        <w:rPr>
          <w:rFonts w:hint="eastAsia" w:ascii="仿宋_GB2312" w:hAnsi="仿宋_GB2312" w:eastAsia="仿宋_GB2312" w:cs="仿宋_GB2312"/>
          <w:sz w:val="32"/>
          <w:szCs w:val="32"/>
        </w:rPr>
        <w:t>：</w:t>
      </w:r>
    </w:p>
    <w:p w14:paraId="4BD4986D">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为了进一步加强电力项目的安全管理，有效防范安全生产和质量事故，现就你单位“湘潭县射埠镇百水村经济合作社射埠镇百水村鸡棚屋顶42.6KW光伏发电项目”施工安全和质量管控应重点注意的事项告知如下。</w:t>
      </w:r>
    </w:p>
    <w:p w14:paraId="32FE9507">
      <w:pPr>
        <w:spacing w:line="576"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2BD50B75"/>
    <w:rsid w:val="2FED29FE"/>
    <w:rsid w:val="36CE3FBF"/>
    <w:rsid w:val="4164390B"/>
    <w:rsid w:val="45B1515F"/>
    <w:rsid w:val="4A286828"/>
    <w:rsid w:val="4A8D2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621</Words>
  <Characters>646</Characters>
  <Lines>0</Lines>
  <Paragraphs>0</Paragraphs>
  <TotalTime>0</TotalTime>
  <ScaleCrop>false</ScaleCrop>
  <LinksUpToDate>false</LinksUpToDate>
  <CharactersWithSpaces>646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2025-12-16T09:30:47Z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