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DB21F4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ind w:left="0"/>
        <w:jc w:val="both"/>
        <w:textAlignment w:val="auto"/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黑体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  <w:t>1</w:t>
      </w:r>
    </w:p>
    <w:p w14:paraId="22196CBD"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center"/>
        <w:textAlignment w:val="baseline"/>
        <w:rPr>
          <w:rFonts w:hint="eastAsia" w:ascii="方正小标宋_GBK" w:hAnsi="方正小标宋_GBK" w:eastAsia="方正小标宋_GBK" w:cs="方正小标宋_GBK"/>
          <w:b w:val="0"/>
          <w:bCs w:val="0"/>
          <w:spacing w:val="-1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  <w:t>湘潭县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2025年第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  <w:t>四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批以工代赈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  <w:t>项目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中央预算内投资计</w:t>
      </w:r>
      <w:r>
        <w:rPr>
          <w:rFonts w:hint="eastAsia" w:ascii="方正小标宋_GBK" w:hAnsi="方正小标宋_GBK" w:eastAsia="方正小标宋_GBK" w:cs="方正小标宋_GBK"/>
          <w:b w:val="0"/>
          <w:bCs w:val="0"/>
          <w:spacing w:val="-1"/>
          <w:sz w:val="44"/>
          <w:szCs w:val="44"/>
        </w:rPr>
        <w:t>划表</w:t>
      </w:r>
    </w:p>
    <w:p w14:paraId="426EC3D3"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center"/>
        <w:textAlignment w:val="baseline"/>
        <w:rPr>
          <w:rFonts w:hint="eastAsia" w:ascii="方正小标宋_GBK" w:hAnsi="方正小标宋_GBK" w:eastAsia="方正小标宋_GBK" w:cs="方正小标宋_GBK"/>
          <w:b w:val="0"/>
          <w:bCs w:val="0"/>
          <w:spacing w:val="-1"/>
          <w:sz w:val="44"/>
          <w:szCs w:val="44"/>
          <w:lang w:eastAsia="zh-CN"/>
        </w:rPr>
      </w:pPr>
    </w:p>
    <w:tbl>
      <w:tblPr>
        <w:tblStyle w:val="5"/>
        <w:tblW w:w="4784" w:type="pct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57"/>
        <w:gridCol w:w="737"/>
        <w:gridCol w:w="525"/>
        <w:gridCol w:w="525"/>
        <w:gridCol w:w="805"/>
        <w:gridCol w:w="754"/>
        <w:gridCol w:w="525"/>
        <w:gridCol w:w="491"/>
        <w:gridCol w:w="1093"/>
        <w:gridCol w:w="759"/>
        <w:gridCol w:w="689"/>
        <w:gridCol w:w="729"/>
        <w:gridCol w:w="579"/>
        <w:gridCol w:w="510"/>
        <w:gridCol w:w="525"/>
        <w:gridCol w:w="585"/>
        <w:gridCol w:w="435"/>
        <w:gridCol w:w="375"/>
        <w:gridCol w:w="300"/>
        <w:gridCol w:w="405"/>
        <w:gridCol w:w="571"/>
        <w:gridCol w:w="660"/>
        <w:gridCol w:w="614"/>
        <w:gridCol w:w="720"/>
        <w:gridCol w:w="765"/>
        <w:gridCol w:w="750"/>
        <w:gridCol w:w="765"/>
        <w:gridCol w:w="705"/>
        <w:gridCol w:w="1035"/>
        <w:gridCol w:w="705"/>
        <w:gridCol w:w="645"/>
        <w:gridCol w:w="705"/>
        <w:gridCol w:w="525"/>
        <w:gridCol w:w="733"/>
      </w:tblGrid>
      <w:tr w14:paraId="22521F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tblHeader/>
          <w:jc w:val="center"/>
        </w:trPr>
        <w:tc>
          <w:tcPr>
            <w:tcW w:w="105" w:type="pct"/>
            <w:vMerge w:val="restart"/>
            <w:tcBorders>
              <w:bottom w:val="nil"/>
            </w:tcBorders>
            <w:vAlign w:val="center"/>
          </w:tcPr>
          <w:p w14:paraId="4C14498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黑体" w:cs="仿宋_GB2312"/>
                <w:spacing w:val="0"/>
                <w:w w:val="100"/>
                <w:sz w:val="24"/>
                <w:szCs w:val="24"/>
              </w:rPr>
            </w:pPr>
            <w:r>
              <w:rPr>
                <w:rFonts w:ascii="Times New Roman" w:hAnsi="Times New Roman" w:eastAsia="黑体" w:cs="仿宋_GB2312"/>
                <w:spacing w:val="0"/>
                <w:w w:val="100"/>
                <w:sz w:val="24"/>
                <w:szCs w:val="24"/>
              </w:rPr>
              <w:t>序号</w:t>
            </w:r>
          </w:p>
        </w:tc>
        <w:tc>
          <w:tcPr>
            <w:tcW w:w="169" w:type="pct"/>
            <w:vMerge w:val="restart"/>
            <w:tcBorders>
              <w:bottom w:val="nil"/>
            </w:tcBorders>
            <w:vAlign w:val="center"/>
          </w:tcPr>
          <w:p w14:paraId="3590532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Times New Roman" w:hAnsi="Times New Roman" w:eastAsia="黑体" w:cs="仿宋_GB2312"/>
                <w:spacing w:val="0"/>
                <w:w w:val="10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黑体" w:cs="仿宋_GB2312"/>
                <w:spacing w:val="0"/>
                <w:w w:val="100"/>
                <w:sz w:val="24"/>
                <w:szCs w:val="24"/>
              </w:rPr>
              <w:t>省</w:t>
            </w:r>
            <w:r>
              <w:rPr>
                <w:rFonts w:hint="eastAsia" w:ascii="Times New Roman" w:hAnsi="Times New Roman" w:eastAsia="黑体" w:cs="仿宋_GB2312"/>
                <w:spacing w:val="0"/>
                <w:w w:val="100"/>
                <w:sz w:val="24"/>
                <w:szCs w:val="24"/>
                <w:lang w:eastAsia="zh-CN"/>
              </w:rPr>
              <w:t>（</w:t>
            </w:r>
            <w:r>
              <w:rPr>
                <w:rFonts w:ascii="Times New Roman" w:hAnsi="Times New Roman" w:eastAsia="黑体" w:cs="仿宋_GB2312"/>
                <w:spacing w:val="0"/>
                <w:w w:val="100"/>
                <w:sz w:val="24"/>
                <w:szCs w:val="24"/>
              </w:rPr>
              <w:t>区、市</w:t>
            </w:r>
            <w:r>
              <w:rPr>
                <w:rFonts w:hint="eastAsia" w:ascii="Times New Roman" w:hAnsi="Times New Roman" w:eastAsia="黑体" w:cs="仿宋_GB2312"/>
                <w:spacing w:val="0"/>
                <w:w w:val="10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20" w:type="pct"/>
            <w:vMerge w:val="restart"/>
            <w:tcBorders>
              <w:bottom w:val="nil"/>
            </w:tcBorders>
            <w:vAlign w:val="center"/>
          </w:tcPr>
          <w:p w14:paraId="2C3D1F3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Times New Roman" w:hAnsi="Times New Roman" w:eastAsia="黑体" w:cs="仿宋_GB2312"/>
                <w:spacing w:val="0"/>
                <w:w w:val="10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黑体" w:cs="仿宋_GB2312"/>
                <w:spacing w:val="0"/>
                <w:w w:val="100"/>
                <w:sz w:val="24"/>
                <w:szCs w:val="24"/>
              </w:rPr>
              <w:t>地</w:t>
            </w:r>
            <w:r>
              <w:rPr>
                <w:rFonts w:hint="eastAsia" w:ascii="Times New Roman" w:hAnsi="Times New Roman" w:eastAsia="黑体" w:cs="仿宋_GB2312"/>
                <w:spacing w:val="0"/>
                <w:w w:val="100"/>
                <w:sz w:val="24"/>
                <w:szCs w:val="24"/>
                <w:lang w:eastAsia="zh-CN"/>
              </w:rPr>
              <w:t>（</w:t>
            </w:r>
            <w:r>
              <w:rPr>
                <w:rFonts w:ascii="Times New Roman" w:hAnsi="Times New Roman" w:eastAsia="黑体" w:cs="仿宋_GB2312"/>
                <w:spacing w:val="0"/>
                <w:w w:val="100"/>
                <w:sz w:val="24"/>
                <w:szCs w:val="24"/>
              </w:rPr>
              <w:t>市、州</w:t>
            </w:r>
            <w:r>
              <w:rPr>
                <w:rFonts w:hint="eastAsia" w:ascii="Times New Roman" w:hAnsi="Times New Roman" w:eastAsia="黑体" w:cs="仿宋_GB2312"/>
                <w:spacing w:val="0"/>
                <w:w w:val="10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20" w:type="pct"/>
            <w:vMerge w:val="restart"/>
            <w:tcBorders>
              <w:bottom w:val="nil"/>
            </w:tcBorders>
            <w:vAlign w:val="center"/>
          </w:tcPr>
          <w:p w14:paraId="2DF3F81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Times New Roman" w:hAnsi="Times New Roman" w:eastAsia="黑体" w:cs="仿宋_GB2312"/>
                <w:spacing w:val="0"/>
                <w:w w:val="10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黑体" w:cs="仿宋_GB2312"/>
                <w:spacing w:val="0"/>
                <w:w w:val="100"/>
                <w:sz w:val="24"/>
                <w:szCs w:val="24"/>
              </w:rPr>
              <w:t>县</w:t>
            </w:r>
            <w:r>
              <w:rPr>
                <w:rFonts w:hint="eastAsia" w:ascii="Times New Roman" w:hAnsi="Times New Roman" w:eastAsia="黑体" w:cs="仿宋_GB2312"/>
                <w:spacing w:val="0"/>
                <w:w w:val="100"/>
                <w:sz w:val="24"/>
                <w:szCs w:val="24"/>
                <w:lang w:eastAsia="zh-CN"/>
              </w:rPr>
              <w:t>（</w:t>
            </w:r>
            <w:r>
              <w:rPr>
                <w:rFonts w:ascii="Times New Roman" w:hAnsi="Times New Roman" w:eastAsia="黑体" w:cs="仿宋_GB2312"/>
                <w:spacing w:val="0"/>
                <w:w w:val="100"/>
                <w:sz w:val="24"/>
                <w:szCs w:val="24"/>
              </w:rPr>
              <w:t>市、区</w:t>
            </w:r>
            <w:r>
              <w:rPr>
                <w:rFonts w:hint="eastAsia" w:ascii="Times New Roman" w:hAnsi="Times New Roman" w:eastAsia="黑体" w:cs="仿宋_GB2312"/>
                <w:spacing w:val="0"/>
                <w:w w:val="10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85" w:type="pct"/>
            <w:vMerge w:val="restart"/>
            <w:tcBorders>
              <w:bottom w:val="nil"/>
            </w:tcBorders>
            <w:vAlign w:val="center"/>
          </w:tcPr>
          <w:p w14:paraId="05686E2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黑体" w:cs="仿宋_GB2312"/>
                <w:spacing w:val="0"/>
                <w:w w:val="100"/>
                <w:sz w:val="24"/>
                <w:szCs w:val="24"/>
              </w:rPr>
            </w:pPr>
            <w:r>
              <w:rPr>
                <w:rFonts w:ascii="Times New Roman" w:hAnsi="Times New Roman" w:eastAsia="黑体" w:cs="仿宋_GB2312"/>
                <w:spacing w:val="0"/>
                <w:w w:val="100"/>
                <w:sz w:val="24"/>
                <w:szCs w:val="24"/>
              </w:rPr>
              <w:t>项目名称</w:t>
            </w:r>
          </w:p>
        </w:tc>
        <w:tc>
          <w:tcPr>
            <w:tcW w:w="173" w:type="pct"/>
            <w:vMerge w:val="restart"/>
            <w:tcBorders>
              <w:bottom w:val="nil"/>
            </w:tcBorders>
            <w:vAlign w:val="center"/>
          </w:tcPr>
          <w:p w14:paraId="0DA3861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Times New Roman" w:hAnsi="Times New Roman" w:eastAsia="黑体" w:cs="仿宋_GB2312"/>
                <w:spacing w:val="0"/>
                <w:w w:val="10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黑体" w:cs="仿宋_GB2312"/>
                <w:spacing w:val="0"/>
                <w:w w:val="100"/>
                <w:sz w:val="24"/>
                <w:szCs w:val="24"/>
              </w:rPr>
              <w:t>项目类型</w:t>
            </w:r>
            <w:r>
              <w:rPr>
                <w:rFonts w:hint="eastAsia" w:ascii="Times New Roman" w:hAnsi="Times New Roman" w:eastAsia="黑体" w:cs="仿宋_GB2312"/>
                <w:spacing w:val="0"/>
                <w:w w:val="100"/>
                <w:sz w:val="24"/>
                <w:szCs w:val="24"/>
                <w:lang w:eastAsia="zh-CN"/>
              </w:rPr>
              <w:t>（</w:t>
            </w:r>
            <w:r>
              <w:rPr>
                <w:rFonts w:ascii="Times New Roman" w:hAnsi="Times New Roman" w:eastAsia="黑体" w:cs="仿宋_GB2312"/>
                <w:spacing w:val="0"/>
                <w:w w:val="100"/>
                <w:sz w:val="24"/>
                <w:szCs w:val="24"/>
              </w:rPr>
              <w:t>城乡融合发展类/农业农村类</w:t>
            </w:r>
            <w:r>
              <w:rPr>
                <w:rFonts w:hint="eastAsia" w:ascii="Times New Roman" w:hAnsi="Times New Roman" w:eastAsia="黑体" w:cs="仿宋_GB2312"/>
                <w:spacing w:val="0"/>
                <w:w w:val="10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20" w:type="pct"/>
            <w:vMerge w:val="restart"/>
            <w:tcBorders>
              <w:bottom w:val="nil"/>
            </w:tcBorders>
            <w:vAlign w:val="center"/>
          </w:tcPr>
          <w:p w14:paraId="7523C9B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Times New Roman" w:hAnsi="Times New Roman" w:eastAsia="黑体" w:cs="仿宋_GB2312"/>
                <w:spacing w:val="0"/>
                <w:w w:val="1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黑体" w:cs="仿宋_GB2312"/>
                <w:spacing w:val="0"/>
                <w:w w:val="100"/>
                <w:sz w:val="24"/>
                <w:szCs w:val="24"/>
                <w:lang w:eastAsia="zh-CN"/>
              </w:rPr>
              <w:t>建设性质</w:t>
            </w:r>
          </w:p>
        </w:tc>
        <w:tc>
          <w:tcPr>
            <w:tcW w:w="113" w:type="pct"/>
            <w:vMerge w:val="restart"/>
            <w:tcBorders>
              <w:bottom w:val="nil"/>
            </w:tcBorders>
            <w:vAlign w:val="center"/>
          </w:tcPr>
          <w:p w14:paraId="5CE61CC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Times New Roman" w:hAnsi="Times New Roman" w:eastAsia="黑体" w:cs="仿宋_GB2312"/>
                <w:spacing w:val="0"/>
                <w:w w:val="1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黑体" w:cs="仿宋_GB2312"/>
                <w:spacing w:val="0"/>
                <w:w w:val="100"/>
                <w:sz w:val="24"/>
                <w:szCs w:val="24"/>
                <w:lang w:eastAsia="zh-CN"/>
              </w:rPr>
              <w:t>建设规模汇总</w:t>
            </w:r>
          </w:p>
        </w:tc>
        <w:tc>
          <w:tcPr>
            <w:tcW w:w="251" w:type="pct"/>
            <w:vMerge w:val="restart"/>
            <w:tcBorders>
              <w:bottom w:val="nil"/>
            </w:tcBorders>
            <w:vAlign w:val="center"/>
          </w:tcPr>
          <w:p w14:paraId="22D91C2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Times New Roman" w:hAnsi="Times New Roman" w:eastAsia="黑体" w:cs="仿宋_GB2312"/>
                <w:spacing w:val="0"/>
                <w:w w:val="1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黑体" w:cs="仿宋_GB2312"/>
                <w:spacing w:val="0"/>
                <w:w w:val="100"/>
                <w:sz w:val="24"/>
                <w:szCs w:val="24"/>
                <w:lang w:eastAsia="zh-CN"/>
              </w:rPr>
              <w:t>建设内容汇总</w:t>
            </w:r>
          </w:p>
        </w:tc>
        <w:tc>
          <w:tcPr>
            <w:tcW w:w="174" w:type="pct"/>
            <w:vMerge w:val="restart"/>
            <w:tcBorders>
              <w:bottom w:val="nil"/>
            </w:tcBorders>
            <w:vAlign w:val="center"/>
          </w:tcPr>
          <w:p w14:paraId="33042A6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Times New Roman" w:hAnsi="Times New Roman" w:eastAsia="黑体" w:cs="仿宋_GB2312"/>
                <w:spacing w:val="0"/>
                <w:w w:val="10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黑体" w:cs="仿宋_GB2312"/>
                <w:spacing w:val="0"/>
                <w:w w:val="100"/>
                <w:sz w:val="24"/>
                <w:szCs w:val="24"/>
              </w:rPr>
              <w:t>拟开工日期</w:t>
            </w:r>
            <w:r>
              <w:rPr>
                <w:rFonts w:hint="eastAsia" w:ascii="Times New Roman" w:hAnsi="Times New Roman" w:eastAsia="黑体" w:cs="仿宋_GB2312"/>
                <w:spacing w:val="0"/>
                <w:w w:val="100"/>
                <w:sz w:val="24"/>
                <w:szCs w:val="24"/>
                <w:lang w:eastAsia="zh-CN"/>
              </w:rPr>
              <w:t>（</w:t>
            </w:r>
            <w:r>
              <w:rPr>
                <w:rFonts w:ascii="Times New Roman" w:hAnsi="Times New Roman" w:eastAsia="黑体" w:cs="仿宋_GB2312"/>
                <w:spacing w:val="0"/>
                <w:w w:val="100"/>
                <w:sz w:val="24"/>
                <w:szCs w:val="24"/>
              </w:rPr>
              <w:t>年/月</w:t>
            </w:r>
            <w:r>
              <w:rPr>
                <w:rFonts w:hint="eastAsia" w:ascii="Times New Roman" w:hAnsi="Times New Roman" w:eastAsia="黑体" w:cs="仿宋_GB2312"/>
                <w:spacing w:val="0"/>
                <w:w w:val="10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58" w:type="pct"/>
            <w:vMerge w:val="restart"/>
            <w:tcBorders>
              <w:bottom w:val="nil"/>
            </w:tcBorders>
            <w:vAlign w:val="center"/>
          </w:tcPr>
          <w:p w14:paraId="7B78C57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Times New Roman" w:hAnsi="Times New Roman" w:eastAsia="黑体" w:cs="仿宋_GB2312"/>
                <w:spacing w:val="0"/>
                <w:w w:val="10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黑体" w:cs="仿宋_GB2312"/>
                <w:spacing w:val="0"/>
                <w:w w:val="100"/>
                <w:sz w:val="24"/>
                <w:szCs w:val="24"/>
              </w:rPr>
              <w:t>拟完工日期</w:t>
            </w:r>
            <w:r>
              <w:rPr>
                <w:rFonts w:hint="eastAsia" w:ascii="Times New Roman" w:hAnsi="Times New Roman" w:eastAsia="黑体" w:cs="仿宋_GB2312"/>
                <w:spacing w:val="0"/>
                <w:w w:val="100"/>
                <w:sz w:val="24"/>
                <w:szCs w:val="24"/>
                <w:lang w:eastAsia="zh-CN"/>
              </w:rPr>
              <w:t>（</w:t>
            </w:r>
            <w:r>
              <w:rPr>
                <w:rFonts w:ascii="Times New Roman" w:hAnsi="Times New Roman" w:eastAsia="黑体" w:cs="仿宋_GB2312"/>
                <w:spacing w:val="0"/>
                <w:w w:val="100"/>
                <w:sz w:val="24"/>
                <w:szCs w:val="24"/>
              </w:rPr>
              <w:t>年月</w:t>
            </w:r>
            <w:r>
              <w:rPr>
                <w:rFonts w:hint="eastAsia" w:ascii="Times New Roman" w:hAnsi="Times New Roman" w:eastAsia="黑体" w:cs="仿宋_GB2312"/>
                <w:spacing w:val="0"/>
                <w:w w:val="10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67" w:type="pct"/>
            <w:vMerge w:val="restart"/>
            <w:tcBorders>
              <w:bottom w:val="nil"/>
            </w:tcBorders>
            <w:vAlign w:val="center"/>
          </w:tcPr>
          <w:p w14:paraId="0B8DF17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黑体" w:cs="仿宋_GB2312"/>
                <w:spacing w:val="0"/>
                <w:w w:val="100"/>
                <w:sz w:val="24"/>
                <w:szCs w:val="24"/>
              </w:rPr>
            </w:pPr>
            <w:r>
              <w:rPr>
                <w:rFonts w:ascii="Times New Roman" w:hAnsi="Times New Roman" w:eastAsia="黑体" w:cs="仿宋_GB2312"/>
                <w:spacing w:val="0"/>
                <w:w w:val="100"/>
                <w:sz w:val="24"/>
                <w:szCs w:val="24"/>
              </w:rPr>
              <w:t>投资类别</w:t>
            </w:r>
          </w:p>
        </w:tc>
        <w:tc>
          <w:tcPr>
            <w:tcW w:w="133" w:type="pct"/>
            <w:vMerge w:val="restart"/>
            <w:tcBorders>
              <w:bottom w:val="nil"/>
            </w:tcBorders>
            <w:vAlign w:val="center"/>
          </w:tcPr>
          <w:p w14:paraId="78EB79C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黑体" w:cs="仿宋_GB2312"/>
                <w:spacing w:val="0"/>
                <w:w w:val="100"/>
                <w:sz w:val="24"/>
                <w:szCs w:val="24"/>
              </w:rPr>
            </w:pPr>
            <w:r>
              <w:rPr>
                <w:rFonts w:ascii="Times New Roman" w:hAnsi="Times New Roman" w:eastAsia="黑体" w:cs="仿宋_GB2312"/>
                <w:spacing w:val="0"/>
                <w:w w:val="100"/>
                <w:sz w:val="24"/>
                <w:szCs w:val="24"/>
              </w:rPr>
              <w:t>总投资</w:t>
            </w:r>
          </w:p>
        </w:tc>
        <w:tc>
          <w:tcPr>
            <w:tcW w:w="117" w:type="pct"/>
            <w:vMerge w:val="restart"/>
            <w:tcBorders>
              <w:bottom w:val="nil"/>
            </w:tcBorders>
            <w:vAlign w:val="center"/>
          </w:tcPr>
          <w:p w14:paraId="38671F7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黑体" w:cs="仿宋_GB2312"/>
                <w:spacing w:val="0"/>
                <w:w w:val="100"/>
                <w:sz w:val="24"/>
                <w:szCs w:val="24"/>
              </w:rPr>
            </w:pPr>
            <w:r>
              <w:rPr>
                <w:rFonts w:ascii="Times New Roman" w:hAnsi="Times New Roman" w:eastAsia="黑体" w:cs="仿宋_GB2312"/>
                <w:spacing w:val="0"/>
                <w:w w:val="100"/>
                <w:sz w:val="24"/>
                <w:szCs w:val="24"/>
              </w:rPr>
              <w:t>已下达投资</w:t>
            </w:r>
          </w:p>
        </w:tc>
        <w:tc>
          <w:tcPr>
            <w:tcW w:w="120" w:type="pct"/>
            <w:vMerge w:val="restart"/>
            <w:tcBorders>
              <w:bottom w:val="nil"/>
            </w:tcBorders>
            <w:vAlign w:val="center"/>
          </w:tcPr>
          <w:p w14:paraId="14B58EC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黑体" w:cs="仿宋_GB2312"/>
                <w:spacing w:val="0"/>
                <w:w w:val="100"/>
                <w:sz w:val="24"/>
                <w:szCs w:val="24"/>
              </w:rPr>
            </w:pPr>
            <w:r>
              <w:rPr>
                <w:rFonts w:ascii="Times New Roman" w:hAnsi="Times New Roman" w:eastAsia="黑体" w:cs="仿宋_GB2312"/>
                <w:spacing w:val="0"/>
                <w:w w:val="100"/>
                <w:sz w:val="24"/>
                <w:szCs w:val="24"/>
              </w:rPr>
              <w:t>累计完成投资</w:t>
            </w:r>
          </w:p>
        </w:tc>
        <w:tc>
          <w:tcPr>
            <w:tcW w:w="134" w:type="pct"/>
            <w:vMerge w:val="restart"/>
            <w:tcBorders>
              <w:bottom w:val="nil"/>
            </w:tcBorders>
            <w:vAlign w:val="center"/>
          </w:tcPr>
          <w:p w14:paraId="2DF3993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黑体" w:cs="仿宋_GB2312"/>
                <w:spacing w:val="0"/>
                <w:w w:val="100"/>
                <w:sz w:val="24"/>
                <w:szCs w:val="24"/>
              </w:rPr>
            </w:pPr>
            <w:r>
              <w:rPr>
                <w:rFonts w:ascii="Times New Roman" w:hAnsi="Times New Roman" w:eastAsia="黑体" w:cs="仿宋_GB2312"/>
                <w:spacing w:val="0"/>
                <w:w w:val="100"/>
                <w:sz w:val="24"/>
                <w:szCs w:val="24"/>
              </w:rPr>
              <w:t>本次申请投资</w:t>
            </w:r>
          </w:p>
        </w:tc>
        <w:tc>
          <w:tcPr>
            <w:tcW w:w="100" w:type="pct"/>
            <w:vMerge w:val="restart"/>
            <w:tcBorders>
              <w:bottom w:val="nil"/>
            </w:tcBorders>
            <w:vAlign w:val="center"/>
          </w:tcPr>
          <w:p w14:paraId="08EC0EA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黑体" w:cs="仿宋_GB2312"/>
                <w:spacing w:val="0"/>
                <w:w w:val="100"/>
                <w:sz w:val="24"/>
                <w:szCs w:val="24"/>
              </w:rPr>
            </w:pPr>
            <w:r>
              <w:rPr>
                <w:rFonts w:ascii="Times New Roman" w:hAnsi="Times New Roman" w:eastAsia="黑体" w:cs="仿宋_GB2312"/>
                <w:spacing w:val="0"/>
                <w:w w:val="100"/>
                <w:sz w:val="24"/>
                <w:szCs w:val="24"/>
              </w:rPr>
              <w:t>部门和地方采取的资金安排方式</w:t>
            </w:r>
          </w:p>
        </w:tc>
        <w:tc>
          <w:tcPr>
            <w:tcW w:w="86" w:type="pct"/>
            <w:vMerge w:val="restart"/>
            <w:tcBorders>
              <w:bottom w:val="nil"/>
            </w:tcBorders>
            <w:vAlign w:val="center"/>
          </w:tcPr>
          <w:p w14:paraId="203C949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黑体" w:cs="仿宋_GB2312"/>
                <w:spacing w:val="0"/>
                <w:w w:val="100"/>
                <w:sz w:val="24"/>
                <w:szCs w:val="24"/>
              </w:rPr>
            </w:pPr>
            <w:r>
              <w:rPr>
                <w:rFonts w:ascii="Times New Roman" w:hAnsi="Times New Roman" w:eastAsia="黑体" w:cs="仿宋_GB2312"/>
                <w:spacing w:val="0"/>
                <w:w w:val="100"/>
                <w:sz w:val="24"/>
                <w:szCs w:val="24"/>
              </w:rPr>
              <w:t>项目法人</w:t>
            </w:r>
            <w:r>
              <w:rPr>
                <w:rFonts w:hint="eastAsia" w:ascii="Times New Roman" w:hAnsi="Times New Roman" w:eastAsia="黑体" w:cs="仿宋_GB2312"/>
                <w:spacing w:val="0"/>
                <w:w w:val="100"/>
                <w:sz w:val="24"/>
                <w:szCs w:val="24"/>
                <w:lang w:eastAsia="zh-CN"/>
              </w:rPr>
              <w:t>）</w:t>
            </w:r>
            <w:r>
              <w:rPr>
                <w:rFonts w:ascii="Times New Roman" w:hAnsi="Times New Roman" w:eastAsia="黑体" w:cs="仿宋_GB2312"/>
                <w:spacing w:val="0"/>
                <w:w w:val="100"/>
                <w:sz w:val="24"/>
                <w:szCs w:val="24"/>
              </w:rPr>
              <w:t>单位</w:t>
            </w:r>
          </w:p>
        </w:tc>
        <w:tc>
          <w:tcPr>
            <w:tcW w:w="69" w:type="pct"/>
            <w:vMerge w:val="restart"/>
            <w:tcBorders>
              <w:bottom w:val="nil"/>
            </w:tcBorders>
            <w:vAlign w:val="center"/>
          </w:tcPr>
          <w:p w14:paraId="3C873CA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黑体" w:cs="仿宋_GB2312"/>
                <w:spacing w:val="0"/>
                <w:w w:val="100"/>
                <w:sz w:val="24"/>
                <w:szCs w:val="24"/>
              </w:rPr>
            </w:pPr>
            <w:r>
              <w:rPr>
                <w:rFonts w:ascii="Times New Roman" w:hAnsi="Times New Roman" w:eastAsia="黑体" w:cs="仿宋_GB2312"/>
                <w:spacing w:val="0"/>
                <w:w w:val="100"/>
                <w:sz w:val="24"/>
                <w:szCs w:val="24"/>
              </w:rPr>
              <w:t>项目责任人</w:t>
            </w:r>
          </w:p>
        </w:tc>
        <w:tc>
          <w:tcPr>
            <w:tcW w:w="93" w:type="pct"/>
            <w:vMerge w:val="restart"/>
            <w:tcBorders>
              <w:bottom w:val="nil"/>
            </w:tcBorders>
            <w:vAlign w:val="center"/>
          </w:tcPr>
          <w:p w14:paraId="104D8B6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黑体" w:cs="仿宋_GB2312"/>
                <w:spacing w:val="0"/>
                <w:w w:val="100"/>
                <w:sz w:val="24"/>
                <w:szCs w:val="24"/>
              </w:rPr>
            </w:pPr>
            <w:r>
              <w:rPr>
                <w:rFonts w:ascii="Times New Roman" w:hAnsi="Times New Roman" w:eastAsia="黑体" w:cs="仿宋_GB2312"/>
                <w:spacing w:val="0"/>
                <w:w w:val="100"/>
                <w:sz w:val="24"/>
                <w:szCs w:val="24"/>
              </w:rPr>
              <w:t>日常监管直接责任单位</w:t>
            </w:r>
          </w:p>
        </w:tc>
        <w:tc>
          <w:tcPr>
            <w:tcW w:w="131" w:type="pct"/>
            <w:vMerge w:val="restart"/>
            <w:tcBorders>
              <w:bottom w:val="nil"/>
            </w:tcBorders>
            <w:vAlign w:val="center"/>
          </w:tcPr>
          <w:p w14:paraId="10925E9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黑体" w:cs="仿宋_GB2312"/>
                <w:spacing w:val="0"/>
                <w:w w:val="100"/>
                <w:sz w:val="24"/>
                <w:szCs w:val="24"/>
              </w:rPr>
            </w:pPr>
            <w:r>
              <w:rPr>
                <w:rFonts w:ascii="Times New Roman" w:hAnsi="Times New Roman" w:eastAsia="黑体" w:cs="仿宋_GB2312"/>
                <w:spacing w:val="0"/>
                <w:w w:val="100"/>
                <w:sz w:val="24"/>
                <w:szCs w:val="24"/>
              </w:rPr>
              <w:t>日常监管直接责任单位监管责任人</w:t>
            </w:r>
          </w:p>
        </w:tc>
        <w:tc>
          <w:tcPr>
            <w:tcW w:w="1147" w:type="pct"/>
            <w:gridSpan w:val="7"/>
            <w:vAlign w:val="center"/>
          </w:tcPr>
          <w:p w14:paraId="6C10C06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黑体" w:cs="仿宋_GB2312"/>
                <w:spacing w:val="0"/>
                <w:w w:val="100"/>
                <w:sz w:val="24"/>
                <w:szCs w:val="24"/>
              </w:rPr>
            </w:pPr>
            <w:r>
              <w:rPr>
                <w:rFonts w:ascii="Times New Roman" w:hAnsi="Times New Roman" w:eastAsia="黑体" w:cs="仿宋_GB2312"/>
                <w:spacing w:val="0"/>
                <w:w w:val="100"/>
                <w:sz w:val="24"/>
                <w:szCs w:val="24"/>
              </w:rPr>
              <w:t>预计带动当地群众务工人数</w:t>
            </w:r>
          </w:p>
        </w:tc>
        <w:tc>
          <w:tcPr>
            <w:tcW w:w="238" w:type="pct"/>
            <w:vMerge w:val="restart"/>
            <w:tcBorders>
              <w:bottom w:val="nil"/>
            </w:tcBorders>
            <w:vAlign w:val="center"/>
          </w:tcPr>
          <w:p w14:paraId="47D7BD0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黑体" w:cs="仿宋_GB2312"/>
                <w:spacing w:val="0"/>
                <w:w w:val="100"/>
                <w:sz w:val="24"/>
                <w:szCs w:val="24"/>
              </w:rPr>
            </w:pPr>
            <w:r>
              <w:rPr>
                <w:rFonts w:ascii="Times New Roman" w:hAnsi="Times New Roman" w:eastAsia="黑体" w:cs="仿宋_GB2312"/>
                <w:spacing w:val="0"/>
                <w:w w:val="100"/>
                <w:sz w:val="24"/>
                <w:szCs w:val="24"/>
              </w:rPr>
              <w:t>预计发放劳务报酬金额</w:t>
            </w:r>
          </w:p>
        </w:tc>
        <w:tc>
          <w:tcPr>
            <w:tcW w:w="162" w:type="pct"/>
            <w:vMerge w:val="restart"/>
            <w:tcBorders>
              <w:bottom w:val="nil"/>
            </w:tcBorders>
            <w:vAlign w:val="center"/>
          </w:tcPr>
          <w:p w14:paraId="2B0A148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Times New Roman" w:hAnsi="Times New Roman" w:eastAsia="黑体" w:cs="仿宋_GB2312"/>
                <w:spacing w:val="0"/>
                <w:w w:val="10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黑体" w:cs="仿宋_GB2312"/>
                <w:spacing w:val="0"/>
                <w:w w:val="100"/>
                <w:sz w:val="24"/>
                <w:szCs w:val="24"/>
              </w:rPr>
              <w:t>预计培训务工群众人数</w:t>
            </w:r>
            <w:r>
              <w:rPr>
                <w:rFonts w:hint="eastAsia" w:ascii="Times New Roman" w:hAnsi="Times New Roman" w:eastAsia="黑体" w:cs="仿宋_GB2312"/>
                <w:spacing w:val="0"/>
                <w:w w:val="100"/>
                <w:sz w:val="24"/>
                <w:szCs w:val="24"/>
                <w:lang w:eastAsia="zh-CN"/>
              </w:rPr>
              <w:t>（</w:t>
            </w:r>
            <w:r>
              <w:rPr>
                <w:rFonts w:ascii="Times New Roman" w:hAnsi="Times New Roman" w:eastAsia="黑体" w:cs="仿宋_GB2312"/>
                <w:spacing w:val="0"/>
                <w:w w:val="100"/>
                <w:sz w:val="24"/>
                <w:szCs w:val="24"/>
              </w:rPr>
              <w:t>非人次</w:t>
            </w:r>
            <w:r>
              <w:rPr>
                <w:rFonts w:hint="eastAsia" w:ascii="Times New Roman" w:hAnsi="Times New Roman" w:eastAsia="黑体" w:cs="仿宋_GB2312"/>
                <w:spacing w:val="0"/>
                <w:w w:val="10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48" w:type="pct"/>
            <w:vMerge w:val="restart"/>
            <w:tcBorders>
              <w:bottom w:val="nil"/>
            </w:tcBorders>
            <w:vAlign w:val="center"/>
          </w:tcPr>
          <w:p w14:paraId="1279509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Times New Roman" w:hAnsi="Times New Roman" w:eastAsia="黑体" w:cs="仿宋_GB2312"/>
                <w:spacing w:val="0"/>
                <w:w w:val="10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黑体" w:cs="仿宋_GB2312"/>
                <w:spacing w:val="0"/>
                <w:w w:val="100"/>
                <w:sz w:val="24"/>
                <w:szCs w:val="24"/>
              </w:rPr>
              <w:t>预计设置公益性岗位个</w:t>
            </w:r>
            <w:r>
              <w:rPr>
                <w:rFonts w:hint="eastAsia" w:ascii="Times New Roman" w:hAnsi="Times New Roman" w:eastAsia="黑体" w:cs="仿宋_GB2312"/>
                <w:spacing w:val="0"/>
                <w:w w:val="100"/>
                <w:sz w:val="24"/>
                <w:szCs w:val="24"/>
                <w:lang w:eastAsia="zh-CN"/>
              </w:rPr>
              <w:t>数</w:t>
            </w:r>
          </w:p>
        </w:tc>
        <w:tc>
          <w:tcPr>
            <w:tcW w:w="162" w:type="pct"/>
            <w:vMerge w:val="restart"/>
            <w:tcBorders>
              <w:bottom w:val="nil"/>
            </w:tcBorders>
            <w:vAlign w:val="center"/>
          </w:tcPr>
          <w:p w14:paraId="71EA266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Times New Roman" w:hAnsi="Times New Roman" w:eastAsia="黑体" w:cs="仿宋_GB2312"/>
                <w:spacing w:val="0"/>
                <w:w w:val="10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黑体" w:cs="仿宋_GB2312"/>
                <w:spacing w:val="0"/>
                <w:w w:val="100"/>
                <w:sz w:val="24"/>
                <w:szCs w:val="24"/>
              </w:rPr>
              <w:t>所采取的综合赈济模式类型</w:t>
            </w:r>
            <w:r>
              <w:rPr>
                <w:rFonts w:hint="eastAsia" w:ascii="Times New Roman" w:hAnsi="Times New Roman" w:eastAsia="黑体" w:cs="仿宋_GB2312"/>
                <w:spacing w:val="0"/>
                <w:w w:val="100"/>
                <w:sz w:val="24"/>
                <w:szCs w:val="24"/>
                <w:lang w:eastAsia="zh-CN"/>
              </w:rPr>
              <w:t>（</w:t>
            </w:r>
            <w:r>
              <w:rPr>
                <w:rFonts w:ascii="Times New Roman" w:hAnsi="Times New Roman" w:eastAsia="黑体" w:cs="仿宋_GB2312"/>
                <w:spacing w:val="0"/>
                <w:w w:val="100"/>
                <w:sz w:val="24"/>
                <w:szCs w:val="24"/>
              </w:rPr>
              <w:t>公益类/产业类</w:t>
            </w:r>
            <w:r>
              <w:rPr>
                <w:rFonts w:hint="eastAsia" w:ascii="Times New Roman" w:hAnsi="Times New Roman" w:eastAsia="黑体" w:cs="仿宋_GB2312"/>
                <w:spacing w:val="0"/>
                <w:w w:val="10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20" w:type="pct"/>
            <w:vMerge w:val="restart"/>
            <w:tcBorders>
              <w:bottom w:val="nil"/>
            </w:tcBorders>
            <w:vAlign w:val="center"/>
          </w:tcPr>
          <w:p w14:paraId="51148F5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Times New Roman" w:hAnsi="Times New Roman" w:eastAsia="黑体" w:cs="仿宋_GB2312"/>
                <w:spacing w:val="0"/>
                <w:w w:val="10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黑体" w:cs="仿宋_GB2312"/>
                <w:spacing w:val="0"/>
                <w:w w:val="100"/>
                <w:sz w:val="24"/>
                <w:szCs w:val="24"/>
              </w:rPr>
              <w:t>项目是否不招标</w:t>
            </w:r>
            <w:r>
              <w:rPr>
                <w:rFonts w:hint="eastAsia" w:ascii="Times New Roman" w:hAnsi="Times New Roman" w:eastAsia="黑体" w:cs="仿宋_GB2312"/>
                <w:spacing w:val="0"/>
                <w:w w:val="100"/>
                <w:sz w:val="24"/>
                <w:szCs w:val="24"/>
                <w:lang w:eastAsia="zh-CN"/>
              </w:rPr>
              <w:t>（</w:t>
            </w:r>
            <w:r>
              <w:rPr>
                <w:rFonts w:ascii="Times New Roman" w:hAnsi="Times New Roman" w:eastAsia="黑体" w:cs="仿宋_GB2312"/>
                <w:spacing w:val="0"/>
                <w:w w:val="100"/>
                <w:sz w:val="24"/>
                <w:szCs w:val="24"/>
              </w:rPr>
              <w:t>招标/不</w:t>
            </w:r>
            <w:r>
              <w:rPr>
                <w:rFonts w:hint="eastAsia" w:ascii="Times New Roman" w:hAnsi="Times New Roman" w:eastAsia="黑体" w:cs="仿宋_GB2312"/>
                <w:spacing w:val="0"/>
                <w:w w:val="100"/>
                <w:sz w:val="24"/>
                <w:szCs w:val="24"/>
                <w:lang w:eastAsia="zh-CN"/>
              </w:rPr>
              <w:t>招标）</w:t>
            </w:r>
          </w:p>
        </w:tc>
        <w:tc>
          <w:tcPr>
            <w:tcW w:w="168" w:type="pct"/>
            <w:vMerge w:val="restart"/>
            <w:tcBorders>
              <w:bottom w:val="nil"/>
            </w:tcBorders>
            <w:vAlign w:val="center"/>
          </w:tcPr>
          <w:p w14:paraId="0D92A21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Times New Roman" w:hAnsi="Times New Roman" w:eastAsia="黑体" w:cs="仿宋_GB2312"/>
                <w:spacing w:val="0"/>
                <w:w w:val="10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黑体" w:cs="仿宋_GB2312"/>
                <w:spacing w:val="0"/>
                <w:w w:val="100"/>
                <w:sz w:val="24"/>
                <w:szCs w:val="24"/>
              </w:rPr>
              <w:t>不招标项目的承接主体</w:t>
            </w:r>
            <w:r>
              <w:rPr>
                <w:rFonts w:hint="eastAsia" w:ascii="Times New Roman" w:hAnsi="Times New Roman" w:eastAsia="黑体" w:cs="仿宋_GB2312"/>
                <w:spacing w:val="0"/>
                <w:w w:val="100"/>
                <w:sz w:val="24"/>
                <w:szCs w:val="24"/>
                <w:lang w:eastAsia="zh-CN"/>
              </w:rPr>
              <w:t>（</w:t>
            </w:r>
            <w:r>
              <w:rPr>
                <w:rFonts w:ascii="Times New Roman" w:hAnsi="Times New Roman" w:eastAsia="黑体" w:cs="仿宋_GB2312"/>
                <w:spacing w:val="0"/>
                <w:w w:val="100"/>
                <w:sz w:val="24"/>
                <w:szCs w:val="24"/>
              </w:rPr>
              <w:t>从以下三种类型中选其一</w:t>
            </w:r>
            <w:r>
              <w:rPr>
                <w:rFonts w:hint="eastAsia" w:ascii="Times New Roman" w:hAnsi="Times New Roman" w:eastAsia="黑体" w:cs="仿宋_GB2312"/>
                <w:spacing w:val="0"/>
                <w:w w:val="100"/>
                <w:sz w:val="24"/>
                <w:szCs w:val="24"/>
                <w:lang w:eastAsia="zh-CN"/>
              </w:rPr>
              <w:t>）</w:t>
            </w:r>
          </w:p>
        </w:tc>
      </w:tr>
      <w:tr w14:paraId="6CCB27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5" w:hRule="atLeast"/>
          <w:tblHeader/>
          <w:jc w:val="center"/>
        </w:trPr>
        <w:tc>
          <w:tcPr>
            <w:tcW w:w="105" w:type="pct"/>
            <w:vMerge w:val="continue"/>
            <w:tcBorders>
              <w:top w:val="nil"/>
              <w:bottom w:val="nil"/>
            </w:tcBorders>
            <w:vAlign w:val="center"/>
          </w:tcPr>
          <w:p w14:paraId="0080C92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黑体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69" w:type="pct"/>
            <w:vMerge w:val="continue"/>
            <w:tcBorders>
              <w:top w:val="nil"/>
              <w:bottom w:val="nil"/>
            </w:tcBorders>
            <w:textDirection w:val="tbRlV"/>
            <w:vAlign w:val="center"/>
          </w:tcPr>
          <w:p w14:paraId="00A72E1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黑体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20" w:type="pct"/>
            <w:vMerge w:val="continue"/>
            <w:tcBorders>
              <w:top w:val="nil"/>
              <w:bottom w:val="nil"/>
            </w:tcBorders>
            <w:textDirection w:val="tbRlV"/>
            <w:vAlign w:val="center"/>
          </w:tcPr>
          <w:p w14:paraId="08E9C21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黑体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20" w:type="pct"/>
            <w:vMerge w:val="continue"/>
            <w:tcBorders>
              <w:top w:val="nil"/>
              <w:bottom w:val="nil"/>
            </w:tcBorders>
            <w:textDirection w:val="tbRlV"/>
            <w:vAlign w:val="center"/>
          </w:tcPr>
          <w:p w14:paraId="715AB3A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黑体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85" w:type="pct"/>
            <w:vMerge w:val="continue"/>
            <w:tcBorders>
              <w:top w:val="nil"/>
              <w:bottom w:val="nil"/>
            </w:tcBorders>
            <w:vAlign w:val="center"/>
          </w:tcPr>
          <w:p w14:paraId="4669D55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黑体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73" w:type="pct"/>
            <w:vMerge w:val="continue"/>
            <w:tcBorders>
              <w:top w:val="nil"/>
              <w:bottom w:val="nil"/>
            </w:tcBorders>
            <w:vAlign w:val="center"/>
          </w:tcPr>
          <w:p w14:paraId="7FA1776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黑体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20" w:type="pct"/>
            <w:vMerge w:val="continue"/>
            <w:tcBorders>
              <w:top w:val="nil"/>
              <w:bottom w:val="nil"/>
            </w:tcBorders>
            <w:vAlign w:val="center"/>
          </w:tcPr>
          <w:p w14:paraId="306F321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Times New Roman" w:hAnsi="Times New Roman" w:eastAsia="黑体" w:cs="仿宋_GB2312"/>
                <w:spacing w:val="0"/>
                <w:w w:val="100"/>
                <w:sz w:val="24"/>
                <w:szCs w:val="24"/>
                <w:lang w:eastAsia="zh-CN"/>
              </w:rPr>
            </w:pPr>
          </w:p>
        </w:tc>
        <w:tc>
          <w:tcPr>
            <w:tcW w:w="113" w:type="pct"/>
            <w:vMerge w:val="continue"/>
            <w:tcBorders>
              <w:top w:val="nil"/>
              <w:bottom w:val="nil"/>
            </w:tcBorders>
            <w:vAlign w:val="center"/>
          </w:tcPr>
          <w:p w14:paraId="5472168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黑体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251" w:type="pct"/>
            <w:vMerge w:val="continue"/>
            <w:tcBorders>
              <w:top w:val="nil"/>
              <w:bottom w:val="nil"/>
            </w:tcBorders>
            <w:vAlign w:val="center"/>
          </w:tcPr>
          <w:p w14:paraId="6D6AF52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Times New Roman" w:hAnsi="Times New Roman" w:eastAsia="黑体" w:cs="仿宋_GB2312"/>
                <w:spacing w:val="0"/>
                <w:w w:val="100"/>
                <w:sz w:val="24"/>
                <w:szCs w:val="24"/>
                <w:lang w:eastAsia="zh-CN"/>
              </w:rPr>
            </w:pPr>
          </w:p>
        </w:tc>
        <w:tc>
          <w:tcPr>
            <w:tcW w:w="174" w:type="pct"/>
            <w:vMerge w:val="continue"/>
            <w:tcBorders>
              <w:top w:val="nil"/>
              <w:bottom w:val="nil"/>
            </w:tcBorders>
            <w:vAlign w:val="center"/>
          </w:tcPr>
          <w:p w14:paraId="44F94AC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黑体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58" w:type="pct"/>
            <w:vMerge w:val="continue"/>
            <w:tcBorders>
              <w:top w:val="nil"/>
              <w:bottom w:val="nil"/>
            </w:tcBorders>
            <w:vAlign w:val="center"/>
          </w:tcPr>
          <w:p w14:paraId="7D63827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黑体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67" w:type="pct"/>
            <w:vMerge w:val="continue"/>
            <w:tcBorders>
              <w:top w:val="nil"/>
              <w:bottom w:val="nil"/>
            </w:tcBorders>
            <w:vAlign w:val="center"/>
          </w:tcPr>
          <w:p w14:paraId="3DF2EA7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黑体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33" w:type="pct"/>
            <w:vMerge w:val="continue"/>
            <w:tcBorders>
              <w:top w:val="nil"/>
            </w:tcBorders>
            <w:vAlign w:val="center"/>
          </w:tcPr>
          <w:p w14:paraId="522AE02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黑体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17" w:type="pct"/>
            <w:vMerge w:val="continue"/>
            <w:tcBorders>
              <w:top w:val="nil"/>
            </w:tcBorders>
            <w:vAlign w:val="center"/>
          </w:tcPr>
          <w:p w14:paraId="29BA496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黑体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20" w:type="pct"/>
            <w:vMerge w:val="continue"/>
            <w:tcBorders>
              <w:top w:val="nil"/>
            </w:tcBorders>
            <w:vAlign w:val="center"/>
          </w:tcPr>
          <w:p w14:paraId="658483C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黑体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34" w:type="pct"/>
            <w:vMerge w:val="continue"/>
            <w:tcBorders>
              <w:top w:val="nil"/>
            </w:tcBorders>
            <w:vAlign w:val="center"/>
          </w:tcPr>
          <w:p w14:paraId="013EE67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黑体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00" w:type="pct"/>
            <w:vMerge w:val="continue"/>
            <w:tcBorders>
              <w:top w:val="nil"/>
            </w:tcBorders>
            <w:vAlign w:val="center"/>
          </w:tcPr>
          <w:p w14:paraId="673B5D8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黑体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86" w:type="pct"/>
            <w:vMerge w:val="continue"/>
            <w:tcBorders>
              <w:top w:val="nil"/>
            </w:tcBorders>
            <w:vAlign w:val="center"/>
          </w:tcPr>
          <w:p w14:paraId="5FF6B33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黑体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69" w:type="pct"/>
            <w:vMerge w:val="continue"/>
            <w:tcBorders>
              <w:top w:val="nil"/>
            </w:tcBorders>
            <w:vAlign w:val="center"/>
          </w:tcPr>
          <w:p w14:paraId="06F0BED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黑体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93" w:type="pct"/>
            <w:vMerge w:val="continue"/>
            <w:tcBorders>
              <w:top w:val="nil"/>
            </w:tcBorders>
            <w:vAlign w:val="center"/>
          </w:tcPr>
          <w:p w14:paraId="6289D17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黑体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31" w:type="pct"/>
            <w:vMerge w:val="continue"/>
            <w:tcBorders>
              <w:top w:val="nil"/>
            </w:tcBorders>
            <w:vAlign w:val="center"/>
          </w:tcPr>
          <w:p w14:paraId="699D2B4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黑体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52" w:type="pct"/>
            <w:vAlign w:val="center"/>
          </w:tcPr>
          <w:p w14:paraId="5D9A834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Times New Roman" w:hAnsi="Times New Roman" w:eastAsia="黑体" w:cs="仿宋_GB2312"/>
                <w:spacing w:val="0"/>
                <w:w w:val="10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黑体" w:cs="仿宋_GB2312"/>
                <w:spacing w:val="0"/>
                <w:w w:val="100"/>
                <w:sz w:val="24"/>
                <w:szCs w:val="24"/>
              </w:rPr>
              <w:t>总人数</w:t>
            </w:r>
            <w:r>
              <w:rPr>
                <w:rFonts w:hint="eastAsia" w:ascii="Times New Roman" w:hAnsi="Times New Roman" w:eastAsia="黑体" w:cs="仿宋_GB2312"/>
                <w:spacing w:val="0"/>
                <w:w w:val="100"/>
                <w:sz w:val="24"/>
                <w:szCs w:val="24"/>
                <w:lang w:eastAsia="zh-CN"/>
              </w:rPr>
              <w:t>（</w:t>
            </w:r>
            <w:r>
              <w:rPr>
                <w:rFonts w:ascii="Times New Roman" w:hAnsi="Times New Roman" w:eastAsia="黑体" w:cs="仿宋_GB2312"/>
                <w:spacing w:val="0"/>
                <w:w w:val="100"/>
                <w:sz w:val="24"/>
                <w:szCs w:val="24"/>
              </w:rPr>
              <w:t>非人次</w:t>
            </w:r>
            <w:r>
              <w:rPr>
                <w:rFonts w:hint="eastAsia" w:ascii="Times New Roman" w:hAnsi="Times New Roman" w:eastAsia="黑体" w:cs="仿宋_GB2312"/>
                <w:spacing w:val="0"/>
                <w:w w:val="10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41" w:type="pct"/>
            <w:vAlign w:val="center"/>
          </w:tcPr>
          <w:p w14:paraId="468048E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黑体" w:cs="仿宋_GB2312"/>
                <w:spacing w:val="0"/>
                <w:w w:val="100"/>
                <w:sz w:val="24"/>
                <w:szCs w:val="24"/>
              </w:rPr>
            </w:pPr>
            <w:r>
              <w:rPr>
                <w:rFonts w:ascii="Times New Roman" w:hAnsi="Times New Roman" w:eastAsia="黑体" w:cs="仿宋_GB2312"/>
                <w:spacing w:val="0"/>
                <w:w w:val="100"/>
                <w:sz w:val="24"/>
                <w:szCs w:val="24"/>
              </w:rPr>
              <w:t>其中，</w:t>
            </w:r>
            <w:r>
              <w:rPr>
                <w:rFonts w:hint="eastAsia" w:ascii="Times New Roman" w:hAnsi="Times New Roman" w:eastAsia="黑体" w:cs="仿宋_GB2312"/>
                <w:spacing w:val="0"/>
                <w:w w:val="100"/>
                <w:sz w:val="24"/>
                <w:szCs w:val="24"/>
                <w:lang w:eastAsia="zh-CN"/>
              </w:rPr>
              <w:t>返乡农民工</w:t>
            </w:r>
          </w:p>
        </w:tc>
        <w:tc>
          <w:tcPr>
            <w:tcW w:w="165" w:type="pct"/>
            <w:vAlign w:val="center"/>
          </w:tcPr>
          <w:p w14:paraId="5DEC1F1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Times New Roman" w:hAnsi="Times New Roman" w:eastAsia="黑体" w:cs="仿宋_GB2312"/>
                <w:spacing w:val="0"/>
                <w:w w:val="1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黑体" w:cs="仿宋_GB2312"/>
                <w:spacing w:val="0"/>
                <w:w w:val="100"/>
                <w:sz w:val="24"/>
                <w:szCs w:val="24"/>
                <w:lang w:eastAsia="zh-CN"/>
              </w:rPr>
              <w:t>脱贫人口和防返贫监测对象</w:t>
            </w:r>
          </w:p>
        </w:tc>
        <w:tc>
          <w:tcPr>
            <w:tcW w:w="176" w:type="pct"/>
            <w:vAlign w:val="center"/>
          </w:tcPr>
          <w:p w14:paraId="2AD6175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Times New Roman" w:hAnsi="Times New Roman" w:eastAsia="黑体" w:cs="仿宋_GB2312"/>
                <w:spacing w:val="0"/>
                <w:w w:val="1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黑体" w:cs="仿宋_GB2312"/>
                <w:spacing w:val="0"/>
                <w:w w:val="100"/>
                <w:sz w:val="24"/>
                <w:szCs w:val="24"/>
                <w:lang w:eastAsia="zh-CN"/>
              </w:rPr>
              <w:t>其他农村低收入人口</w:t>
            </w:r>
          </w:p>
        </w:tc>
        <w:tc>
          <w:tcPr>
            <w:tcW w:w="172" w:type="pct"/>
            <w:vAlign w:val="center"/>
          </w:tcPr>
          <w:p w14:paraId="316B8DD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Times New Roman" w:hAnsi="Times New Roman" w:eastAsia="黑体" w:cs="仿宋_GB2312"/>
                <w:spacing w:val="0"/>
                <w:w w:val="1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黑体" w:cs="仿宋_GB2312"/>
                <w:spacing w:val="0"/>
                <w:w w:val="100"/>
                <w:sz w:val="24"/>
                <w:szCs w:val="24"/>
                <w:lang w:eastAsia="zh-CN"/>
              </w:rPr>
              <w:t>城镇相关失业人员</w:t>
            </w:r>
          </w:p>
        </w:tc>
        <w:tc>
          <w:tcPr>
            <w:tcW w:w="176" w:type="pct"/>
            <w:vAlign w:val="center"/>
          </w:tcPr>
          <w:p w14:paraId="6EC68FA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Times New Roman" w:hAnsi="Times New Roman" w:eastAsia="黑体" w:cs="仿宋_GB2312"/>
                <w:spacing w:val="0"/>
                <w:w w:val="1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黑体" w:cs="仿宋_GB2312"/>
                <w:spacing w:val="0"/>
                <w:w w:val="100"/>
                <w:sz w:val="24"/>
                <w:szCs w:val="24"/>
                <w:lang w:eastAsia="zh-CN"/>
              </w:rPr>
              <w:t>家庭经济困难高校毕业生</w:t>
            </w:r>
          </w:p>
        </w:tc>
        <w:tc>
          <w:tcPr>
            <w:tcW w:w="162" w:type="pct"/>
            <w:vAlign w:val="center"/>
          </w:tcPr>
          <w:p w14:paraId="4982009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Times New Roman" w:hAnsi="Times New Roman" w:eastAsia="黑体" w:cs="仿宋_GB2312"/>
                <w:spacing w:val="0"/>
                <w:w w:val="1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黑体" w:cs="仿宋_GB2312"/>
                <w:spacing w:val="0"/>
                <w:w w:val="100"/>
                <w:sz w:val="24"/>
                <w:szCs w:val="24"/>
                <w:lang w:eastAsia="zh-CN"/>
              </w:rPr>
              <w:t>退役军人</w:t>
            </w:r>
          </w:p>
        </w:tc>
        <w:tc>
          <w:tcPr>
            <w:tcW w:w="238" w:type="pct"/>
            <w:vMerge w:val="continue"/>
            <w:tcBorders>
              <w:top w:val="nil"/>
            </w:tcBorders>
            <w:vAlign w:val="center"/>
          </w:tcPr>
          <w:p w14:paraId="3E7AFE8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黑体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62" w:type="pct"/>
            <w:vMerge w:val="continue"/>
            <w:tcBorders>
              <w:top w:val="nil"/>
            </w:tcBorders>
            <w:vAlign w:val="center"/>
          </w:tcPr>
          <w:p w14:paraId="69AA8F2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黑体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48" w:type="pct"/>
            <w:vMerge w:val="continue"/>
            <w:tcBorders>
              <w:top w:val="nil"/>
            </w:tcBorders>
            <w:vAlign w:val="center"/>
          </w:tcPr>
          <w:p w14:paraId="3D2C024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黑体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62" w:type="pct"/>
            <w:vMerge w:val="continue"/>
            <w:tcBorders>
              <w:top w:val="nil"/>
            </w:tcBorders>
            <w:vAlign w:val="center"/>
          </w:tcPr>
          <w:p w14:paraId="145EDA1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黑体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20" w:type="pct"/>
            <w:vMerge w:val="continue"/>
            <w:tcBorders>
              <w:top w:val="nil"/>
            </w:tcBorders>
            <w:vAlign w:val="center"/>
          </w:tcPr>
          <w:p w14:paraId="3C329B9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黑体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68" w:type="pct"/>
            <w:vMerge w:val="continue"/>
            <w:tcBorders>
              <w:top w:val="nil"/>
            </w:tcBorders>
            <w:vAlign w:val="center"/>
          </w:tcPr>
          <w:p w14:paraId="243C979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黑体" w:cs="仿宋_GB2312"/>
                <w:spacing w:val="0"/>
                <w:w w:val="100"/>
                <w:sz w:val="24"/>
                <w:szCs w:val="24"/>
              </w:rPr>
            </w:pPr>
          </w:p>
        </w:tc>
      </w:tr>
      <w:tr w14:paraId="6C8B50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3" w:hRule="atLeast"/>
          <w:tblHeader/>
          <w:jc w:val="center"/>
        </w:trPr>
        <w:tc>
          <w:tcPr>
            <w:tcW w:w="105" w:type="pct"/>
            <w:vMerge w:val="continue"/>
            <w:tcBorders>
              <w:top w:val="nil"/>
            </w:tcBorders>
            <w:vAlign w:val="center"/>
          </w:tcPr>
          <w:p w14:paraId="20871F6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黑体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69" w:type="pct"/>
            <w:vMerge w:val="continue"/>
            <w:tcBorders>
              <w:top w:val="nil"/>
            </w:tcBorders>
            <w:textDirection w:val="tbRlV"/>
            <w:vAlign w:val="center"/>
          </w:tcPr>
          <w:p w14:paraId="5ED8CBF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黑体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20" w:type="pct"/>
            <w:vMerge w:val="continue"/>
            <w:tcBorders>
              <w:top w:val="nil"/>
            </w:tcBorders>
            <w:textDirection w:val="tbRlV"/>
            <w:vAlign w:val="center"/>
          </w:tcPr>
          <w:p w14:paraId="6CEB7E7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黑体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20" w:type="pct"/>
            <w:vMerge w:val="continue"/>
            <w:tcBorders>
              <w:top w:val="nil"/>
            </w:tcBorders>
            <w:textDirection w:val="tbRlV"/>
            <w:vAlign w:val="center"/>
          </w:tcPr>
          <w:p w14:paraId="38F1D0B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黑体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85" w:type="pct"/>
            <w:vMerge w:val="continue"/>
            <w:tcBorders>
              <w:top w:val="nil"/>
            </w:tcBorders>
            <w:vAlign w:val="center"/>
          </w:tcPr>
          <w:p w14:paraId="50AE375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黑体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73" w:type="pct"/>
            <w:vMerge w:val="continue"/>
            <w:tcBorders>
              <w:top w:val="nil"/>
            </w:tcBorders>
            <w:vAlign w:val="center"/>
          </w:tcPr>
          <w:p w14:paraId="14454F2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黑体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20" w:type="pct"/>
            <w:vMerge w:val="continue"/>
            <w:tcBorders>
              <w:top w:val="nil"/>
            </w:tcBorders>
            <w:vAlign w:val="center"/>
          </w:tcPr>
          <w:p w14:paraId="7C13ECD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Times New Roman" w:hAnsi="Times New Roman" w:eastAsia="黑体" w:cs="仿宋_GB2312"/>
                <w:spacing w:val="0"/>
                <w:w w:val="100"/>
                <w:sz w:val="24"/>
                <w:szCs w:val="24"/>
                <w:lang w:eastAsia="zh-CN"/>
              </w:rPr>
            </w:pPr>
          </w:p>
        </w:tc>
        <w:tc>
          <w:tcPr>
            <w:tcW w:w="113" w:type="pct"/>
            <w:vMerge w:val="continue"/>
            <w:tcBorders>
              <w:top w:val="nil"/>
            </w:tcBorders>
            <w:vAlign w:val="center"/>
          </w:tcPr>
          <w:p w14:paraId="451493A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黑体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251" w:type="pct"/>
            <w:vMerge w:val="continue"/>
            <w:tcBorders>
              <w:top w:val="nil"/>
            </w:tcBorders>
            <w:vAlign w:val="center"/>
          </w:tcPr>
          <w:p w14:paraId="249CA8A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Times New Roman" w:hAnsi="Times New Roman" w:eastAsia="黑体" w:cs="仿宋_GB2312"/>
                <w:spacing w:val="0"/>
                <w:w w:val="100"/>
                <w:sz w:val="24"/>
                <w:szCs w:val="24"/>
                <w:lang w:eastAsia="zh-CN"/>
              </w:rPr>
            </w:pPr>
          </w:p>
        </w:tc>
        <w:tc>
          <w:tcPr>
            <w:tcW w:w="174" w:type="pct"/>
            <w:vMerge w:val="continue"/>
            <w:tcBorders>
              <w:top w:val="nil"/>
            </w:tcBorders>
            <w:vAlign w:val="center"/>
          </w:tcPr>
          <w:p w14:paraId="6144595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黑体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58" w:type="pct"/>
            <w:vMerge w:val="continue"/>
            <w:tcBorders>
              <w:top w:val="nil"/>
            </w:tcBorders>
            <w:vAlign w:val="center"/>
          </w:tcPr>
          <w:p w14:paraId="317BAC1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黑体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67" w:type="pct"/>
            <w:vMerge w:val="continue"/>
            <w:tcBorders>
              <w:top w:val="nil"/>
            </w:tcBorders>
            <w:vAlign w:val="center"/>
          </w:tcPr>
          <w:p w14:paraId="331C8C5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黑体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33" w:type="pct"/>
            <w:vAlign w:val="center"/>
          </w:tcPr>
          <w:p w14:paraId="0E0E95E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Times New Roman" w:hAnsi="Times New Roman" w:eastAsia="黑体" w:cs="仿宋_GB2312"/>
                <w:spacing w:val="-20"/>
                <w:w w:val="10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黑体" w:cs="仿宋_GB2312"/>
                <w:spacing w:val="-28"/>
                <w:w w:val="100"/>
                <w:sz w:val="20"/>
                <w:szCs w:val="20"/>
                <w:lang w:val="en-US"/>
              </w:rPr>
              <w:t>(</w:t>
            </w:r>
            <w:r>
              <w:rPr>
                <w:rFonts w:ascii="Times New Roman" w:hAnsi="Times New Roman" w:eastAsia="黑体" w:cs="仿宋_GB2312"/>
                <w:spacing w:val="-28"/>
                <w:w w:val="100"/>
                <w:sz w:val="20"/>
                <w:szCs w:val="20"/>
              </w:rPr>
              <w:t>万元</w:t>
            </w:r>
            <w:r>
              <w:rPr>
                <w:rFonts w:hint="default" w:ascii="Times New Roman" w:hAnsi="Times New Roman" w:eastAsia="黑体" w:cs="仿宋_GB2312"/>
                <w:spacing w:val="-28"/>
                <w:w w:val="10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117" w:type="pct"/>
            <w:vAlign w:val="center"/>
          </w:tcPr>
          <w:p w14:paraId="7DBB104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Times New Roman" w:hAnsi="Times New Roman" w:eastAsia="黑体" w:cs="仿宋_GB2312"/>
                <w:spacing w:val="-20"/>
                <w:w w:val="10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黑体" w:cs="仿宋_GB2312"/>
                <w:spacing w:val="-28"/>
                <w:w w:val="100"/>
                <w:sz w:val="20"/>
                <w:szCs w:val="20"/>
                <w:lang w:val="en-US"/>
              </w:rPr>
              <w:t>(</w:t>
            </w:r>
            <w:r>
              <w:rPr>
                <w:rFonts w:ascii="Times New Roman" w:hAnsi="Times New Roman" w:eastAsia="黑体" w:cs="仿宋_GB2312"/>
                <w:spacing w:val="-28"/>
                <w:w w:val="100"/>
                <w:sz w:val="20"/>
                <w:szCs w:val="20"/>
              </w:rPr>
              <w:t>万元</w:t>
            </w:r>
            <w:r>
              <w:rPr>
                <w:rFonts w:hint="default" w:ascii="Times New Roman" w:hAnsi="Times New Roman" w:eastAsia="黑体" w:cs="仿宋_GB2312"/>
                <w:spacing w:val="-28"/>
                <w:w w:val="10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120" w:type="pct"/>
            <w:vAlign w:val="center"/>
          </w:tcPr>
          <w:p w14:paraId="2559973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Times New Roman" w:hAnsi="Times New Roman" w:eastAsia="黑体" w:cs="仿宋_GB2312"/>
                <w:spacing w:val="-20"/>
                <w:w w:val="10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黑体" w:cs="仿宋_GB2312"/>
                <w:spacing w:val="-28"/>
                <w:w w:val="100"/>
                <w:sz w:val="20"/>
                <w:szCs w:val="20"/>
                <w:lang w:val="en-US"/>
              </w:rPr>
              <w:t>(</w:t>
            </w:r>
            <w:r>
              <w:rPr>
                <w:rFonts w:ascii="Times New Roman" w:hAnsi="Times New Roman" w:eastAsia="黑体" w:cs="仿宋_GB2312"/>
                <w:spacing w:val="-28"/>
                <w:w w:val="100"/>
                <w:sz w:val="20"/>
                <w:szCs w:val="20"/>
              </w:rPr>
              <w:t>万元</w:t>
            </w:r>
            <w:r>
              <w:rPr>
                <w:rFonts w:hint="default" w:ascii="Times New Roman" w:hAnsi="Times New Roman" w:eastAsia="黑体" w:cs="仿宋_GB2312"/>
                <w:spacing w:val="-28"/>
                <w:w w:val="10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134" w:type="pct"/>
            <w:vAlign w:val="center"/>
          </w:tcPr>
          <w:p w14:paraId="0D969B1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Times New Roman" w:hAnsi="Times New Roman" w:eastAsia="黑体" w:cs="仿宋_GB2312"/>
                <w:spacing w:val="-20"/>
                <w:w w:val="10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黑体" w:cs="仿宋_GB2312"/>
                <w:spacing w:val="-28"/>
                <w:w w:val="100"/>
                <w:sz w:val="20"/>
                <w:szCs w:val="20"/>
                <w:lang w:val="en-US"/>
              </w:rPr>
              <w:t>(</w:t>
            </w:r>
            <w:r>
              <w:rPr>
                <w:rFonts w:ascii="Times New Roman" w:hAnsi="Times New Roman" w:eastAsia="黑体" w:cs="仿宋_GB2312"/>
                <w:spacing w:val="-28"/>
                <w:w w:val="100"/>
                <w:sz w:val="20"/>
                <w:szCs w:val="20"/>
              </w:rPr>
              <w:t>万</w:t>
            </w:r>
            <w:r>
              <w:rPr>
                <w:rFonts w:hint="eastAsia" w:ascii="Times New Roman" w:hAnsi="Times New Roman" w:eastAsia="黑体" w:cs="仿宋_GB2312"/>
                <w:spacing w:val="-28"/>
                <w:w w:val="100"/>
                <w:sz w:val="20"/>
                <w:szCs w:val="20"/>
                <w:lang w:eastAsia="zh-CN"/>
              </w:rPr>
              <w:t>元</w:t>
            </w:r>
            <w:r>
              <w:rPr>
                <w:rFonts w:hint="default" w:ascii="Times New Roman" w:hAnsi="Times New Roman" w:eastAsia="黑体" w:cs="仿宋_GB2312"/>
                <w:spacing w:val="-28"/>
                <w:w w:val="10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100" w:type="pct"/>
            <w:vAlign w:val="center"/>
          </w:tcPr>
          <w:p w14:paraId="4BA122D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黑体" w:cs="仿宋_GB2312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86" w:type="pct"/>
            <w:vAlign w:val="center"/>
          </w:tcPr>
          <w:p w14:paraId="7B1CB9D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黑体" w:cs="仿宋_GB2312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69" w:type="pct"/>
            <w:vAlign w:val="center"/>
          </w:tcPr>
          <w:p w14:paraId="48EDFDF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黑体" w:cs="仿宋_GB2312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93" w:type="pct"/>
            <w:vAlign w:val="center"/>
          </w:tcPr>
          <w:p w14:paraId="7A5E7B2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黑体" w:cs="仿宋_GB2312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131" w:type="pct"/>
            <w:vAlign w:val="center"/>
          </w:tcPr>
          <w:p w14:paraId="0FB61BB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黑体" w:cs="仿宋_GB2312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152" w:type="pct"/>
            <w:vAlign w:val="center"/>
          </w:tcPr>
          <w:p w14:paraId="333EF3C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Times New Roman" w:hAnsi="Times New Roman" w:eastAsia="黑体" w:cs="仿宋_GB2312"/>
                <w:spacing w:val="0"/>
                <w:w w:val="100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黑体" w:cs="仿宋_GB2312"/>
                <w:spacing w:val="0"/>
                <w:w w:val="100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eastAsia="黑体" w:cs="仿宋_GB2312"/>
                <w:spacing w:val="0"/>
                <w:w w:val="100"/>
                <w:sz w:val="20"/>
                <w:szCs w:val="20"/>
              </w:rPr>
              <w:t>人</w:t>
            </w:r>
            <w:r>
              <w:rPr>
                <w:rFonts w:hint="eastAsia" w:ascii="Times New Roman" w:hAnsi="Times New Roman" w:eastAsia="黑体" w:cs="仿宋_GB2312"/>
                <w:spacing w:val="0"/>
                <w:w w:val="100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41" w:type="pct"/>
            <w:vAlign w:val="center"/>
          </w:tcPr>
          <w:p w14:paraId="44E375E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Times New Roman" w:hAnsi="Times New Roman" w:eastAsia="黑体" w:cs="仿宋_GB2312"/>
                <w:spacing w:val="0"/>
                <w:w w:val="100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黑体" w:cs="仿宋_GB2312"/>
                <w:spacing w:val="-51"/>
                <w:w w:val="100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eastAsia="黑体" w:cs="仿宋_GB2312"/>
                <w:spacing w:val="-51"/>
                <w:w w:val="100"/>
                <w:sz w:val="20"/>
                <w:szCs w:val="20"/>
              </w:rPr>
              <w:t>人</w:t>
            </w:r>
            <w:r>
              <w:rPr>
                <w:rFonts w:hint="eastAsia" w:ascii="Times New Roman" w:hAnsi="Times New Roman" w:eastAsia="黑体" w:cs="仿宋_GB2312"/>
                <w:spacing w:val="-51"/>
                <w:w w:val="100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65" w:type="pct"/>
            <w:vAlign w:val="center"/>
          </w:tcPr>
          <w:p w14:paraId="65CAF40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Times New Roman" w:hAnsi="Times New Roman" w:eastAsia="黑体" w:cs="仿宋_GB2312"/>
                <w:spacing w:val="0"/>
                <w:w w:val="100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黑体" w:cs="仿宋_GB2312"/>
                <w:spacing w:val="0"/>
                <w:w w:val="100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eastAsia="黑体" w:cs="仿宋_GB2312"/>
                <w:spacing w:val="0"/>
                <w:w w:val="100"/>
                <w:sz w:val="20"/>
                <w:szCs w:val="20"/>
              </w:rPr>
              <w:t>人</w:t>
            </w:r>
            <w:r>
              <w:rPr>
                <w:rFonts w:hint="eastAsia" w:ascii="Times New Roman" w:hAnsi="Times New Roman" w:eastAsia="黑体" w:cs="仿宋_GB2312"/>
                <w:spacing w:val="0"/>
                <w:w w:val="100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76" w:type="pct"/>
            <w:vAlign w:val="center"/>
          </w:tcPr>
          <w:p w14:paraId="0C7F4D2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Times New Roman" w:hAnsi="Times New Roman" w:eastAsia="黑体" w:cs="仿宋_GB2312"/>
                <w:spacing w:val="0"/>
                <w:w w:val="100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黑体" w:cs="仿宋_GB2312"/>
                <w:spacing w:val="0"/>
                <w:w w:val="100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eastAsia="黑体" w:cs="仿宋_GB2312"/>
                <w:spacing w:val="0"/>
                <w:w w:val="100"/>
                <w:sz w:val="20"/>
                <w:szCs w:val="20"/>
              </w:rPr>
              <w:t>人</w:t>
            </w:r>
            <w:r>
              <w:rPr>
                <w:rFonts w:hint="eastAsia" w:ascii="Times New Roman" w:hAnsi="Times New Roman" w:eastAsia="黑体" w:cs="仿宋_GB2312"/>
                <w:spacing w:val="0"/>
                <w:w w:val="100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72" w:type="pct"/>
            <w:vAlign w:val="center"/>
          </w:tcPr>
          <w:p w14:paraId="1DA8539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Times New Roman" w:hAnsi="Times New Roman" w:eastAsia="黑体" w:cs="仿宋_GB2312"/>
                <w:spacing w:val="0"/>
                <w:w w:val="100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黑体" w:cs="仿宋_GB2312"/>
                <w:spacing w:val="0"/>
                <w:w w:val="100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eastAsia="黑体" w:cs="仿宋_GB2312"/>
                <w:spacing w:val="0"/>
                <w:w w:val="100"/>
                <w:sz w:val="20"/>
                <w:szCs w:val="20"/>
              </w:rPr>
              <w:t>人</w:t>
            </w:r>
            <w:r>
              <w:rPr>
                <w:rFonts w:hint="eastAsia" w:ascii="Times New Roman" w:hAnsi="Times New Roman" w:eastAsia="黑体" w:cs="仿宋_GB2312"/>
                <w:spacing w:val="0"/>
                <w:w w:val="100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76" w:type="pct"/>
            <w:vAlign w:val="center"/>
          </w:tcPr>
          <w:p w14:paraId="19F78B1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Times New Roman" w:hAnsi="Times New Roman" w:eastAsia="黑体" w:cs="仿宋_GB2312"/>
                <w:spacing w:val="0"/>
                <w:w w:val="100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黑体" w:cs="仿宋_GB2312"/>
                <w:spacing w:val="0"/>
                <w:w w:val="100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eastAsia="黑体" w:cs="仿宋_GB2312"/>
                <w:spacing w:val="0"/>
                <w:w w:val="100"/>
                <w:sz w:val="20"/>
                <w:szCs w:val="20"/>
              </w:rPr>
              <w:t>人</w:t>
            </w:r>
            <w:r>
              <w:rPr>
                <w:rFonts w:hint="eastAsia" w:ascii="Times New Roman" w:hAnsi="Times New Roman" w:eastAsia="黑体" w:cs="仿宋_GB2312"/>
                <w:spacing w:val="0"/>
                <w:w w:val="100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62" w:type="pct"/>
            <w:vAlign w:val="center"/>
          </w:tcPr>
          <w:p w14:paraId="46A9F0C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Times New Roman" w:hAnsi="Times New Roman" w:eastAsia="黑体" w:cs="仿宋_GB2312"/>
                <w:spacing w:val="0"/>
                <w:w w:val="100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黑体" w:cs="仿宋_GB2312"/>
                <w:spacing w:val="0"/>
                <w:w w:val="100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eastAsia="黑体" w:cs="仿宋_GB2312"/>
                <w:spacing w:val="0"/>
                <w:w w:val="100"/>
                <w:sz w:val="20"/>
                <w:szCs w:val="20"/>
              </w:rPr>
              <w:t>人</w:t>
            </w:r>
            <w:r>
              <w:rPr>
                <w:rFonts w:hint="eastAsia" w:ascii="Times New Roman" w:hAnsi="Times New Roman" w:eastAsia="黑体" w:cs="仿宋_GB2312"/>
                <w:spacing w:val="0"/>
                <w:w w:val="100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238" w:type="pct"/>
            <w:vAlign w:val="center"/>
          </w:tcPr>
          <w:p w14:paraId="3CAAB22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Times New Roman" w:hAnsi="Times New Roman" w:eastAsia="黑体" w:cs="仿宋_GB2312"/>
                <w:spacing w:val="0"/>
                <w:w w:val="100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黑体" w:cs="仿宋_GB2312"/>
                <w:spacing w:val="0"/>
                <w:w w:val="100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eastAsia="黑体" w:cs="仿宋_GB2312"/>
                <w:spacing w:val="0"/>
                <w:w w:val="100"/>
                <w:sz w:val="20"/>
                <w:szCs w:val="20"/>
              </w:rPr>
              <w:t>万元</w:t>
            </w:r>
            <w:r>
              <w:rPr>
                <w:rFonts w:hint="eastAsia" w:ascii="Times New Roman" w:hAnsi="Times New Roman" w:eastAsia="黑体" w:cs="仿宋_GB2312"/>
                <w:spacing w:val="0"/>
                <w:w w:val="100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62" w:type="pct"/>
            <w:vAlign w:val="center"/>
          </w:tcPr>
          <w:p w14:paraId="115F8BA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Times New Roman" w:hAnsi="Times New Roman" w:eastAsia="黑体" w:cs="仿宋_GB2312"/>
                <w:spacing w:val="0"/>
                <w:w w:val="100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黑体" w:cs="仿宋_GB2312"/>
                <w:spacing w:val="0"/>
                <w:w w:val="100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eastAsia="黑体" w:cs="仿宋_GB2312"/>
                <w:spacing w:val="0"/>
                <w:w w:val="100"/>
                <w:sz w:val="20"/>
                <w:szCs w:val="20"/>
              </w:rPr>
              <w:t>人</w:t>
            </w:r>
            <w:r>
              <w:rPr>
                <w:rFonts w:hint="eastAsia" w:ascii="Times New Roman" w:hAnsi="Times New Roman" w:eastAsia="黑体" w:cs="仿宋_GB2312"/>
                <w:spacing w:val="0"/>
                <w:w w:val="100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48" w:type="pct"/>
            <w:vAlign w:val="center"/>
          </w:tcPr>
          <w:p w14:paraId="1E6623F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hint="eastAsia" w:ascii="Times New Roman" w:hAnsi="Times New Roman" w:eastAsia="黑体" w:cs="仿宋_GB2312"/>
                <w:spacing w:val="0"/>
                <w:w w:val="100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黑体" w:cs="仿宋_GB2312"/>
                <w:spacing w:val="0"/>
                <w:w w:val="100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hAnsi="Times New Roman" w:eastAsia="黑体" w:cs="仿宋_GB2312"/>
                <w:spacing w:val="0"/>
                <w:w w:val="100"/>
                <w:sz w:val="20"/>
                <w:szCs w:val="20"/>
              </w:rPr>
              <w:t>人</w:t>
            </w:r>
            <w:r>
              <w:rPr>
                <w:rFonts w:hint="eastAsia" w:ascii="Times New Roman" w:hAnsi="Times New Roman" w:eastAsia="黑体" w:cs="仿宋_GB2312"/>
                <w:spacing w:val="0"/>
                <w:w w:val="100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62" w:type="pct"/>
            <w:vAlign w:val="center"/>
          </w:tcPr>
          <w:p w14:paraId="07820FA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黑体" w:cs="仿宋_GB2312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120" w:type="pct"/>
            <w:vAlign w:val="center"/>
          </w:tcPr>
          <w:p w14:paraId="0C24FC5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黑体" w:cs="仿宋_GB2312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168" w:type="pct"/>
            <w:vAlign w:val="center"/>
          </w:tcPr>
          <w:p w14:paraId="06266A3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黑体" w:cs="仿宋_GB2312"/>
                <w:spacing w:val="0"/>
                <w:w w:val="100"/>
                <w:sz w:val="20"/>
                <w:szCs w:val="20"/>
              </w:rPr>
            </w:pPr>
          </w:p>
        </w:tc>
      </w:tr>
      <w:tr w14:paraId="1DC6E8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105" w:type="pct"/>
            <w:vMerge w:val="restart"/>
            <w:tcBorders>
              <w:bottom w:val="nil"/>
            </w:tcBorders>
            <w:vAlign w:val="center"/>
          </w:tcPr>
          <w:p w14:paraId="37D647A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69" w:type="pct"/>
            <w:vMerge w:val="restart"/>
            <w:tcBorders>
              <w:bottom w:val="nil"/>
            </w:tcBorders>
            <w:vAlign w:val="center"/>
          </w:tcPr>
          <w:p w14:paraId="76138A0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  <w:r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  <w:t>湖南省</w:t>
            </w:r>
          </w:p>
        </w:tc>
        <w:tc>
          <w:tcPr>
            <w:tcW w:w="120" w:type="pct"/>
            <w:vMerge w:val="restart"/>
            <w:tcBorders>
              <w:bottom w:val="nil"/>
            </w:tcBorders>
            <w:vAlign w:val="center"/>
          </w:tcPr>
          <w:p w14:paraId="2D88E6D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  <w:t>湘潭市</w:t>
            </w:r>
          </w:p>
        </w:tc>
        <w:tc>
          <w:tcPr>
            <w:tcW w:w="120" w:type="pct"/>
            <w:vMerge w:val="restart"/>
            <w:tcBorders>
              <w:bottom w:val="nil"/>
            </w:tcBorders>
            <w:vAlign w:val="center"/>
          </w:tcPr>
          <w:p w14:paraId="736C3CE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  <w:t>湘潭县</w:t>
            </w:r>
          </w:p>
        </w:tc>
        <w:tc>
          <w:tcPr>
            <w:tcW w:w="185" w:type="pct"/>
            <w:vMerge w:val="restart"/>
            <w:tcBorders>
              <w:bottom w:val="nil"/>
            </w:tcBorders>
            <w:vAlign w:val="center"/>
          </w:tcPr>
          <w:p w14:paraId="63939FF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  <w:t>湘潭县云湖桥镇2026年农</w:t>
            </w:r>
            <w:r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  <w:t>村</w:t>
            </w:r>
            <w:r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  <w:t>中小型基础</w:t>
            </w:r>
            <w:r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  <w:t>设施</w:t>
            </w:r>
            <w:r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  <w:t>建设</w:t>
            </w:r>
            <w:r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  <w:t>以工代赈项目</w:t>
            </w:r>
          </w:p>
        </w:tc>
        <w:tc>
          <w:tcPr>
            <w:tcW w:w="173" w:type="pct"/>
            <w:vMerge w:val="restart"/>
            <w:tcBorders>
              <w:bottom w:val="nil"/>
            </w:tcBorders>
            <w:vAlign w:val="center"/>
          </w:tcPr>
          <w:p w14:paraId="44C308A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  <w:t>农业农村</w:t>
            </w:r>
            <w:r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  <w:t>类</w:t>
            </w:r>
          </w:p>
        </w:tc>
        <w:tc>
          <w:tcPr>
            <w:tcW w:w="120" w:type="pct"/>
            <w:vMerge w:val="restart"/>
            <w:tcBorders>
              <w:bottom w:val="nil"/>
            </w:tcBorders>
            <w:vAlign w:val="center"/>
          </w:tcPr>
          <w:p w14:paraId="792720C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  <w:t>新建</w:t>
            </w:r>
          </w:p>
        </w:tc>
        <w:tc>
          <w:tcPr>
            <w:tcW w:w="113" w:type="pct"/>
            <w:vMerge w:val="restart"/>
            <w:tcBorders>
              <w:bottom w:val="nil"/>
            </w:tcBorders>
            <w:vAlign w:val="center"/>
          </w:tcPr>
          <w:p w14:paraId="74ED5C9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  <w:t>新修道路、水渠</w:t>
            </w:r>
          </w:p>
        </w:tc>
        <w:tc>
          <w:tcPr>
            <w:tcW w:w="251" w:type="pct"/>
            <w:vMerge w:val="restart"/>
            <w:tcBorders>
              <w:bottom w:val="nil"/>
            </w:tcBorders>
            <w:vAlign w:val="center"/>
          </w:tcPr>
          <w:p w14:paraId="38D2641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  <w:t>对清风村、新联村、向红村进行道路硬化</w:t>
            </w:r>
            <w:bookmarkStart w:id="0" w:name="_GoBack"/>
            <w:bookmarkEnd w:id="0"/>
            <w:r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  <w:t>1577米，水渠修建</w:t>
            </w:r>
            <w:r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val="en-US" w:eastAsia="zh-CN"/>
              </w:rPr>
              <w:t>6千米</w:t>
            </w:r>
          </w:p>
        </w:tc>
        <w:tc>
          <w:tcPr>
            <w:tcW w:w="174" w:type="pct"/>
            <w:vMerge w:val="restart"/>
            <w:tcBorders>
              <w:bottom w:val="nil"/>
            </w:tcBorders>
            <w:vAlign w:val="center"/>
          </w:tcPr>
          <w:p w14:paraId="18F5F1A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  <w:t>2025年</w:t>
            </w:r>
            <w:r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val="en-US" w:eastAsia="zh-CN"/>
              </w:rPr>
              <w:t>12</w:t>
            </w:r>
            <w:r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  <w:t>月</w:t>
            </w:r>
          </w:p>
        </w:tc>
        <w:tc>
          <w:tcPr>
            <w:tcW w:w="158" w:type="pct"/>
            <w:vMerge w:val="restart"/>
            <w:tcBorders>
              <w:bottom w:val="nil"/>
            </w:tcBorders>
            <w:vAlign w:val="center"/>
          </w:tcPr>
          <w:p w14:paraId="38427A0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  <w:r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  <w:t>202</w:t>
            </w:r>
            <w:r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val="en-US" w:eastAsia="zh-CN"/>
              </w:rPr>
              <w:t>6</w:t>
            </w:r>
            <w:r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val="en-US" w:eastAsia="zh-CN"/>
              </w:rPr>
              <w:t>9</w:t>
            </w:r>
            <w:r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  <w:t>月</w:t>
            </w:r>
          </w:p>
        </w:tc>
        <w:tc>
          <w:tcPr>
            <w:tcW w:w="167" w:type="pct"/>
            <w:vAlign w:val="center"/>
          </w:tcPr>
          <w:p w14:paraId="3EDD1E7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  <w:r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  <w:t>总投资</w:t>
            </w:r>
          </w:p>
        </w:tc>
        <w:tc>
          <w:tcPr>
            <w:tcW w:w="133" w:type="pct"/>
            <w:vAlign w:val="center"/>
          </w:tcPr>
          <w:p w14:paraId="2B350B6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hint="default" w:ascii="Times New Roman" w:hAnsi="Times New Roman" w:eastAsia="仿宋_GB2312" w:cs="仿宋_GB2312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  <w:t>2</w:t>
            </w:r>
            <w:r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val="en-US" w:eastAsia="zh-CN"/>
              </w:rPr>
              <w:t>58</w:t>
            </w:r>
          </w:p>
        </w:tc>
        <w:tc>
          <w:tcPr>
            <w:tcW w:w="117" w:type="pct"/>
            <w:vAlign w:val="center"/>
          </w:tcPr>
          <w:p w14:paraId="1846B7C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20" w:type="pct"/>
            <w:vAlign w:val="center"/>
          </w:tcPr>
          <w:p w14:paraId="4D9D3FD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34" w:type="pct"/>
            <w:vAlign w:val="center"/>
          </w:tcPr>
          <w:p w14:paraId="1AECE57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00" w:type="pct"/>
            <w:vMerge w:val="restart"/>
            <w:tcBorders>
              <w:bottom w:val="nil"/>
            </w:tcBorders>
            <w:vAlign w:val="center"/>
          </w:tcPr>
          <w:p w14:paraId="4AB3839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  <w:r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  <w:t>直接投资</w:t>
            </w:r>
          </w:p>
        </w:tc>
        <w:tc>
          <w:tcPr>
            <w:tcW w:w="86" w:type="pct"/>
            <w:vMerge w:val="restart"/>
            <w:tcBorders>
              <w:bottom w:val="nil"/>
            </w:tcBorders>
            <w:vAlign w:val="center"/>
          </w:tcPr>
          <w:p w14:paraId="05DFA8C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  <w:t>湘潭</w:t>
            </w:r>
            <w:r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  <w:t>县</w:t>
            </w:r>
            <w:r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  <w:t>云湖桥镇</w:t>
            </w:r>
            <w:r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  <w:t>人民政府</w:t>
            </w:r>
          </w:p>
        </w:tc>
        <w:tc>
          <w:tcPr>
            <w:tcW w:w="69" w:type="pct"/>
            <w:vMerge w:val="restart"/>
            <w:tcBorders>
              <w:bottom w:val="nil"/>
            </w:tcBorders>
            <w:vAlign w:val="center"/>
          </w:tcPr>
          <w:p w14:paraId="5B970DA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  <w:t>张科</w:t>
            </w:r>
          </w:p>
        </w:tc>
        <w:tc>
          <w:tcPr>
            <w:tcW w:w="93" w:type="pct"/>
            <w:vMerge w:val="restart"/>
            <w:tcBorders>
              <w:bottom w:val="nil"/>
            </w:tcBorders>
            <w:vAlign w:val="center"/>
          </w:tcPr>
          <w:p w14:paraId="7F8827E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  <w:r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  <w:t>湘潭县发展和改革局</w:t>
            </w:r>
          </w:p>
        </w:tc>
        <w:tc>
          <w:tcPr>
            <w:tcW w:w="131" w:type="pct"/>
            <w:vMerge w:val="restart"/>
            <w:tcBorders>
              <w:bottom w:val="nil"/>
            </w:tcBorders>
            <w:vAlign w:val="center"/>
          </w:tcPr>
          <w:p w14:paraId="6AC1084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  <w:t>赵露</w:t>
            </w:r>
          </w:p>
        </w:tc>
        <w:tc>
          <w:tcPr>
            <w:tcW w:w="152" w:type="pct"/>
            <w:vMerge w:val="restart"/>
            <w:tcBorders>
              <w:bottom w:val="nil"/>
            </w:tcBorders>
            <w:vAlign w:val="center"/>
          </w:tcPr>
          <w:p w14:paraId="3B880D2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  <w:r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val="en-US" w:eastAsia="zh-CN"/>
              </w:rPr>
              <w:t>5</w:t>
            </w:r>
            <w:r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  <w:t>0</w:t>
            </w:r>
          </w:p>
        </w:tc>
        <w:tc>
          <w:tcPr>
            <w:tcW w:w="141" w:type="pct"/>
            <w:vMerge w:val="restart"/>
            <w:tcBorders>
              <w:bottom w:val="nil"/>
            </w:tcBorders>
            <w:vAlign w:val="center"/>
          </w:tcPr>
          <w:p w14:paraId="018AE0E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hint="default" w:ascii="Times New Roman" w:hAnsi="Times New Roman" w:eastAsia="仿宋_GB2312" w:cs="仿宋_GB2312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val="en-US" w:eastAsia="zh-CN"/>
              </w:rPr>
              <w:t>60</w:t>
            </w:r>
          </w:p>
        </w:tc>
        <w:tc>
          <w:tcPr>
            <w:tcW w:w="165" w:type="pct"/>
            <w:vMerge w:val="restart"/>
            <w:tcBorders>
              <w:bottom w:val="nil"/>
            </w:tcBorders>
            <w:vAlign w:val="center"/>
          </w:tcPr>
          <w:p w14:paraId="1EFBF7F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hint="default" w:ascii="Times New Roman" w:hAnsi="Times New Roman" w:eastAsia="仿宋_GB2312" w:cs="仿宋_GB2312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val="en-US" w:eastAsia="zh-CN"/>
              </w:rPr>
              <w:t>45</w:t>
            </w:r>
          </w:p>
        </w:tc>
        <w:tc>
          <w:tcPr>
            <w:tcW w:w="176" w:type="pct"/>
            <w:vMerge w:val="restart"/>
            <w:vAlign w:val="center"/>
          </w:tcPr>
          <w:p w14:paraId="53D72E8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hint="default" w:ascii="Times New Roman" w:hAnsi="Times New Roman" w:eastAsia="仿宋_GB2312" w:cs="仿宋_GB2312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172" w:type="pct"/>
            <w:vMerge w:val="restart"/>
            <w:tcBorders>
              <w:bottom w:val="nil"/>
            </w:tcBorders>
            <w:vAlign w:val="center"/>
          </w:tcPr>
          <w:p w14:paraId="52E62A8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hint="default" w:ascii="Times New Roman" w:hAnsi="Times New Roman" w:eastAsia="仿宋_GB2312" w:cs="仿宋_GB2312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76" w:type="pct"/>
            <w:vMerge w:val="restart"/>
            <w:tcBorders>
              <w:bottom w:val="nil"/>
            </w:tcBorders>
            <w:vAlign w:val="center"/>
          </w:tcPr>
          <w:p w14:paraId="24F514A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hint="default" w:ascii="Times New Roman" w:hAnsi="Times New Roman" w:eastAsia="仿宋_GB2312" w:cs="仿宋_GB2312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62" w:type="pct"/>
            <w:vMerge w:val="restart"/>
            <w:tcBorders>
              <w:bottom w:val="nil"/>
            </w:tcBorders>
            <w:vAlign w:val="center"/>
          </w:tcPr>
          <w:p w14:paraId="3AD9254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hint="default" w:ascii="Times New Roman" w:hAnsi="Times New Roman" w:eastAsia="仿宋_GB2312" w:cs="仿宋_GB2312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238" w:type="pct"/>
            <w:vMerge w:val="restart"/>
            <w:tcBorders>
              <w:bottom w:val="nil"/>
            </w:tcBorders>
            <w:vAlign w:val="center"/>
          </w:tcPr>
          <w:p w14:paraId="653FF5D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val="en-US" w:eastAsia="zh-CN"/>
              </w:rPr>
              <w:t>25</w:t>
            </w:r>
          </w:p>
        </w:tc>
        <w:tc>
          <w:tcPr>
            <w:tcW w:w="162" w:type="pct"/>
            <w:vMerge w:val="restart"/>
            <w:tcBorders>
              <w:bottom w:val="nil"/>
            </w:tcBorders>
            <w:vAlign w:val="center"/>
          </w:tcPr>
          <w:p w14:paraId="5F26E3A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hint="default" w:ascii="Times New Roman" w:hAnsi="Times New Roman" w:eastAsia="仿宋_GB2312" w:cs="仿宋_GB2312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val="en-US" w:eastAsia="zh-CN"/>
              </w:rPr>
              <w:t>100</w:t>
            </w:r>
          </w:p>
        </w:tc>
        <w:tc>
          <w:tcPr>
            <w:tcW w:w="148" w:type="pct"/>
            <w:vMerge w:val="restart"/>
            <w:tcBorders>
              <w:bottom w:val="nil"/>
            </w:tcBorders>
            <w:vAlign w:val="center"/>
          </w:tcPr>
          <w:p w14:paraId="039D558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  <w:r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  <w:t>3</w:t>
            </w:r>
          </w:p>
        </w:tc>
        <w:tc>
          <w:tcPr>
            <w:tcW w:w="162" w:type="pct"/>
            <w:vMerge w:val="restart"/>
            <w:tcBorders>
              <w:bottom w:val="nil"/>
            </w:tcBorders>
            <w:vAlign w:val="center"/>
          </w:tcPr>
          <w:p w14:paraId="6FC4047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  <w:r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  <w:t>公益类</w:t>
            </w:r>
          </w:p>
        </w:tc>
        <w:tc>
          <w:tcPr>
            <w:tcW w:w="120" w:type="pct"/>
            <w:vMerge w:val="restart"/>
            <w:tcBorders>
              <w:bottom w:val="nil"/>
            </w:tcBorders>
            <w:vAlign w:val="center"/>
          </w:tcPr>
          <w:p w14:paraId="7992110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  <w:r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  <w:t>不招标</w:t>
            </w:r>
          </w:p>
        </w:tc>
        <w:tc>
          <w:tcPr>
            <w:tcW w:w="168" w:type="pct"/>
            <w:vMerge w:val="restart"/>
            <w:tcBorders>
              <w:bottom w:val="nil"/>
            </w:tcBorders>
            <w:vAlign w:val="center"/>
          </w:tcPr>
          <w:p w14:paraId="3C69DB4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  <w:r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  <w:t>村集体经济组织领办的村级劳务合作社、劳务公司、项目理事会等</w:t>
            </w:r>
          </w:p>
        </w:tc>
      </w:tr>
      <w:tr w14:paraId="09AB9E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6" w:hRule="atLeast"/>
          <w:jc w:val="center"/>
        </w:trPr>
        <w:tc>
          <w:tcPr>
            <w:tcW w:w="105" w:type="pct"/>
            <w:vMerge w:val="continue"/>
            <w:tcBorders>
              <w:top w:val="nil"/>
              <w:bottom w:val="nil"/>
            </w:tcBorders>
            <w:vAlign w:val="center"/>
          </w:tcPr>
          <w:p w14:paraId="02070C0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69" w:type="pct"/>
            <w:vMerge w:val="continue"/>
            <w:tcBorders>
              <w:top w:val="nil"/>
              <w:bottom w:val="nil"/>
            </w:tcBorders>
            <w:textDirection w:val="tbRlV"/>
            <w:vAlign w:val="center"/>
          </w:tcPr>
          <w:p w14:paraId="08D6727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20" w:type="pct"/>
            <w:vMerge w:val="continue"/>
            <w:tcBorders>
              <w:top w:val="nil"/>
              <w:bottom w:val="nil"/>
            </w:tcBorders>
            <w:textDirection w:val="tbRlV"/>
            <w:vAlign w:val="center"/>
          </w:tcPr>
          <w:p w14:paraId="1AA98D6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20" w:type="pct"/>
            <w:vMerge w:val="continue"/>
            <w:tcBorders>
              <w:top w:val="nil"/>
              <w:bottom w:val="nil"/>
            </w:tcBorders>
            <w:textDirection w:val="tbRlV"/>
            <w:vAlign w:val="center"/>
          </w:tcPr>
          <w:p w14:paraId="5956F77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85" w:type="pct"/>
            <w:vMerge w:val="continue"/>
            <w:tcBorders>
              <w:top w:val="nil"/>
              <w:bottom w:val="nil"/>
            </w:tcBorders>
            <w:vAlign w:val="center"/>
          </w:tcPr>
          <w:p w14:paraId="0B33DC1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73" w:type="pct"/>
            <w:vMerge w:val="continue"/>
            <w:tcBorders>
              <w:top w:val="nil"/>
              <w:bottom w:val="nil"/>
            </w:tcBorders>
            <w:vAlign w:val="center"/>
          </w:tcPr>
          <w:p w14:paraId="08C1399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20" w:type="pct"/>
            <w:vMerge w:val="continue"/>
            <w:tcBorders>
              <w:top w:val="nil"/>
              <w:bottom w:val="nil"/>
            </w:tcBorders>
            <w:textDirection w:val="tbRlV"/>
            <w:vAlign w:val="center"/>
          </w:tcPr>
          <w:p w14:paraId="4BC61B4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13" w:type="pct"/>
            <w:vMerge w:val="continue"/>
            <w:tcBorders>
              <w:top w:val="nil"/>
              <w:bottom w:val="nil"/>
            </w:tcBorders>
            <w:vAlign w:val="center"/>
          </w:tcPr>
          <w:p w14:paraId="6C085A3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251" w:type="pct"/>
            <w:vMerge w:val="continue"/>
            <w:tcBorders>
              <w:top w:val="nil"/>
              <w:bottom w:val="nil"/>
            </w:tcBorders>
            <w:vAlign w:val="center"/>
          </w:tcPr>
          <w:p w14:paraId="566C22A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74" w:type="pct"/>
            <w:vMerge w:val="continue"/>
            <w:tcBorders>
              <w:top w:val="nil"/>
              <w:bottom w:val="nil"/>
            </w:tcBorders>
            <w:vAlign w:val="center"/>
          </w:tcPr>
          <w:p w14:paraId="0CBD614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58" w:type="pct"/>
            <w:vMerge w:val="continue"/>
            <w:tcBorders>
              <w:top w:val="nil"/>
              <w:bottom w:val="nil"/>
            </w:tcBorders>
            <w:vAlign w:val="center"/>
          </w:tcPr>
          <w:p w14:paraId="483775A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67" w:type="pct"/>
            <w:vAlign w:val="center"/>
          </w:tcPr>
          <w:p w14:paraId="78F2DEA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  <w:r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  <w:t>中央预算内投资</w:t>
            </w:r>
          </w:p>
        </w:tc>
        <w:tc>
          <w:tcPr>
            <w:tcW w:w="133" w:type="pct"/>
            <w:vAlign w:val="center"/>
          </w:tcPr>
          <w:p w14:paraId="597B6B6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hint="default" w:ascii="Times New Roman" w:hAnsi="Times New Roman" w:eastAsia="仿宋_GB2312" w:cs="仿宋_GB2312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  <w:t>2</w:t>
            </w:r>
            <w:r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val="en-US" w:eastAsia="zh-CN"/>
              </w:rPr>
              <w:t>46</w:t>
            </w:r>
          </w:p>
        </w:tc>
        <w:tc>
          <w:tcPr>
            <w:tcW w:w="117" w:type="pct"/>
            <w:vAlign w:val="center"/>
          </w:tcPr>
          <w:p w14:paraId="498362B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20" w:type="pct"/>
            <w:vAlign w:val="center"/>
          </w:tcPr>
          <w:p w14:paraId="30F570D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34" w:type="pct"/>
            <w:vAlign w:val="center"/>
          </w:tcPr>
          <w:p w14:paraId="50E5159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hint="default" w:ascii="Times New Roman" w:hAnsi="Times New Roman" w:eastAsia="仿宋_GB2312" w:cs="仿宋_GB2312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  <w:t>2</w:t>
            </w:r>
            <w:r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val="en-US" w:eastAsia="zh-CN"/>
              </w:rPr>
              <w:t>46</w:t>
            </w:r>
          </w:p>
        </w:tc>
        <w:tc>
          <w:tcPr>
            <w:tcW w:w="100" w:type="pct"/>
            <w:vMerge w:val="continue"/>
            <w:tcBorders>
              <w:top w:val="nil"/>
              <w:bottom w:val="nil"/>
            </w:tcBorders>
            <w:vAlign w:val="center"/>
          </w:tcPr>
          <w:p w14:paraId="643169D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86" w:type="pct"/>
            <w:vMerge w:val="continue"/>
            <w:tcBorders>
              <w:top w:val="nil"/>
              <w:bottom w:val="nil"/>
            </w:tcBorders>
            <w:vAlign w:val="center"/>
          </w:tcPr>
          <w:p w14:paraId="70E73CB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69" w:type="pct"/>
            <w:vMerge w:val="continue"/>
            <w:tcBorders>
              <w:top w:val="nil"/>
              <w:bottom w:val="nil"/>
            </w:tcBorders>
            <w:vAlign w:val="center"/>
          </w:tcPr>
          <w:p w14:paraId="37E8D44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93" w:type="pct"/>
            <w:vMerge w:val="continue"/>
            <w:tcBorders>
              <w:top w:val="nil"/>
              <w:bottom w:val="nil"/>
            </w:tcBorders>
            <w:vAlign w:val="center"/>
          </w:tcPr>
          <w:p w14:paraId="6C52F58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31" w:type="pct"/>
            <w:vMerge w:val="continue"/>
            <w:tcBorders>
              <w:top w:val="nil"/>
              <w:bottom w:val="nil"/>
            </w:tcBorders>
            <w:vAlign w:val="center"/>
          </w:tcPr>
          <w:p w14:paraId="108EA48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52" w:type="pct"/>
            <w:vMerge w:val="continue"/>
            <w:tcBorders>
              <w:top w:val="nil"/>
              <w:bottom w:val="nil"/>
            </w:tcBorders>
            <w:vAlign w:val="center"/>
          </w:tcPr>
          <w:p w14:paraId="524FD54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41" w:type="pct"/>
            <w:vMerge w:val="continue"/>
            <w:tcBorders>
              <w:top w:val="nil"/>
              <w:bottom w:val="nil"/>
            </w:tcBorders>
            <w:vAlign w:val="center"/>
          </w:tcPr>
          <w:p w14:paraId="4F02CC2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65" w:type="pct"/>
            <w:vMerge w:val="continue"/>
            <w:tcBorders>
              <w:top w:val="nil"/>
              <w:bottom w:val="nil"/>
            </w:tcBorders>
            <w:vAlign w:val="center"/>
          </w:tcPr>
          <w:p w14:paraId="4D0A5FD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76" w:type="pct"/>
            <w:vMerge w:val="continue"/>
            <w:vAlign w:val="center"/>
          </w:tcPr>
          <w:p w14:paraId="37329B0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72" w:type="pct"/>
            <w:vMerge w:val="continue"/>
            <w:tcBorders>
              <w:top w:val="nil"/>
              <w:bottom w:val="nil"/>
            </w:tcBorders>
            <w:vAlign w:val="center"/>
          </w:tcPr>
          <w:p w14:paraId="1F47F9C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76" w:type="pct"/>
            <w:vMerge w:val="continue"/>
            <w:tcBorders>
              <w:top w:val="nil"/>
              <w:bottom w:val="nil"/>
            </w:tcBorders>
            <w:vAlign w:val="center"/>
          </w:tcPr>
          <w:p w14:paraId="6434E76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62" w:type="pct"/>
            <w:vMerge w:val="continue"/>
            <w:tcBorders>
              <w:top w:val="nil"/>
              <w:bottom w:val="nil"/>
            </w:tcBorders>
            <w:vAlign w:val="center"/>
          </w:tcPr>
          <w:p w14:paraId="7265EBD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238" w:type="pct"/>
            <w:vMerge w:val="continue"/>
            <w:tcBorders>
              <w:top w:val="nil"/>
              <w:bottom w:val="nil"/>
            </w:tcBorders>
            <w:vAlign w:val="center"/>
          </w:tcPr>
          <w:p w14:paraId="50370D9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62" w:type="pct"/>
            <w:vMerge w:val="continue"/>
            <w:tcBorders>
              <w:top w:val="nil"/>
              <w:bottom w:val="nil"/>
            </w:tcBorders>
            <w:vAlign w:val="center"/>
          </w:tcPr>
          <w:p w14:paraId="1ED444B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48" w:type="pct"/>
            <w:vMerge w:val="continue"/>
            <w:tcBorders>
              <w:top w:val="nil"/>
              <w:bottom w:val="nil"/>
            </w:tcBorders>
            <w:vAlign w:val="center"/>
          </w:tcPr>
          <w:p w14:paraId="4444B49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62" w:type="pct"/>
            <w:vMerge w:val="continue"/>
            <w:tcBorders>
              <w:top w:val="nil"/>
              <w:bottom w:val="nil"/>
            </w:tcBorders>
            <w:vAlign w:val="center"/>
          </w:tcPr>
          <w:p w14:paraId="0B3FAA1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20" w:type="pct"/>
            <w:vMerge w:val="continue"/>
            <w:tcBorders>
              <w:top w:val="nil"/>
              <w:bottom w:val="nil"/>
            </w:tcBorders>
            <w:vAlign w:val="center"/>
          </w:tcPr>
          <w:p w14:paraId="7E53D1C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68" w:type="pct"/>
            <w:vMerge w:val="continue"/>
            <w:tcBorders>
              <w:top w:val="nil"/>
              <w:bottom w:val="nil"/>
            </w:tcBorders>
            <w:vAlign w:val="center"/>
          </w:tcPr>
          <w:p w14:paraId="178F4E6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</w:tr>
      <w:tr w14:paraId="0DD1F7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6" w:hRule="atLeast"/>
          <w:jc w:val="center"/>
        </w:trPr>
        <w:tc>
          <w:tcPr>
            <w:tcW w:w="105" w:type="pct"/>
            <w:vMerge w:val="continue"/>
            <w:tcBorders>
              <w:top w:val="nil"/>
              <w:bottom w:val="nil"/>
            </w:tcBorders>
            <w:vAlign w:val="center"/>
          </w:tcPr>
          <w:p w14:paraId="6D03F6F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69" w:type="pct"/>
            <w:vMerge w:val="continue"/>
            <w:tcBorders>
              <w:top w:val="nil"/>
              <w:bottom w:val="nil"/>
            </w:tcBorders>
            <w:textDirection w:val="tbRlV"/>
            <w:vAlign w:val="center"/>
          </w:tcPr>
          <w:p w14:paraId="4A8A9C2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20" w:type="pct"/>
            <w:vMerge w:val="continue"/>
            <w:tcBorders>
              <w:top w:val="nil"/>
              <w:bottom w:val="nil"/>
            </w:tcBorders>
            <w:textDirection w:val="tbRlV"/>
            <w:vAlign w:val="center"/>
          </w:tcPr>
          <w:p w14:paraId="5482826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20" w:type="pct"/>
            <w:vMerge w:val="continue"/>
            <w:tcBorders>
              <w:top w:val="nil"/>
              <w:bottom w:val="nil"/>
            </w:tcBorders>
            <w:textDirection w:val="tbRlV"/>
            <w:vAlign w:val="center"/>
          </w:tcPr>
          <w:p w14:paraId="4DB71BD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85" w:type="pct"/>
            <w:vMerge w:val="continue"/>
            <w:tcBorders>
              <w:top w:val="nil"/>
              <w:bottom w:val="nil"/>
            </w:tcBorders>
            <w:vAlign w:val="center"/>
          </w:tcPr>
          <w:p w14:paraId="528D880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73" w:type="pct"/>
            <w:vMerge w:val="continue"/>
            <w:tcBorders>
              <w:top w:val="nil"/>
              <w:bottom w:val="nil"/>
            </w:tcBorders>
            <w:vAlign w:val="center"/>
          </w:tcPr>
          <w:p w14:paraId="71C0D8F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20" w:type="pct"/>
            <w:vMerge w:val="continue"/>
            <w:tcBorders>
              <w:top w:val="nil"/>
              <w:bottom w:val="nil"/>
            </w:tcBorders>
            <w:textDirection w:val="tbRlV"/>
            <w:vAlign w:val="center"/>
          </w:tcPr>
          <w:p w14:paraId="30EDF2F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13" w:type="pct"/>
            <w:vMerge w:val="continue"/>
            <w:tcBorders>
              <w:top w:val="nil"/>
              <w:bottom w:val="nil"/>
            </w:tcBorders>
            <w:vAlign w:val="center"/>
          </w:tcPr>
          <w:p w14:paraId="21E43FD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251" w:type="pct"/>
            <w:vMerge w:val="continue"/>
            <w:tcBorders>
              <w:top w:val="nil"/>
              <w:bottom w:val="nil"/>
            </w:tcBorders>
            <w:vAlign w:val="center"/>
          </w:tcPr>
          <w:p w14:paraId="455D160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74" w:type="pct"/>
            <w:vMerge w:val="continue"/>
            <w:tcBorders>
              <w:top w:val="nil"/>
              <w:bottom w:val="nil"/>
            </w:tcBorders>
            <w:vAlign w:val="center"/>
          </w:tcPr>
          <w:p w14:paraId="59DC874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58" w:type="pct"/>
            <w:vMerge w:val="continue"/>
            <w:tcBorders>
              <w:top w:val="nil"/>
              <w:bottom w:val="nil"/>
            </w:tcBorders>
            <w:vAlign w:val="center"/>
          </w:tcPr>
          <w:p w14:paraId="0F7D296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67" w:type="pct"/>
            <w:vAlign w:val="center"/>
          </w:tcPr>
          <w:p w14:paraId="6FA8194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  <w:r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  <w:t>地方预算内投资</w:t>
            </w:r>
          </w:p>
        </w:tc>
        <w:tc>
          <w:tcPr>
            <w:tcW w:w="133" w:type="pct"/>
            <w:vAlign w:val="center"/>
          </w:tcPr>
          <w:p w14:paraId="26953EA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17" w:type="pct"/>
            <w:vAlign w:val="center"/>
          </w:tcPr>
          <w:p w14:paraId="1F696E2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20" w:type="pct"/>
            <w:vAlign w:val="center"/>
          </w:tcPr>
          <w:p w14:paraId="4B131A4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34" w:type="pct"/>
            <w:vAlign w:val="center"/>
          </w:tcPr>
          <w:p w14:paraId="080D1F8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00" w:type="pct"/>
            <w:vMerge w:val="continue"/>
            <w:tcBorders>
              <w:top w:val="nil"/>
              <w:bottom w:val="nil"/>
            </w:tcBorders>
            <w:vAlign w:val="center"/>
          </w:tcPr>
          <w:p w14:paraId="0FB0776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86" w:type="pct"/>
            <w:vMerge w:val="continue"/>
            <w:tcBorders>
              <w:top w:val="nil"/>
              <w:bottom w:val="nil"/>
            </w:tcBorders>
            <w:vAlign w:val="center"/>
          </w:tcPr>
          <w:p w14:paraId="1690D77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69" w:type="pct"/>
            <w:vMerge w:val="continue"/>
            <w:tcBorders>
              <w:top w:val="nil"/>
              <w:bottom w:val="nil"/>
            </w:tcBorders>
            <w:vAlign w:val="center"/>
          </w:tcPr>
          <w:p w14:paraId="7F5E3E7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93" w:type="pct"/>
            <w:vMerge w:val="continue"/>
            <w:tcBorders>
              <w:top w:val="nil"/>
              <w:bottom w:val="nil"/>
            </w:tcBorders>
            <w:vAlign w:val="center"/>
          </w:tcPr>
          <w:p w14:paraId="13FDC6B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31" w:type="pct"/>
            <w:vMerge w:val="continue"/>
            <w:tcBorders>
              <w:top w:val="nil"/>
              <w:bottom w:val="nil"/>
            </w:tcBorders>
            <w:vAlign w:val="center"/>
          </w:tcPr>
          <w:p w14:paraId="4E9761A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52" w:type="pct"/>
            <w:vMerge w:val="continue"/>
            <w:tcBorders>
              <w:top w:val="nil"/>
              <w:bottom w:val="nil"/>
            </w:tcBorders>
            <w:vAlign w:val="center"/>
          </w:tcPr>
          <w:p w14:paraId="48623BE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41" w:type="pct"/>
            <w:vMerge w:val="continue"/>
            <w:tcBorders>
              <w:top w:val="nil"/>
              <w:bottom w:val="nil"/>
            </w:tcBorders>
            <w:vAlign w:val="center"/>
          </w:tcPr>
          <w:p w14:paraId="28825B1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65" w:type="pct"/>
            <w:vMerge w:val="continue"/>
            <w:tcBorders>
              <w:top w:val="nil"/>
              <w:bottom w:val="nil"/>
            </w:tcBorders>
            <w:vAlign w:val="center"/>
          </w:tcPr>
          <w:p w14:paraId="5435543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76" w:type="pct"/>
            <w:vMerge w:val="continue"/>
            <w:vAlign w:val="center"/>
          </w:tcPr>
          <w:p w14:paraId="210BE6F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72" w:type="pct"/>
            <w:vMerge w:val="continue"/>
            <w:tcBorders>
              <w:top w:val="nil"/>
              <w:bottom w:val="nil"/>
            </w:tcBorders>
            <w:vAlign w:val="center"/>
          </w:tcPr>
          <w:p w14:paraId="0316C34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76" w:type="pct"/>
            <w:vMerge w:val="continue"/>
            <w:tcBorders>
              <w:top w:val="nil"/>
              <w:bottom w:val="nil"/>
            </w:tcBorders>
            <w:vAlign w:val="center"/>
          </w:tcPr>
          <w:p w14:paraId="11049AA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62" w:type="pct"/>
            <w:vMerge w:val="continue"/>
            <w:tcBorders>
              <w:top w:val="nil"/>
              <w:bottom w:val="nil"/>
            </w:tcBorders>
            <w:vAlign w:val="center"/>
          </w:tcPr>
          <w:p w14:paraId="4170759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238" w:type="pct"/>
            <w:vMerge w:val="continue"/>
            <w:tcBorders>
              <w:top w:val="nil"/>
              <w:bottom w:val="nil"/>
            </w:tcBorders>
            <w:vAlign w:val="center"/>
          </w:tcPr>
          <w:p w14:paraId="7ADAD96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62" w:type="pct"/>
            <w:vMerge w:val="continue"/>
            <w:tcBorders>
              <w:top w:val="nil"/>
              <w:bottom w:val="nil"/>
            </w:tcBorders>
            <w:vAlign w:val="center"/>
          </w:tcPr>
          <w:p w14:paraId="3C69867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48" w:type="pct"/>
            <w:vMerge w:val="continue"/>
            <w:tcBorders>
              <w:top w:val="nil"/>
              <w:bottom w:val="nil"/>
            </w:tcBorders>
            <w:vAlign w:val="center"/>
          </w:tcPr>
          <w:p w14:paraId="4A102EB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62" w:type="pct"/>
            <w:vMerge w:val="continue"/>
            <w:tcBorders>
              <w:top w:val="nil"/>
              <w:bottom w:val="nil"/>
            </w:tcBorders>
            <w:vAlign w:val="center"/>
          </w:tcPr>
          <w:p w14:paraId="54459F8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20" w:type="pct"/>
            <w:vMerge w:val="continue"/>
            <w:tcBorders>
              <w:top w:val="nil"/>
              <w:bottom w:val="nil"/>
            </w:tcBorders>
            <w:vAlign w:val="center"/>
          </w:tcPr>
          <w:p w14:paraId="4FFD2B0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68" w:type="pct"/>
            <w:vMerge w:val="continue"/>
            <w:tcBorders>
              <w:top w:val="nil"/>
              <w:bottom w:val="nil"/>
            </w:tcBorders>
            <w:vAlign w:val="center"/>
          </w:tcPr>
          <w:p w14:paraId="0B2C42F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</w:tr>
      <w:tr w14:paraId="0EB4EF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0" w:hRule="atLeast"/>
          <w:jc w:val="center"/>
        </w:trPr>
        <w:tc>
          <w:tcPr>
            <w:tcW w:w="105" w:type="pct"/>
            <w:vMerge w:val="continue"/>
            <w:tcBorders>
              <w:top w:val="nil"/>
              <w:bottom w:val="nil"/>
            </w:tcBorders>
            <w:vAlign w:val="center"/>
          </w:tcPr>
          <w:p w14:paraId="702247E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69" w:type="pct"/>
            <w:vMerge w:val="continue"/>
            <w:tcBorders>
              <w:top w:val="nil"/>
              <w:bottom w:val="nil"/>
            </w:tcBorders>
            <w:textDirection w:val="tbRlV"/>
            <w:vAlign w:val="center"/>
          </w:tcPr>
          <w:p w14:paraId="6779F62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20" w:type="pct"/>
            <w:vMerge w:val="continue"/>
            <w:tcBorders>
              <w:top w:val="nil"/>
              <w:bottom w:val="nil"/>
            </w:tcBorders>
            <w:textDirection w:val="tbRlV"/>
            <w:vAlign w:val="center"/>
          </w:tcPr>
          <w:p w14:paraId="68029DD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20" w:type="pct"/>
            <w:vMerge w:val="continue"/>
            <w:tcBorders>
              <w:top w:val="nil"/>
              <w:bottom w:val="nil"/>
            </w:tcBorders>
            <w:textDirection w:val="tbRlV"/>
            <w:vAlign w:val="center"/>
          </w:tcPr>
          <w:p w14:paraId="5CF55BE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85" w:type="pct"/>
            <w:vMerge w:val="continue"/>
            <w:tcBorders>
              <w:top w:val="nil"/>
              <w:bottom w:val="nil"/>
            </w:tcBorders>
            <w:vAlign w:val="center"/>
          </w:tcPr>
          <w:p w14:paraId="20325DF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73" w:type="pct"/>
            <w:vMerge w:val="continue"/>
            <w:tcBorders>
              <w:top w:val="nil"/>
              <w:bottom w:val="nil"/>
            </w:tcBorders>
            <w:vAlign w:val="center"/>
          </w:tcPr>
          <w:p w14:paraId="42C793E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20" w:type="pct"/>
            <w:vMerge w:val="continue"/>
            <w:tcBorders>
              <w:top w:val="nil"/>
              <w:bottom w:val="nil"/>
            </w:tcBorders>
            <w:textDirection w:val="tbRlV"/>
            <w:vAlign w:val="center"/>
          </w:tcPr>
          <w:p w14:paraId="0215BD0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13" w:type="pct"/>
            <w:vMerge w:val="continue"/>
            <w:tcBorders>
              <w:top w:val="nil"/>
              <w:bottom w:val="nil"/>
            </w:tcBorders>
            <w:vAlign w:val="center"/>
          </w:tcPr>
          <w:p w14:paraId="450AA0F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251" w:type="pct"/>
            <w:vMerge w:val="continue"/>
            <w:tcBorders>
              <w:top w:val="nil"/>
              <w:bottom w:val="nil"/>
            </w:tcBorders>
            <w:vAlign w:val="center"/>
          </w:tcPr>
          <w:p w14:paraId="3F7F0D1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74" w:type="pct"/>
            <w:vMerge w:val="continue"/>
            <w:tcBorders>
              <w:top w:val="nil"/>
              <w:bottom w:val="nil"/>
            </w:tcBorders>
            <w:vAlign w:val="center"/>
          </w:tcPr>
          <w:p w14:paraId="4F0A3B9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58" w:type="pct"/>
            <w:vMerge w:val="continue"/>
            <w:tcBorders>
              <w:top w:val="nil"/>
              <w:bottom w:val="nil"/>
            </w:tcBorders>
            <w:vAlign w:val="center"/>
          </w:tcPr>
          <w:p w14:paraId="7A5AF35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67" w:type="pct"/>
            <w:vAlign w:val="center"/>
          </w:tcPr>
          <w:p w14:paraId="083A809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  <w:r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  <w:t>其他地方财政性建设资金</w:t>
            </w:r>
          </w:p>
        </w:tc>
        <w:tc>
          <w:tcPr>
            <w:tcW w:w="133" w:type="pct"/>
            <w:vAlign w:val="center"/>
          </w:tcPr>
          <w:p w14:paraId="0E62009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17" w:type="pct"/>
            <w:vAlign w:val="center"/>
          </w:tcPr>
          <w:p w14:paraId="76BF86D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20" w:type="pct"/>
            <w:vAlign w:val="center"/>
          </w:tcPr>
          <w:p w14:paraId="5D46C23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34" w:type="pct"/>
            <w:vAlign w:val="center"/>
          </w:tcPr>
          <w:p w14:paraId="7D9E864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00" w:type="pct"/>
            <w:vMerge w:val="continue"/>
            <w:tcBorders>
              <w:top w:val="nil"/>
              <w:bottom w:val="nil"/>
            </w:tcBorders>
            <w:vAlign w:val="center"/>
          </w:tcPr>
          <w:p w14:paraId="49F76A9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86" w:type="pct"/>
            <w:vMerge w:val="continue"/>
            <w:tcBorders>
              <w:top w:val="nil"/>
              <w:bottom w:val="nil"/>
            </w:tcBorders>
            <w:vAlign w:val="center"/>
          </w:tcPr>
          <w:p w14:paraId="1E8912D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69" w:type="pct"/>
            <w:vMerge w:val="continue"/>
            <w:tcBorders>
              <w:top w:val="nil"/>
              <w:bottom w:val="nil"/>
            </w:tcBorders>
            <w:vAlign w:val="center"/>
          </w:tcPr>
          <w:p w14:paraId="369F9BE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93" w:type="pct"/>
            <w:vMerge w:val="continue"/>
            <w:tcBorders>
              <w:top w:val="nil"/>
              <w:bottom w:val="nil"/>
            </w:tcBorders>
            <w:vAlign w:val="center"/>
          </w:tcPr>
          <w:p w14:paraId="4D778A9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31" w:type="pct"/>
            <w:vMerge w:val="continue"/>
            <w:tcBorders>
              <w:top w:val="nil"/>
              <w:bottom w:val="nil"/>
            </w:tcBorders>
            <w:vAlign w:val="center"/>
          </w:tcPr>
          <w:p w14:paraId="5D66A0D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52" w:type="pct"/>
            <w:vMerge w:val="continue"/>
            <w:tcBorders>
              <w:top w:val="nil"/>
              <w:bottom w:val="nil"/>
            </w:tcBorders>
            <w:vAlign w:val="center"/>
          </w:tcPr>
          <w:p w14:paraId="6A64003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41" w:type="pct"/>
            <w:vMerge w:val="continue"/>
            <w:tcBorders>
              <w:top w:val="nil"/>
              <w:bottom w:val="nil"/>
            </w:tcBorders>
            <w:vAlign w:val="center"/>
          </w:tcPr>
          <w:p w14:paraId="6BD464D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65" w:type="pct"/>
            <w:vMerge w:val="continue"/>
            <w:tcBorders>
              <w:top w:val="nil"/>
              <w:bottom w:val="nil"/>
            </w:tcBorders>
            <w:vAlign w:val="center"/>
          </w:tcPr>
          <w:p w14:paraId="6195A38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76" w:type="pct"/>
            <w:vMerge w:val="continue"/>
            <w:vAlign w:val="center"/>
          </w:tcPr>
          <w:p w14:paraId="21BC6C4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72" w:type="pct"/>
            <w:vMerge w:val="continue"/>
            <w:tcBorders>
              <w:top w:val="nil"/>
              <w:bottom w:val="nil"/>
            </w:tcBorders>
            <w:vAlign w:val="center"/>
          </w:tcPr>
          <w:p w14:paraId="508A6A2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76" w:type="pct"/>
            <w:vMerge w:val="continue"/>
            <w:tcBorders>
              <w:top w:val="nil"/>
              <w:bottom w:val="nil"/>
            </w:tcBorders>
            <w:vAlign w:val="center"/>
          </w:tcPr>
          <w:p w14:paraId="40784DA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62" w:type="pct"/>
            <w:vMerge w:val="continue"/>
            <w:tcBorders>
              <w:top w:val="nil"/>
              <w:bottom w:val="nil"/>
            </w:tcBorders>
            <w:vAlign w:val="center"/>
          </w:tcPr>
          <w:p w14:paraId="21A83BF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238" w:type="pct"/>
            <w:vMerge w:val="continue"/>
            <w:tcBorders>
              <w:top w:val="nil"/>
              <w:bottom w:val="nil"/>
            </w:tcBorders>
            <w:vAlign w:val="center"/>
          </w:tcPr>
          <w:p w14:paraId="5DF9CE9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62" w:type="pct"/>
            <w:vMerge w:val="continue"/>
            <w:tcBorders>
              <w:top w:val="nil"/>
              <w:bottom w:val="nil"/>
            </w:tcBorders>
            <w:vAlign w:val="center"/>
          </w:tcPr>
          <w:p w14:paraId="5A34174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48" w:type="pct"/>
            <w:vMerge w:val="continue"/>
            <w:tcBorders>
              <w:top w:val="nil"/>
              <w:bottom w:val="nil"/>
            </w:tcBorders>
            <w:vAlign w:val="center"/>
          </w:tcPr>
          <w:p w14:paraId="390EEDC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62" w:type="pct"/>
            <w:vMerge w:val="continue"/>
            <w:tcBorders>
              <w:top w:val="nil"/>
              <w:bottom w:val="nil"/>
            </w:tcBorders>
            <w:vAlign w:val="center"/>
          </w:tcPr>
          <w:p w14:paraId="2F0C9FA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20" w:type="pct"/>
            <w:vMerge w:val="continue"/>
            <w:tcBorders>
              <w:top w:val="nil"/>
              <w:bottom w:val="nil"/>
            </w:tcBorders>
            <w:vAlign w:val="center"/>
          </w:tcPr>
          <w:p w14:paraId="2D9281D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68" w:type="pct"/>
            <w:vMerge w:val="continue"/>
            <w:tcBorders>
              <w:top w:val="nil"/>
              <w:bottom w:val="nil"/>
            </w:tcBorders>
            <w:vAlign w:val="center"/>
          </w:tcPr>
          <w:p w14:paraId="7BECC3A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</w:tr>
      <w:tr w14:paraId="1BB02D5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  <w:jc w:val="center"/>
        </w:trPr>
        <w:tc>
          <w:tcPr>
            <w:tcW w:w="105" w:type="pct"/>
            <w:vMerge w:val="continue"/>
            <w:tcBorders>
              <w:top w:val="nil"/>
            </w:tcBorders>
            <w:vAlign w:val="center"/>
          </w:tcPr>
          <w:p w14:paraId="55469C4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69" w:type="pct"/>
            <w:vMerge w:val="continue"/>
            <w:tcBorders>
              <w:top w:val="nil"/>
            </w:tcBorders>
            <w:textDirection w:val="tbRlV"/>
            <w:vAlign w:val="center"/>
          </w:tcPr>
          <w:p w14:paraId="0737304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20" w:type="pct"/>
            <w:vMerge w:val="continue"/>
            <w:tcBorders>
              <w:top w:val="nil"/>
            </w:tcBorders>
            <w:textDirection w:val="tbRlV"/>
            <w:vAlign w:val="center"/>
          </w:tcPr>
          <w:p w14:paraId="0AA5C89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20" w:type="pct"/>
            <w:vMerge w:val="continue"/>
            <w:tcBorders>
              <w:top w:val="nil"/>
            </w:tcBorders>
            <w:textDirection w:val="tbRlV"/>
            <w:vAlign w:val="center"/>
          </w:tcPr>
          <w:p w14:paraId="2E8AF88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85" w:type="pct"/>
            <w:vMerge w:val="continue"/>
            <w:tcBorders>
              <w:top w:val="nil"/>
            </w:tcBorders>
            <w:vAlign w:val="center"/>
          </w:tcPr>
          <w:p w14:paraId="29BFD11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73" w:type="pct"/>
            <w:vMerge w:val="continue"/>
            <w:tcBorders>
              <w:top w:val="nil"/>
            </w:tcBorders>
            <w:vAlign w:val="center"/>
          </w:tcPr>
          <w:p w14:paraId="4389CB8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20" w:type="pct"/>
            <w:vMerge w:val="continue"/>
            <w:tcBorders>
              <w:top w:val="nil"/>
            </w:tcBorders>
            <w:textDirection w:val="tbRlV"/>
            <w:vAlign w:val="center"/>
          </w:tcPr>
          <w:p w14:paraId="2EACF70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13" w:type="pct"/>
            <w:vMerge w:val="continue"/>
            <w:tcBorders>
              <w:top w:val="nil"/>
            </w:tcBorders>
            <w:vAlign w:val="center"/>
          </w:tcPr>
          <w:p w14:paraId="32D6623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251" w:type="pct"/>
            <w:vMerge w:val="continue"/>
            <w:tcBorders>
              <w:top w:val="nil"/>
            </w:tcBorders>
            <w:vAlign w:val="center"/>
          </w:tcPr>
          <w:p w14:paraId="3C664BF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74" w:type="pct"/>
            <w:vMerge w:val="continue"/>
            <w:tcBorders>
              <w:top w:val="nil"/>
            </w:tcBorders>
            <w:vAlign w:val="center"/>
          </w:tcPr>
          <w:p w14:paraId="4672730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58" w:type="pct"/>
            <w:vMerge w:val="continue"/>
            <w:tcBorders>
              <w:top w:val="nil"/>
            </w:tcBorders>
            <w:vAlign w:val="center"/>
          </w:tcPr>
          <w:p w14:paraId="06ABF44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67" w:type="pct"/>
            <w:vAlign w:val="center"/>
          </w:tcPr>
          <w:p w14:paraId="42E6D6D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  <w:r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  <w:t>其他投资</w:t>
            </w:r>
          </w:p>
        </w:tc>
        <w:tc>
          <w:tcPr>
            <w:tcW w:w="133" w:type="pct"/>
            <w:vAlign w:val="center"/>
          </w:tcPr>
          <w:p w14:paraId="7C98A2C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  <w:r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  <w:t>12</w:t>
            </w:r>
          </w:p>
        </w:tc>
        <w:tc>
          <w:tcPr>
            <w:tcW w:w="117" w:type="pct"/>
            <w:vAlign w:val="center"/>
          </w:tcPr>
          <w:p w14:paraId="03A757C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20" w:type="pct"/>
            <w:vAlign w:val="center"/>
          </w:tcPr>
          <w:p w14:paraId="185D06A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34" w:type="pct"/>
            <w:vAlign w:val="center"/>
          </w:tcPr>
          <w:p w14:paraId="619400C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00" w:type="pct"/>
            <w:vMerge w:val="continue"/>
            <w:tcBorders>
              <w:top w:val="nil"/>
            </w:tcBorders>
            <w:vAlign w:val="center"/>
          </w:tcPr>
          <w:p w14:paraId="2EBD393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86" w:type="pct"/>
            <w:vMerge w:val="continue"/>
            <w:tcBorders>
              <w:top w:val="nil"/>
            </w:tcBorders>
            <w:vAlign w:val="center"/>
          </w:tcPr>
          <w:p w14:paraId="378A64E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69" w:type="pct"/>
            <w:vMerge w:val="continue"/>
            <w:tcBorders>
              <w:top w:val="nil"/>
            </w:tcBorders>
            <w:vAlign w:val="center"/>
          </w:tcPr>
          <w:p w14:paraId="0705F51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93" w:type="pct"/>
            <w:vMerge w:val="continue"/>
            <w:tcBorders>
              <w:top w:val="nil"/>
            </w:tcBorders>
            <w:vAlign w:val="center"/>
          </w:tcPr>
          <w:p w14:paraId="410410E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31" w:type="pct"/>
            <w:vMerge w:val="continue"/>
            <w:tcBorders>
              <w:top w:val="nil"/>
            </w:tcBorders>
            <w:vAlign w:val="center"/>
          </w:tcPr>
          <w:p w14:paraId="41D7D2B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52" w:type="pct"/>
            <w:vMerge w:val="continue"/>
            <w:tcBorders>
              <w:top w:val="nil"/>
            </w:tcBorders>
            <w:vAlign w:val="center"/>
          </w:tcPr>
          <w:p w14:paraId="0C2BA8D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41" w:type="pct"/>
            <w:vMerge w:val="continue"/>
            <w:tcBorders>
              <w:top w:val="nil"/>
            </w:tcBorders>
            <w:vAlign w:val="center"/>
          </w:tcPr>
          <w:p w14:paraId="6A821E3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65" w:type="pct"/>
            <w:vMerge w:val="continue"/>
            <w:tcBorders>
              <w:top w:val="nil"/>
            </w:tcBorders>
            <w:vAlign w:val="center"/>
          </w:tcPr>
          <w:p w14:paraId="1970351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76" w:type="pct"/>
            <w:vMerge w:val="continue"/>
            <w:vAlign w:val="center"/>
          </w:tcPr>
          <w:p w14:paraId="2982F74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72" w:type="pct"/>
            <w:vMerge w:val="continue"/>
            <w:tcBorders>
              <w:top w:val="nil"/>
            </w:tcBorders>
            <w:vAlign w:val="center"/>
          </w:tcPr>
          <w:p w14:paraId="28DA42B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76" w:type="pct"/>
            <w:vMerge w:val="continue"/>
            <w:tcBorders>
              <w:top w:val="nil"/>
            </w:tcBorders>
            <w:vAlign w:val="center"/>
          </w:tcPr>
          <w:p w14:paraId="0E2AD94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62" w:type="pct"/>
            <w:vMerge w:val="continue"/>
            <w:tcBorders>
              <w:top w:val="nil"/>
            </w:tcBorders>
            <w:vAlign w:val="center"/>
          </w:tcPr>
          <w:p w14:paraId="27AECBA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238" w:type="pct"/>
            <w:vMerge w:val="continue"/>
            <w:tcBorders>
              <w:top w:val="nil"/>
            </w:tcBorders>
            <w:vAlign w:val="center"/>
          </w:tcPr>
          <w:p w14:paraId="7B6BEE5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62" w:type="pct"/>
            <w:vMerge w:val="continue"/>
            <w:tcBorders>
              <w:top w:val="nil"/>
            </w:tcBorders>
            <w:vAlign w:val="center"/>
          </w:tcPr>
          <w:p w14:paraId="791A9E3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48" w:type="pct"/>
            <w:vMerge w:val="continue"/>
            <w:tcBorders>
              <w:top w:val="nil"/>
            </w:tcBorders>
            <w:vAlign w:val="center"/>
          </w:tcPr>
          <w:p w14:paraId="1549E4F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62" w:type="pct"/>
            <w:vMerge w:val="continue"/>
            <w:tcBorders>
              <w:top w:val="nil"/>
            </w:tcBorders>
            <w:vAlign w:val="center"/>
          </w:tcPr>
          <w:p w14:paraId="0D8157E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20" w:type="pct"/>
            <w:vMerge w:val="continue"/>
            <w:tcBorders>
              <w:top w:val="nil"/>
            </w:tcBorders>
            <w:vAlign w:val="center"/>
          </w:tcPr>
          <w:p w14:paraId="502340F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68" w:type="pct"/>
            <w:vMerge w:val="continue"/>
            <w:tcBorders>
              <w:top w:val="nil"/>
            </w:tcBorders>
            <w:vAlign w:val="center"/>
          </w:tcPr>
          <w:p w14:paraId="06BEAA8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</w:tr>
      <w:tr w14:paraId="013C06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105" w:type="pct"/>
            <w:vMerge w:val="restart"/>
            <w:tcBorders>
              <w:bottom w:val="nil"/>
            </w:tcBorders>
            <w:vAlign w:val="center"/>
          </w:tcPr>
          <w:p w14:paraId="746D977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69" w:type="pct"/>
            <w:vMerge w:val="restart"/>
            <w:tcBorders>
              <w:bottom w:val="nil"/>
            </w:tcBorders>
            <w:vAlign w:val="center"/>
          </w:tcPr>
          <w:p w14:paraId="16F5942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湖南省</w:t>
            </w:r>
          </w:p>
        </w:tc>
        <w:tc>
          <w:tcPr>
            <w:tcW w:w="120" w:type="pct"/>
            <w:vMerge w:val="restart"/>
            <w:tcBorders>
              <w:bottom w:val="nil"/>
            </w:tcBorders>
            <w:vAlign w:val="center"/>
          </w:tcPr>
          <w:p w14:paraId="50037D8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湘潭市</w:t>
            </w:r>
          </w:p>
        </w:tc>
        <w:tc>
          <w:tcPr>
            <w:tcW w:w="120" w:type="pct"/>
            <w:vMerge w:val="restart"/>
            <w:tcBorders>
              <w:bottom w:val="nil"/>
            </w:tcBorders>
            <w:vAlign w:val="center"/>
          </w:tcPr>
          <w:p w14:paraId="5C373B5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湘潭县</w:t>
            </w:r>
          </w:p>
        </w:tc>
        <w:tc>
          <w:tcPr>
            <w:tcW w:w="185" w:type="pct"/>
            <w:vMerge w:val="restart"/>
            <w:tcBorders>
              <w:bottom w:val="nil"/>
            </w:tcBorders>
            <w:vAlign w:val="center"/>
          </w:tcPr>
          <w:p w14:paraId="1B87CB8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  <w:r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  <w:t>湘潭县</w:t>
            </w:r>
            <w:r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  <w:t>花石镇</w:t>
            </w:r>
            <w:r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  <w:t>202</w:t>
            </w:r>
            <w:r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val="en-US" w:eastAsia="zh-CN"/>
              </w:rPr>
              <w:t>6</w:t>
            </w:r>
            <w:r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  <w:t>农业</w:t>
            </w:r>
            <w:r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  <w:t>农村中小型基础设施以工代赈项目</w:t>
            </w:r>
          </w:p>
        </w:tc>
        <w:tc>
          <w:tcPr>
            <w:tcW w:w="173" w:type="pct"/>
            <w:vMerge w:val="restart"/>
            <w:tcBorders>
              <w:bottom w:val="nil"/>
            </w:tcBorders>
            <w:vAlign w:val="center"/>
          </w:tcPr>
          <w:p w14:paraId="4986915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  <w:t>农业农村类</w:t>
            </w:r>
          </w:p>
        </w:tc>
        <w:tc>
          <w:tcPr>
            <w:tcW w:w="120" w:type="pct"/>
            <w:vMerge w:val="restart"/>
            <w:tcBorders>
              <w:bottom w:val="nil"/>
            </w:tcBorders>
            <w:vAlign w:val="center"/>
          </w:tcPr>
          <w:p w14:paraId="557C667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  <w:t>新建</w:t>
            </w:r>
          </w:p>
        </w:tc>
        <w:tc>
          <w:tcPr>
            <w:tcW w:w="113" w:type="pct"/>
            <w:vMerge w:val="restart"/>
            <w:tcBorders>
              <w:bottom w:val="nil"/>
            </w:tcBorders>
            <w:vAlign w:val="center"/>
          </w:tcPr>
          <w:p w14:paraId="0EE6225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  <w:t>道路改造、沟渠清淤、护坡硬化</w:t>
            </w:r>
          </w:p>
        </w:tc>
        <w:tc>
          <w:tcPr>
            <w:tcW w:w="251" w:type="pct"/>
            <w:vMerge w:val="restart"/>
            <w:tcBorders>
              <w:bottom w:val="nil"/>
            </w:tcBorders>
            <w:vAlign w:val="center"/>
          </w:tcPr>
          <w:p w14:paraId="3DD3A8E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仿宋_GB2312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  <w:t>生产道路改造</w:t>
            </w:r>
            <w:r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val="en-US" w:eastAsia="zh-CN"/>
              </w:rPr>
              <w:t>3850米，沟渠清淤护坡硬化1770米。</w:t>
            </w:r>
          </w:p>
        </w:tc>
        <w:tc>
          <w:tcPr>
            <w:tcW w:w="174" w:type="pct"/>
            <w:vMerge w:val="restart"/>
            <w:tcBorders>
              <w:bottom w:val="nil"/>
            </w:tcBorders>
            <w:vAlign w:val="center"/>
          </w:tcPr>
          <w:p w14:paraId="0957A98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  <w:t>2025年</w:t>
            </w:r>
            <w:r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val="en-US" w:eastAsia="zh-CN"/>
              </w:rPr>
              <w:t>12</w:t>
            </w:r>
            <w:r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  <w:t>月</w:t>
            </w:r>
          </w:p>
        </w:tc>
        <w:tc>
          <w:tcPr>
            <w:tcW w:w="158" w:type="pct"/>
            <w:vMerge w:val="restart"/>
            <w:tcBorders>
              <w:bottom w:val="nil"/>
            </w:tcBorders>
            <w:vAlign w:val="center"/>
          </w:tcPr>
          <w:p w14:paraId="3E805CC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  <w:t>202</w:t>
            </w:r>
            <w:r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  <w:t>月</w:t>
            </w:r>
          </w:p>
        </w:tc>
        <w:tc>
          <w:tcPr>
            <w:tcW w:w="167" w:type="pct"/>
            <w:vAlign w:val="center"/>
          </w:tcPr>
          <w:p w14:paraId="3A416A3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  <w:t>总投资</w:t>
            </w:r>
          </w:p>
        </w:tc>
        <w:tc>
          <w:tcPr>
            <w:tcW w:w="133" w:type="pct"/>
            <w:vAlign w:val="center"/>
          </w:tcPr>
          <w:p w14:paraId="46FC476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  <w:t>2</w:t>
            </w:r>
            <w:r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  <w:t>0</w:t>
            </w:r>
          </w:p>
        </w:tc>
        <w:tc>
          <w:tcPr>
            <w:tcW w:w="117" w:type="pct"/>
            <w:vAlign w:val="center"/>
          </w:tcPr>
          <w:p w14:paraId="369331F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</w:pPr>
          </w:p>
        </w:tc>
        <w:tc>
          <w:tcPr>
            <w:tcW w:w="120" w:type="pct"/>
            <w:vAlign w:val="center"/>
          </w:tcPr>
          <w:p w14:paraId="7C98611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</w:pPr>
          </w:p>
        </w:tc>
        <w:tc>
          <w:tcPr>
            <w:tcW w:w="134" w:type="pct"/>
            <w:vAlign w:val="center"/>
          </w:tcPr>
          <w:p w14:paraId="594910F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</w:pPr>
          </w:p>
        </w:tc>
        <w:tc>
          <w:tcPr>
            <w:tcW w:w="100" w:type="pct"/>
            <w:vMerge w:val="restart"/>
            <w:tcBorders>
              <w:bottom w:val="nil"/>
            </w:tcBorders>
            <w:vAlign w:val="center"/>
          </w:tcPr>
          <w:p w14:paraId="53210C6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  <w:t>直接投资</w:t>
            </w:r>
          </w:p>
        </w:tc>
        <w:tc>
          <w:tcPr>
            <w:tcW w:w="86" w:type="pct"/>
            <w:vMerge w:val="restart"/>
            <w:tcBorders>
              <w:bottom w:val="nil"/>
            </w:tcBorders>
            <w:vAlign w:val="center"/>
          </w:tcPr>
          <w:p w14:paraId="4A09388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  <w:t>湘潭县花石镇人民政府</w:t>
            </w:r>
          </w:p>
        </w:tc>
        <w:tc>
          <w:tcPr>
            <w:tcW w:w="69" w:type="pct"/>
            <w:vMerge w:val="restart"/>
            <w:tcBorders>
              <w:bottom w:val="nil"/>
            </w:tcBorders>
            <w:vAlign w:val="center"/>
          </w:tcPr>
          <w:p w14:paraId="2FF4C95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  <w:t>张恩奇</w:t>
            </w:r>
          </w:p>
        </w:tc>
        <w:tc>
          <w:tcPr>
            <w:tcW w:w="93" w:type="pct"/>
            <w:vMerge w:val="restart"/>
            <w:tcBorders>
              <w:bottom w:val="nil"/>
            </w:tcBorders>
            <w:vAlign w:val="center"/>
          </w:tcPr>
          <w:p w14:paraId="386F384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  <w:t>湘潭县发展和改革局</w:t>
            </w:r>
          </w:p>
        </w:tc>
        <w:tc>
          <w:tcPr>
            <w:tcW w:w="131" w:type="pct"/>
            <w:vMerge w:val="restart"/>
            <w:tcBorders>
              <w:bottom w:val="nil"/>
            </w:tcBorders>
            <w:vAlign w:val="center"/>
          </w:tcPr>
          <w:p w14:paraId="11D6E36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  <w:t>赵露</w:t>
            </w:r>
          </w:p>
        </w:tc>
        <w:tc>
          <w:tcPr>
            <w:tcW w:w="152" w:type="pct"/>
            <w:vMerge w:val="restart"/>
            <w:tcBorders>
              <w:bottom w:val="nil"/>
            </w:tcBorders>
            <w:vAlign w:val="center"/>
          </w:tcPr>
          <w:p w14:paraId="400B1FB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  <w:t>1</w:t>
            </w:r>
            <w:r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141" w:type="pct"/>
            <w:vMerge w:val="restart"/>
            <w:tcBorders>
              <w:bottom w:val="nil"/>
            </w:tcBorders>
            <w:vAlign w:val="center"/>
          </w:tcPr>
          <w:p w14:paraId="22B2D6B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仿宋_GB2312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  <w:t>1</w:t>
            </w:r>
            <w:r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val="en-US" w:eastAsia="zh-CN"/>
              </w:rPr>
              <w:t>25</w:t>
            </w:r>
          </w:p>
        </w:tc>
        <w:tc>
          <w:tcPr>
            <w:tcW w:w="165" w:type="pct"/>
            <w:vMerge w:val="restart"/>
            <w:tcBorders>
              <w:bottom w:val="nil"/>
            </w:tcBorders>
            <w:vAlign w:val="center"/>
          </w:tcPr>
          <w:p w14:paraId="578219F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  <w:t>7</w:t>
            </w:r>
          </w:p>
        </w:tc>
        <w:tc>
          <w:tcPr>
            <w:tcW w:w="176" w:type="pct"/>
            <w:vMerge w:val="restart"/>
            <w:vAlign w:val="center"/>
          </w:tcPr>
          <w:p w14:paraId="4886166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仿宋_GB2312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72" w:type="pct"/>
            <w:vMerge w:val="restart"/>
            <w:tcBorders>
              <w:bottom w:val="nil"/>
            </w:tcBorders>
            <w:vAlign w:val="center"/>
          </w:tcPr>
          <w:p w14:paraId="2BC7CAC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176" w:type="pct"/>
            <w:vMerge w:val="restart"/>
            <w:tcBorders>
              <w:bottom w:val="nil"/>
            </w:tcBorders>
            <w:vAlign w:val="center"/>
          </w:tcPr>
          <w:p w14:paraId="3AE74AB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62" w:type="pct"/>
            <w:vMerge w:val="restart"/>
            <w:tcBorders>
              <w:bottom w:val="nil"/>
            </w:tcBorders>
            <w:vAlign w:val="center"/>
          </w:tcPr>
          <w:p w14:paraId="40A3B84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238" w:type="pct"/>
            <w:vMerge w:val="restart"/>
            <w:tcBorders>
              <w:bottom w:val="nil"/>
            </w:tcBorders>
            <w:vAlign w:val="center"/>
          </w:tcPr>
          <w:p w14:paraId="739916B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仿宋_GB2312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  <w:t>1</w:t>
            </w:r>
            <w:r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val="en-US" w:eastAsia="zh-CN"/>
              </w:rPr>
              <w:t>22</w:t>
            </w:r>
          </w:p>
        </w:tc>
        <w:tc>
          <w:tcPr>
            <w:tcW w:w="162" w:type="pct"/>
            <w:vMerge w:val="restart"/>
            <w:tcBorders>
              <w:bottom w:val="nil"/>
            </w:tcBorders>
            <w:vAlign w:val="center"/>
          </w:tcPr>
          <w:p w14:paraId="7877EAF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仿宋_GB2312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  <w:t>1</w:t>
            </w:r>
            <w:r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val="en-US" w:eastAsia="zh-CN"/>
              </w:rPr>
              <w:t>22</w:t>
            </w:r>
          </w:p>
        </w:tc>
        <w:tc>
          <w:tcPr>
            <w:tcW w:w="148" w:type="pct"/>
            <w:vMerge w:val="restart"/>
            <w:tcBorders>
              <w:bottom w:val="nil"/>
            </w:tcBorders>
            <w:vAlign w:val="center"/>
          </w:tcPr>
          <w:p w14:paraId="1365E4E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162" w:type="pct"/>
            <w:vMerge w:val="restart"/>
            <w:tcBorders>
              <w:bottom w:val="nil"/>
            </w:tcBorders>
            <w:vAlign w:val="center"/>
          </w:tcPr>
          <w:p w14:paraId="501CE1C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  <w:t>公益类</w:t>
            </w:r>
          </w:p>
        </w:tc>
        <w:tc>
          <w:tcPr>
            <w:tcW w:w="120" w:type="pct"/>
            <w:vMerge w:val="restart"/>
            <w:tcBorders>
              <w:bottom w:val="nil"/>
            </w:tcBorders>
            <w:vAlign w:val="center"/>
          </w:tcPr>
          <w:p w14:paraId="4792CF2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  <w:t>不招标</w:t>
            </w:r>
          </w:p>
        </w:tc>
        <w:tc>
          <w:tcPr>
            <w:tcW w:w="168" w:type="pct"/>
            <w:vMerge w:val="restart"/>
            <w:tcBorders>
              <w:bottom w:val="nil"/>
            </w:tcBorders>
            <w:vAlign w:val="center"/>
          </w:tcPr>
          <w:p w14:paraId="552FB2E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  <w:t>村集体经济组织领办的村级劳务合作社、劳务公司、项目理事会等</w:t>
            </w:r>
          </w:p>
        </w:tc>
      </w:tr>
      <w:tr w14:paraId="638AC2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0" w:hRule="atLeast"/>
          <w:jc w:val="center"/>
        </w:trPr>
        <w:tc>
          <w:tcPr>
            <w:tcW w:w="105" w:type="pct"/>
            <w:vMerge w:val="continue"/>
            <w:tcBorders>
              <w:top w:val="nil"/>
              <w:bottom w:val="nil"/>
            </w:tcBorders>
            <w:vAlign w:val="center"/>
          </w:tcPr>
          <w:p w14:paraId="214DD2C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69" w:type="pct"/>
            <w:vMerge w:val="continue"/>
            <w:tcBorders>
              <w:top w:val="nil"/>
              <w:bottom w:val="nil"/>
            </w:tcBorders>
            <w:textDirection w:val="tbRlV"/>
            <w:vAlign w:val="center"/>
          </w:tcPr>
          <w:p w14:paraId="496B5F8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20" w:type="pct"/>
            <w:vMerge w:val="continue"/>
            <w:tcBorders>
              <w:top w:val="nil"/>
              <w:bottom w:val="nil"/>
            </w:tcBorders>
            <w:textDirection w:val="tbRlV"/>
            <w:vAlign w:val="center"/>
          </w:tcPr>
          <w:p w14:paraId="4958E1D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20" w:type="pct"/>
            <w:vMerge w:val="continue"/>
            <w:tcBorders>
              <w:top w:val="nil"/>
              <w:bottom w:val="nil"/>
            </w:tcBorders>
            <w:textDirection w:val="tbRlV"/>
            <w:vAlign w:val="center"/>
          </w:tcPr>
          <w:p w14:paraId="7A3C80D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85" w:type="pct"/>
            <w:vMerge w:val="continue"/>
            <w:tcBorders>
              <w:top w:val="nil"/>
              <w:bottom w:val="nil"/>
            </w:tcBorders>
            <w:vAlign w:val="center"/>
          </w:tcPr>
          <w:p w14:paraId="7EC814D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73" w:type="pct"/>
            <w:vMerge w:val="continue"/>
            <w:tcBorders>
              <w:top w:val="nil"/>
              <w:bottom w:val="nil"/>
            </w:tcBorders>
            <w:vAlign w:val="center"/>
          </w:tcPr>
          <w:p w14:paraId="539F820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20" w:type="pct"/>
            <w:vMerge w:val="continue"/>
            <w:tcBorders>
              <w:top w:val="nil"/>
              <w:bottom w:val="nil"/>
            </w:tcBorders>
            <w:textDirection w:val="tbRlV"/>
            <w:vAlign w:val="center"/>
          </w:tcPr>
          <w:p w14:paraId="0FEB982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13" w:type="pct"/>
            <w:vMerge w:val="continue"/>
            <w:tcBorders>
              <w:top w:val="nil"/>
              <w:bottom w:val="nil"/>
            </w:tcBorders>
            <w:vAlign w:val="center"/>
          </w:tcPr>
          <w:p w14:paraId="1712C6B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251" w:type="pct"/>
            <w:vMerge w:val="continue"/>
            <w:tcBorders>
              <w:top w:val="nil"/>
              <w:bottom w:val="nil"/>
            </w:tcBorders>
            <w:vAlign w:val="center"/>
          </w:tcPr>
          <w:p w14:paraId="4B3F63A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74" w:type="pct"/>
            <w:vMerge w:val="continue"/>
            <w:tcBorders>
              <w:top w:val="nil"/>
              <w:bottom w:val="nil"/>
            </w:tcBorders>
            <w:vAlign w:val="center"/>
          </w:tcPr>
          <w:p w14:paraId="2AF43A0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58" w:type="pct"/>
            <w:vMerge w:val="continue"/>
            <w:tcBorders>
              <w:top w:val="nil"/>
              <w:bottom w:val="nil"/>
            </w:tcBorders>
            <w:vAlign w:val="center"/>
          </w:tcPr>
          <w:p w14:paraId="7E62D1B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67" w:type="pct"/>
            <w:vAlign w:val="center"/>
          </w:tcPr>
          <w:p w14:paraId="49CA44D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  <w:t>中央预算内投资</w:t>
            </w:r>
          </w:p>
        </w:tc>
        <w:tc>
          <w:tcPr>
            <w:tcW w:w="133" w:type="pct"/>
            <w:vAlign w:val="center"/>
          </w:tcPr>
          <w:p w14:paraId="373C431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仿宋_GB2312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  <w:t>2</w:t>
            </w:r>
            <w:r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val="en-US" w:eastAsia="zh-CN"/>
              </w:rPr>
              <w:t>75</w:t>
            </w:r>
          </w:p>
        </w:tc>
        <w:tc>
          <w:tcPr>
            <w:tcW w:w="117" w:type="pct"/>
            <w:vAlign w:val="center"/>
          </w:tcPr>
          <w:p w14:paraId="3165055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</w:pPr>
          </w:p>
        </w:tc>
        <w:tc>
          <w:tcPr>
            <w:tcW w:w="120" w:type="pct"/>
            <w:vAlign w:val="center"/>
          </w:tcPr>
          <w:p w14:paraId="7774F80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</w:pPr>
          </w:p>
        </w:tc>
        <w:tc>
          <w:tcPr>
            <w:tcW w:w="134" w:type="pct"/>
            <w:vAlign w:val="center"/>
          </w:tcPr>
          <w:p w14:paraId="132E4FE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仿宋_GB2312" w:cs="仿宋_GB2312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  <w:t>2</w:t>
            </w:r>
            <w:r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val="en-US" w:eastAsia="zh-CN"/>
              </w:rPr>
              <w:t>75</w:t>
            </w:r>
          </w:p>
        </w:tc>
        <w:tc>
          <w:tcPr>
            <w:tcW w:w="100" w:type="pct"/>
            <w:vMerge w:val="continue"/>
            <w:tcBorders>
              <w:top w:val="nil"/>
              <w:bottom w:val="nil"/>
            </w:tcBorders>
            <w:vAlign w:val="center"/>
          </w:tcPr>
          <w:p w14:paraId="70DF31B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86" w:type="pct"/>
            <w:vMerge w:val="continue"/>
            <w:tcBorders>
              <w:top w:val="nil"/>
              <w:bottom w:val="nil"/>
            </w:tcBorders>
            <w:vAlign w:val="center"/>
          </w:tcPr>
          <w:p w14:paraId="1A28491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69" w:type="pct"/>
            <w:vMerge w:val="continue"/>
            <w:tcBorders>
              <w:top w:val="nil"/>
              <w:bottom w:val="nil"/>
            </w:tcBorders>
            <w:vAlign w:val="center"/>
          </w:tcPr>
          <w:p w14:paraId="503C8A1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93" w:type="pct"/>
            <w:vMerge w:val="continue"/>
            <w:tcBorders>
              <w:top w:val="nil"/>
              <w:bottom w:val="nil"/>
            </w:tcBorders>
            <w:vAlign w:val="center"/>
          </w:tcPr>
          <w:p w14:paraId="508B0EF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31" w:type="pct"/>
            <w:vMerge w:val="continue"/>
            <w:tcBorders>
              <w:top w:val="nil"/>
              <w:bottom w:val="nil"/>
            </w:tcBorders>
            <w:vAlign w:val="center"/>
          </w:tcPr>
          <w:p w14:paraId="6D11721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52" w:type="pct"/>
            <w:vMerge w:val="continue"/>
            <w:tcBorders>
              <w:top w:val="nil"/>
              <w:bottom w:val="nil"/>
            </w:tcBorders>
            <w:vAlign w:val="center"/>
          </w:tcPr>
          <w:p w14:paraId="1058553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41" w:type="pct"/>
            <w:vMerge w:val="continue"/>
            <w:tcBorders>
              <w:top w:val="nil"/>
              <w:bottom w:val="nil"/>
            </w:tcBorders>
            <w:vAlign w:val="center"/>
          </w:tcPr>
          <w:p w14:paraId="7A9B482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65" w:type="pct"/>
            <w:vMerge w:val="continue"/>
            <w:tcBorders>
              <w:top w:val="nil"/>
              <w:bottom w:val="nil"/>
            </w:tcBorders>
            <w:vAlign w:val="center"/>
          </w:tcPr>
          <w:p w14:paraId="41F824A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76" w:type="pct"/>
            <w:vMerge w:val="continue"/>
            <w:vAlign w:val="center"/>
          </w:tcPr>
          <w:p w14:paraId="70CA319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72" w:type="pct"/>
            <w:vMerge w:val="continue"/>
            <w:tcBorders>
              <w:top w:val="nil"/>
              <w:bottom w:val="nil"/>
            </w:tcBorders>
            <w:vAlign w:val="center"/>
          </w:tcPr>
          <w:p w14:paraId="6BB84E7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76" w:type="pct"/>
            <w:vMerge w:val="continue"/>
            <w:tcBorders>
              <w:top w:val="nil"/>
              <w:bottom w:val="nil"/>
            </w:tcBorders>
            <w:vAlign w:val="center"/>
          </w:tcPr>
          <w:p w14:paraId="201A479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62" w:type="pct"/>
            <w:vMerge w:val="continue"/>
            <w:tcBorders>
              <w:top w:val="nil"/>
              <w:bottom w:val="nil"/>
            </w:tcBorders>
            <w:vAlign w:val="center"/>
          </w:tcPr>
          <w:p w14:paraId="136BAE1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238" w:type="pct"/>
            <w:vMerge w:val="continue"/>
            <w:tcBorders>
              <w:top w:val="nil"/>
              <w:bottom w:val="nil"/>
            </w:tcBorders>
            <w:vAlign w:val="center"/>
          </w:tcPr>
          <w:p w14:paraId="04310A2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62" w:type="pct"/>
            <w:vMerge w:val="continue"/>
            <w:tcBorders>
              <w:top w:val="nil"/>
              <w:bottom w:val="nil"/>
            </w:tcBorders>
            <w:vAlign w:val="center"/>
          </w:tcPr>
          <w:p w14:paraId="02D70C6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48" w:type="pct"/>
            <w:vMerge w:val="continue"/>
            <w:tcBorders>
              <w:top w:val="nil"/>
              <w:bottom w:val="nil"/>
            </w:tcBorders>
            <w:vAlign w:val="center"/>
          </w:tcPr>
          <w:p w14:paraId="1627E0F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62" w:type="pct"/>
            <w:vMerge w:val="continue"/>
            <w:tcBorders>
              <w:top w:val="nil"/>
              <w:bottom w:val="nil"/>
            </w:tcBorders>
            <w:vAlign w:val="center"/>
          </w:tcPr>
          <w:p w14:paraId="3EF30B7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20" w:type="pct"/>
            <w:vMerge w:val="continue"/>
            <w:tcBorders>
              <w:top w:val="nil"/>
              <w:bottom w:val="nil"/>
            </w:tcBorders>
            <w:vAlign w:val="center"/>
          </w:tcPr>
          <w:p w14:paraId="1ECA5C9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68" w:type="pct"/>
            <w:vMerge w:val="continue"/>
            <w:tcBorders>
              <w:top w:val="nil"/>
              <w:bottom w:val="nil"/>
            </w:tcBorders>
            <w:vAlign w:val="center"/>
          </w:tcPr>
          <w:p w14:paraId="3AF26D0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</w:tr>
      <w:tr w14:paraId="3FCE02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9" w:hRule="atLeast"/>
          <w:jc w:val="center"/>
        </w:trPr>
        <w:tc>
          <w:tcPr>
            <w:tcW w:w="105" w:type="pct"/>
            <w:vMerge w:val="continue"/>
            <w:tcBorders>
              <w:top w:val="nil"/>
              <w:bottom w:val="nil"/>
            </w:tcBorders>
            <w:vAlign w:val="center"/>
          </w:tcPr>
          <w:p w14:paraId="13919CF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69" w:type="pct"/>
            <w:vMerge w:val="continue"/>
            <w:tcBorders>
              <w:top w:val="nil"/>
              <w:bottom w:val="nil"/>
            </w:tcBorders>
            <w:textDirection w:val="tbRlV"/>
            <w:vAlign w:val="center"/>
          </w:tcPr>
          <w:p w14:paraId="0EA02E3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20" w:type="pct"/>
            <w:vMerge w:val="continue"/>
            <w:tcBorders>
              <w:top w:val="nil"/>
              <w:bottom w:val="nil"/>
            </w:tcBorders>
            <w:textDirection w:val="tbRlV"/>
            <w:vAlign w:val="center"/>
          </w:tcPr>
          <w:p w14:paraId="0A0D609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20" w:type="pct"/>
            <w:vMerge w:val="continue"/>
            <w:tcBorders>
              <w:top w:val="nil"/>
              <w:bottom w:val="nil"/>
            </w:tcBorders>
            <w:textDirection w:val="tbRlV"/>
            <w:vAlign w:val="center"/>
          </w:tcPr>
          <w:p w14:paraId="3F78E86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85" w:type="pct"/>
            <w:vMerge w:val="continue"/>
            <w:tcBorders>
              <w:top w:val="nil"/>
              <w:bottom w:val="nil"/>
            </w:tcBorders>
            <w:vAlign w:val="center"/>
          </w:tcPr>
          <w:p w14:paraId="6BAA26A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73" w:type="pct"/>
            <w:vMerge w:val="continue"/>
            <w:tcBorders>
              <w:top w:val="nil"/>
              <w:bottom w:val="nil"/>
            </w:tcBorders>
            <w:vAlign w:val="center"/>
          </w:tcPr>
          <w:p w14:paraId="43AFB60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20" w:type="pct"/>
            <w:vMerge w:val="continue"/>
            <w:tcBorders>
              <w:top w:val="nil"/>
              <w:bottom w:val="nil"/>
            </w:tcBorders>
            <w:textDirection w:val="tbRlV"/>
            <w:vAlign w:val="center"/>
          </w:tcPr>
          <w:p w14:paraId="7F6E9A6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13" w:type="pct"/>
            <w:vMerge w:val="continue"/>
            <w:tcBorders>
              <w:top w:val="nil"/>
              <w:bottom w:val="nil"/>
            </w:tcBorders>
            <w:vAlign w:val="center"/>
          </w:tcPr>
          <w:p w14:paraId="2A1B331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251" w:type="pct"/>
            <w:vMerge w:val="continue"/>
            <w:tcBorders>
              <w:top w:val="nil"/>
              <w:bottom w:val="nil"/>
            </w:tcBorders>
            <w:vAlign w:val="center"/>
          </w:tcPr>
          <w:p w14:paraId="7EFBC7D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74" w:type="pct"/>
            <w:vMerge w:val="continue"/>
            <w:tcBorders>
              <w:top w:val="nil"/>
              <w:bottom w:val="nil"/>
            </w:tcBorders>
            <w:vAlign w:val="center"/>
          </w:tcPr>
          <w:p w14:paraId="6B281CE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58" w:type="pct"/>
            <w:vMerge w:val="continue"/>
            <w:tcBorders>
              <w:top w:val="nil"/>
              <w:bottom w:val="nil"/>
            </w:tcBorders>
            <w:vAlign w:val="center"/>
          </w:tcPr>
          <w:p w14:paraId="659FAE9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67" w:type="pct"/>
            <w:vAlign w:val="center"/>
          </w:tcPr>
          <w:p w14:paraId="63EFFDE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  <w:t>地方预算内投资</w:t>
            </w:r>
          </w:p>
        </w:tc>
        <w:tc>
          <w:tcPr>
            <w:tcW w:w="133" w:type="pct"/>
            <w:vAlign w:val="center"/>
          </w:tcPr>
          <w:p w14:paraId="75699FB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</w:pPr>
          </w:p>
        </w:tc>
        <w:tc>
          <w:tcPr>
            <w:tcW w:w="117" w:type="pct"/>
            <w:vAlign w:val="center"/>
          </w:tcPr>
          <w:p w14:paraId="7EC9605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</w:pPr>
          </w:p>
        </w:tc>
        <w:tc>
          <w:tcPr>
            <w:tcW w:w="120" w:type="pct"/>
            <w:vAlign w:val="center"/>
          </w:tcPr>
          <w:p w14:paraId="7561500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</w:pPr>
          </w:p>
        </w:tc>
        <w:tc>
          <w:tcPr>
            <w:tcW w:w="134" w:type="pct"/>
            <w:vAlign w:val="center"/>
          </w:tcPr>
          <w:p w14:paraId="088CB0E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</w:pPr>
          </w:p>
        </w:tc>
        <w:tc>
          <w:tcPr>
            <w:tcW w:w="100" w:type="pct"/>
            <w:vMerge w:val="continue"/>
            <w:tcBorders>
              <w:top w:val="nil"/>
              <w:bottom w:val="nil"/>
            </w:tcBorders>
            <w:vAlign w:val="center"/>
          </w:tcPr>
          <w:p w14:paraId="0669050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86" w:type="pct"/>
            <w:vMerge w:val="continue"/>
            <w:tcBorders>
              <w:top w:val="nil"/>
              <w:bottom w:val="nil"/>
            </w:tcBorders>
            <w:vAlign w:val="center"/>
          </w:tcPr>
          <w:p w14:paraId="3A2F3B4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69" w:type="pct"/>
            <w:vMerge w:val="continue"/>
            <w:tcBorders>
              <w:top w:val="nil"/>
              <w:bottom w:val="nil"/>
            </w:tcBorders>
            <w:vAlign w:val="center"/>
          </w:tcPr>
          <w:p w14:paraId="2371D8D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93" w:type="pct"/>
            <w:vMerge w:val="continue"/>
            <w:tcBorders>
              <w:top w:val="nil"/>
              <w:bottom w:val="nil"/>
            </w:tcBorders>
            <w:vAlign w:val="center"/>
          </w:tcPr>
          <w:p w14:paraId="3DA6B89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31" w:type="pct"/>
            <w:vMerge w:val="continue"/>
            <w:tcBorders>
              <w:top w:val="nil"/>
              <w:bottom w:val="nil"/>
            </w:tcBorders>
            <w:vAlign w:val="center"/>
          </w:tcPr>
          <w:p w14:paraId="176E160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52" w:type="pct"/>
            <w:vMerge w:val="continue"/>
            <w:tcBorders>
              <w:top w:val="nil"/>
              <w:bottom w:val="nil"/>
            </w:tcBorders>
            <w:vAlign w:val="center"/>
          </w:tcPr>
          <w:p w14:paraId="7D9A3C1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41" w:type="pct"/>
            <w:vMerge w:val="continue"/>
            <w:tcBorders>
              <w:top w:val="nil"/>
              <w:bottom w:val="nil"/>
            </w:tcBorders>
            <w:vAlign w:val="center"/>
          </w:tcPr>
          <w:p w14:paraId="6BC34AA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65" w:type="pct"/>
            <w:vMerge w:val="continue"/>
            <w:tcBorders>
              <w:top w:val="nil"/>
              <w:bottom w:val="nil"/>
            </w:tcBorders>
            <w:vAlign w:val="center"/>
          </w:tcPr>
          <w:p w14:paraId="6030117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76" w:type="pct"/>
            <w:vMerge w:val="continue"/>
            <w:vAlign w:val="center"/>
          </w:tcPr>
          <w:p w14:paraId="24B9963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72" w:type="pct"/>
            <w:vMerge w:val="continue"/>
            <w:tcBorders>
              <w:top w:val="nil"/>
              <w:bottom w:val="nil"/>
            </w:tcBorders>
            <w:vAlign w:val="center"/>
          </w:tcPr>
          <w:p w14:paraId="24B43FA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76" w:type="pct"/>
            <w:vMerge w:val="continue"/>
            <w:tcBorders>
              <w:top w:val="nil"/>
              <w:bottom w:val="nil"/>
            </w:tcBorders>
            <w:vAlign w:val="center"/>
          </w:tcPr>
          <w:p w14:paraId="4FCF7DA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62" w:type="pct"/>
            <w:vMerge w:val="continue"/>
            <w:tcBorders>
              <w:top w:val="nil"/>
              <w:bottom w:val="nil"/>
            </w:tcBorders>
            <w:vAlign w:val="center"/>
          </w:tcPr>
          <w:p w14:paraId="4BA3D86A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238" w:type="pct"/>
            <w:vMerge w:val="continue"/>
            <w:tcBorders>
              <w:top w:val="nil"/>
              <w:bottom w:val="nil"/>
            </w:tcBorders>
            <w:vAlign w:val="center"/>
          </w:tcPr>
          <w:p w14:paraId="4B2B3B9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62" w:type="pct"/>
            <w:vMerge w:val="continue"/>
            <w:tcBorders>
              <w:top w:val="nil"/>
              <w:bottom w:val="nil"/>
            </w:tcBorders>
            <w:vAlign w:val="center"/>
          </w:tcPr>
          <w:p w14:paraId="45EF832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48" w:type="pct"/>
            <w:vMerge w:val="continue"/>
            <w:tcBorders>
              <w:top w:val="nil"/>
              <w:bottom w:val="nil"/>
            </w:tcBorders>
            <w:vAlign w:val="center"/>
          </w:tcPr>
          <w:p w14:paraId="60AABA4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62" w:type="pct"/>
            <w:vMerge w:val="continue"/>
            <w:tcBorders>
              <w:top w:val="nil"/>
              <w:bottom w:val="nil"/>
            </w:tcBorders>
            <w:vAlign w:val="center"/>
          </w:tcPr>
          <w:p w14:paraId="3F85F90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20" w:type="pct"/>
            <w:vMerge w:val="continue"/>
            <w:tcBorders>
              <w:top w:val="nil"/>
              <w:bottom w:val="nil"/>
            </w:tcBorders>
            <w:vAlign w:val="center"/>
          </w:tcPr>
          <w:p w14:paraId="1C4DC12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68" w:type="pct"/>
            <w:vMerge w:val="continue"/>
            <w:tcBorders>
              <w:top w:val="nil"/>
              <w:bottom w:val="nil"/>
            </w:tcBorders>
            <w:vAlign w:val="center"/>
          </w:tcPr>
          <w:p w14:paraId="7A7C1C5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</w:tr>
      <w:tr w14:paraId="232495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6" w:hRule="atLeast"/>
          <w:jc w:val="center"/>
        </w:trPr>
        <w:tc>
          <w:tcPr>
            <w:tcW w:w="105" w:type="pct"/>
            <w:vMerge w:val="continue"/>
            <w:tcBorders>
              <w:top w:val="nil"/>
              <w:bottom w:val="nil"/>
            </w:tcBorders>
            <w:vAlign w:val="center"/>
          </w:tcPr>
          <w:p w14:paraId="46C041A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69" w:type="pct"/>
            <w:vMerge w:val="continue"/>
            <w:tcBorders>
              <w:top w:val="nil"/>
              <w:bottom w:val="nil"/>
            </w:tcBorders>
            <w:textDirection w:val="tbRlV"/>
            <w:vAlign w:val="center"/>
          </w:tcPr>
          <w:p w14:paraId="6A19B72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20" w:type="pct"/>
            <w:vMerge w:val="continue"/>
            <w:tcBorders>
              <w:top w:val="nil"/>
              <w:bottom w:val="nil"/>
            </w:tcBorders>
            <w:textDirection w:val="tbRlV"/>
            <w:vAlign w:val="center"/>
          </w:tcPr>
          <w:p w14:paraId="12FB762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20" w:type="pct"/>
            <w:vMerge w:val="continue"/>
            <w:tcBorders>
              <w:top w:val="nil"/>
              <w:bottom w:val="nil"/>
            </w:tcBorders>
            <w:textDirection w:val="tbRlV"/>
            <w:vAlign w:val="center"/>
          </w:tcPr>
          <w:p w14:paraId="4BD395C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85" w:type="pct"/>
            <w:vMerge w:val="continue"/>
            <w:tcBorders>
              <w:top w:val="nil"/>
              <w:bottom w:val="nil"/>
            </w:tcBorders>
            <w:vAlign w:val="center"/>
          </w:tcPr>
          <w:p w14:paraId="24323BA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73" w:type="pct"/>
            <w:vMerge w:val="continue"/>
            <w:tcBorders>
              <w:top w:val="nil"/>
              <w:bottom w:val="nil"/>
            </w:tcBorders>
            <w:vAlign w:val="center"/>
          </w:tcPr>
          <w:p w14:paraId="030FDF8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20" w:type="pct"/>
            <w:vMerge w:val="continue"/>
            <w:tcBorders>
              <w:top w:val="nil"/>
              <w:bottom w:val="nil"/>
            </w:tcBorders>
            <w:textDirection w:val="tbRlV"/>
            <w:vAlign w:val="center"/>
          </w:tcPr>
          <w:p w14:paraId="56F1C5A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13" w:type="pct"/>
            <w:vMerge w:val="continue"/>
            <w:tcBorders>
              <w:top w:val="nil"/>
              <w:bottom w:val="nil"/>
            </w:tcBorders>
            <w:vAlign w:val="center"/>
          </w:tcPr>
          <w:p w14:paraId="525ABD0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251" w:type="pct"/>
            <w:vMerge w:val="continue"/>
            <w:tcBorders>
              <w:top w:val="nil"/>
              <w:bottom w:val="nil"/>
            </w:tcBorders>
            <w:vAlign w:val="center"/>
          </w:tcPr>
          <w:p w14:paraId="58ABC1D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74" w:type="pct"/>
            <w:vMerge w:val="continue"/>
            <w:tcBorders>
              <w:top w:val="nil"/>
              <w:bottom w:val="nil"/>
            </w:tcBorders>
            <w:vAlign w:val="center"/>
          </w:tcPr>
          <w:p w14:paraId="0B04437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58" w:type="pct"/>
            <w:vMerge w:val="continue"/>
            <w:tcBorders>
              <w:top w:val="nil"/>
              <w:bottom w:val="nil"/>
            </w:tcBorders>
            <w:vAlign w:val="center"/>
          </w:tcPr>
          <w:p w14:paraId="4FB2A67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67" w:type="pct"/>
            <w:vAlign w:val="center"/>
          </w:tcPr>
          <w:p w14:paraId="1861B8E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  <w:t>其他地方财政性建设资金</w:t>
            </w:r>
          </w:p>
        </w:tc>
        <w:tc>
          <w:tcPr>
            <w:tcW w:w="133" w:type="pct"/>
            <w:vAlign w:val="center"/>
          </w:tcPr>
          <w:p w14:paraId="1690366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</w:pPr>
          </w:p>
        </w:tc>
        <w:tc>
          <w:tcPr>
            <w:tcW w:w="117" w:type="pct"/>
            <w:vAlign w:val="center"/>
          </w:tcPr>
          <w:p w14:paraId="1F40E19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</w:pPr>
          </w:p>
        </w:tc>
        <w:tc>
          <w:tcPr>
            <w:tcW w:w="120" w:type="pct"/>
            <w:vAlign w:val="center"/>
          </w:tcPr>
          <w:p w14:paraId="67CF26B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</w:pPr>
          </w:p>
        </w:tc>
        <w:tc>
          <w:tcPr>
            <w:tcW w:w="134" w:type="pct"/>
            <w:vAlign w:val="center"/>
          </w:tcPr>
          <w:p w14:paraId="3232EB4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</w:pPr>
          </w:p>
        </w:tc>
        <w:tc>
          <w:tcPr>
            <w:tcW w:w="100" w:type="pct"/>
            <w:vMerge w:val="continue"/>
            <w:tcBorders>
              <w:top w:val="nil"/>
              <w:bottom w:val="nil"/>
            </w:tcBorders>
            <w:vAlign w:val="center"/>
          </w:tcPr>
          <w:p w14:paraId="6E6C7F9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86" w:type="pct"/>
            <w:vMerge w:val="continue"/>
            <w:tcBorders>
              <w:top w:val="nil"/>
              <w:bottom w:val="nil"/>
            </w:tcBorders>
            <w:vAlign w:val="center"/>
          </w:tcPr>
          <w:p w14:paraId="79FF87C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69" w:type="pct"/>
            <w:vMerge w:val="continue"/>
            <w:tcBorders>
              <w:top w:val="nil"/>
              <w:bottom w:val="nil"/>
            </w:tcBorders>
            <w:vAlign w:val="center"/>
          </w:tcPr>
          <w:p w14:paraId="285A8B5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93" w:type="pct"/>
            <w:vMerge w:val="continue"/>
            <w:tcBorders>
              <w:top w:val="nil"/>
              <w:bottom w:val="nil"/>
            </w:tcBorders>
            <w:vAlign w:val="center"/>
          </w:tcPr>
          <w:p w14:paraId="7561F51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31" w:type="pct"/>
            <w:vMerge w:val="continue"/>
            <w:tcBorders>
              <w:top w:val="nil"/>
              <w:bottom w:val="nil"/>
            </w:tcBorders>
            <w:vAlign w:val="center"/>
          </w:tcPr>
          <w:p w14:paraId="24693ED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52" w:type="pct"/>
            <w:vMerge w:val="continue"/>
            <w:tcBorders>
              <w:top w:val="nil"/>
              <w:bottom w:val="nil"/>
            </w:tcBorders>
            <w:vAlign w:val="center"/>
          </w:tcPr>
          <w:p w14:paraId="7A5E8C6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41" w:type="pct"/>
            <w:vMerge w:val="continue"/>
            <w:tcBorders>
              <w:top w:val="nil"/>
              <w:bottom w:val="nil"/>
            </w:tcBorders>
            <w:vAlign w:val="center"/>
          </w:tcPr>
          <w:p w14:paraId="5E62D90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65" w:type="pct"/>
            <w:vMerge w:val="continue"/>
            <w:tcBorders>
              <w:top w:val="nil"/>
              <w:bottom w:val="nil"/>
            </w:tcBorders>
            <w:vAlign w:val="center"/>
          </w:tcPr>
          <w:p w14:paraId="3825FE0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76" w:type="pct"/>
            <w:vMerge w:val="continue"/>
            <w:vAlign w:val="center"/>
          </w:tcPr>
          <w:p w14:paraId="5E13185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72" w:type="pct"/>
            <w:vMerge w:val="continue"/>
            <w:tcBorders>
              <w:top w:val="nil"/>
              <w:bottom w:val="nil"/>
            </w:tcBorders>
            <w:vAlign w:val="center"/>
          </w:tcPr>
          <w:p w14:paraId="1482A19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76" w:type="pct"/>
            <w:vMerge w:val="continue"/>
            <w:tcBorders>
              <w:top w:val="nil"/>
              <w:bottom w:val="nil"/>
            </w:tcBorders>
            <w:vAlign w:val="center"/>
          </w:tcPr>
          <w:p w14:paraId="4288764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62" w:type="pct"/>
            <w:vMerge w:val="continue"/>
            <w:tcBorders>
              <w:top w:val="nil"/>
              <w:bottom w:val="nil"/>
            </w:tcBorders>
            <w:vAlign w:val="center"/>
          </w:tcPr>
          <w:p w14:paraId="1A0FB33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238" w:type="pct"/>
            <w:vMerge w:val="continue"/>
            <w:tcBorders>
              <w:top w:val="nil"/>
              <w:bottom w:val="nil"/>
            </w:tcBorders>
            <w:vAlign w:val="center"/>
          </w:tcPr>
          <w:p w14:paraId="681D107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62" w:type="pct"/>
            <w:vMerge w:val="continue"/>
            <w:tcBorders>
              <w:top w:val="nil"/>
              <w:bottom w:val="nil"/>
            </w:tcBorders>
            <w:vAlign w:val="center"/>
          </w:tcPr>
          <w:p w14:paraId="607540B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48" w:type="pct"/>
            <w:vMerge w:val="continue"/>
            <w:tcBorders>
              <w:top w:val="nil"/>
              <w:bottom w:val="nil"/>
            </w:tcBorders>
            <w:vAlign w:val="center"/>
          </w:tcPr>
          <w:p w14:paraId="5B0E517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62" w:type="pct"/>
            <w:vMerge w:val="continue"/>
            <w:tcBorders>
              <w:top w:val="nil"/>
              <w:bottom w:val="nil"/>
            </w:tcBorders>
            <w:vAlign w:val="center"/>
          </w:tcPr>
          <w:p w14:paraId="0D8276D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20" w:type="pct"/>
            <w:vMerge w:val="continue"/>
            <w:tcBorders>
              <w:top w:val="nil"/>
              <w:bottom w:val="nil"/>
            </w:tcBorders>
            <w:vAlign w:val="center"/>
          </w:tcPr>
          <w:p w14:paraId="4CB68F2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68" w:type="pct"/>
            <w:vMerge w:val="continue"/>
            <w:tcBorders>
              <w:top w:val="nil"/>
              <w:bottom w:val="nil"/>
            </w:tcBorders>
            <w:vAlign w:val="center"/>
          </w:tcPr>
          <w:p w14:paraId="6ECDBB1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</w:tr>
      <w:tr w14:paraId="318CAA2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3" w:hRule="atLeast"/>
          <w:jc w:val="center"/>
        </w:trPr>
        <w:tc>
          <w:tcPr>
            <w:tcW w:w="105" w:type="pct"/>
            <w:vMerge w:val="continue"/>
            <w:tcBorders>
              <w:top w:val="nil"/>
            </w:tcBorders>
            <w:vAlign w:val="center"/>
          </w:tcPr>
          <w:p w14:paraId="2F54511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69" w:type="pct"/>
            <w:vMerge w:val="continue"/>
            <w:tcBorders>
              <w:top w:val="nil"/>
            </w:tcBorders>
            <w:textDirection w:val="tbRlV"/>
            <w:vAlign w:val="center"/>
          </w:tcPr>
          <w:p w14:paraId="2C230C4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20" w:type="pct"/>
            <w:vMerge w:val="continue"/>
            <w:tcBorders>
              <w:top w:val="nil"/>
            </w:tcBorders>
            <w:textDirection w:val="tbRlV"/>
            <w:vAlign w:val="center"/>
          </w:tcPr>
          <w:p w14:paraId="6E3B899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20" w:type="pct"/>
            <w:vMerge w:val="continue"/>
            <w:tcBorders>
              <w:top w:val="nil"/>
            </w:tcBorders>
            <w:textDirection w:val="tbRlV"/>
            <w:vAlign w:val="center"/>
          </w:tcPr>
          <w:p w14:paraId="07A8F2A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85" w:type="pct"/>
            <w:vMerge w:val="continue"/>
            <w:tcBorders>
              <w:top w:val="nil"/>
            </w:tcBorders>
            <w:vAlign w:val="center"/>
          </w:tcPr>
          <w:p w14:paraId="3D0D031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73" w:type="pct"/>
            <w:vMerge w:val="continue"/>
            <w:tcBorders>
              <w:top w:val="nil"/>
            </w:tcBorders>
            <w:vAlign w:val="center"/>
          </w:tcPr>
          <w:p w14:paraId="25C18FA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20" w:type="pct"/>
            <w:vMerge w:val="continue"/>
            <w:tcBorders>
              <w:top w:val="nil"/>
            </w:tcBorders>
            <w:textDirection w:val="tbRlV"/>
            <w:vAlign w:val="center"/>
          </w:tcPr>
          <w:p w14:paraId="54F7B5E6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13" w:type="pct"/>
            <w:vMerge w:val="continue"/>
            <w:tcBorders>
              <w:top w:val="nil"/>
            </w:tcBorders>
            <w:vAlign w:val="center"/>
          </w:tcPr>
          <w:p w14:paraId="70E8582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251" w:type="pct"/>
            <w:vMerge w:val="continue"/>
            <w:tcBorders>
              <w:top w:val="nil"/>
            </w:tcBorders>
            <w:vAlign w:val="center"/>
          </w:tcPr>
          <w:p w14:paraId="0E0451D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74" w:type="pct"/>
            <w:vMerge w:val="continue"/>
            <w:tcBorders>
              <w:top w:val="nil"/>
            </w:tcBorders>
            <w:vAlign w:val="center"/>
          </w:tcPr>
          <w:p w14:paraId="1C7E256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58" w:type="pct"/>
            <w:vMerge w:val="continue"/>
            <w:tcBorders>
              <w:top w:val="nil"/>
            </w:tcBorders>
            <w:vAlign w:val="center"/>
          </w:tcPr>
          <w:p w14:paraId="16979FB9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67" w:type="pct"/>
            <w:vAlign w:val="center"/>
          </w:tcPr>
          <w:p w14:paraId="093A090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  <w:t>其他投资</w:t>
            </w:r>
          </w:p>
        </w:tc>
        <w:tc>
          <w:tcPr>
            <w:tcW w:w="133" w:type="pct"/>
            <w:vAlign w:val="center"/>
          </w:tcPr>
          <w:p w14:paraId="6B8FF20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  <w:t>1</w:t>
            </w:r>
            <w:r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17" w:type="pct"/>
            <w:vAlign w:val="center"/>
          </w:tcPr>
          <w:p w14:paraId="3811EFB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</w:pPr>
          </w:p>
        </w:tc>
        <w:tc>
          <w:tcPr>
            <w:tcW w:w="120" w:type="pct"/>
            <w:vAlign w:val="center"/>
          </w:tcPr>
          <w:p w14:paraId="5E90888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</w:pPr>
          </w:p>
        </w:tc>
        <w:tc>
          <w:tcPr>
            <w:tcW w:w="134" w:type="pct"/>
            <w:vAlign w:val="center"/>
          </w:tcPr>
          <w:p w14:paraId="72B5BA0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</w:pPr>
          </w:p>
        </w:tc>
        <w:tc>
          <w:tcPr>
            <w:tcW w:w="100" w:type="pct"/>
            <w:vMerge w:val="continue"/>
            <w:tcBorders>
              <w:top w:val="nil"/>
            </w:tcBorders>
            <w:vAlign w:val="center"/>
          </w:tcPr>
          <w:p w14:paraId="365A98F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86" w:type="pct"/>
            <w:vMerge w:val="continue"/>
            <w:tcBorders>
              <w:top w:val="nil"/>
            </w:tcBorders>
            <w:vAlign w:val="center"/>
          </w:tcPr>
          <w:p w14:paraId="409F610E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69" w:type="pct"/>
            <w:vMerge w:val="continue"/>
            <w:tcBorders>
              <w:top w:val="nil"/>
            </w:tcBorders>
            <w:vAlign w:val="center"/>
          </w:tcPr>
          <w:p w14:paraId="12E6154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93" w:type="pct"/>
            <w:vMerge w:val="continue"/>
            <w:tcBorders>
              <w:top w:val="nil"/>
            </w:tcBorders>
            <w:vAlign w:val="center"/>
          </w:tcPr>
          <w:p w14:paraId="164C453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31" w:type="pct"/>
            <w:vMerge w:val="continue"/>
            <w:tcBorders>
              <w:top w:val="nil"/>
            </w:tcBorders>
            <w:vAlign w:val="center"/>
          </w:tcPr>
          <w:p w14:paraId="20CE085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52" w:type="pct"/>
            <w:vMerge w:val="continue"/>
            <w:tcBorders>
              <w:top w:val="nil"/>
            </w:tcBorders>
            <w:vAlign w:val="center"/>
          </w:tcPr>
          <w:p w14:paraId="1F545ED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41" w:type="pct"/>
            <w:vMerge w:val="continue"/>
            <w:tcBorders>
              <w:top w:val="nil"/>
            </w:tcBorders>
            <w:vAlign w:val="center"/>
          </w:tcPr>
          <w:p w14:paraId="14C08C6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65" w:type="pct"/>
            <w:vMerge w:val="continue"/>
            <w:tcBorders>
              <w:top w:val="nil"/>
            </w:tcBorders>
            <w:vAlign w:val="center"/>
          </w:tcPr>
          <w:p w14:paraId="7E44A5A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76" w:type="pct"/>
            <w:vMerge w:val="continue"/>
            <w:vAlign w:val="center"/>
          </w:tcPr>
          <w:p w14:paraId="025C53DC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72" w:type="pct"/>
            <w:vMerge w:val="continue"/>
            <w:tcBorders>
              <w:top w:val="nil"/>
            </w:tcBorders>
            <w:vAlign w:val="center"/>
          </w:tcPr>
          <w:p w14:paraId="6FE42B2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76" w:type="pct"/>
            <w:vMerge w:val="continue"/>
            <w:tcBorders>
              <w:top w:val="nil"/>
            </w:tcBorders>
            <w:vAlign w:val="center"/>
          </w:tcPr>
          <w:p w14:paraId="533861B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62" w:type="pct"/>
            <w:vMerge w:val="continue"/>
            <w:tcBorders>
              <w:top w:val="nil"/>
            </w:tcBorders>
            <w:vAlign w:val="center"/>
          </w:tcPr>
          <w:p w14:paraId="74F0391D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238" w:type="pct"/>
            <w:vMerge w:val="continue"/>
            <w:tcBorders>
              <w:top w:val="nil"/>
            </w:tcBorders>
            <w:vAlign w:val="center"/>
          </w:tcPr>
          <w:p w14:paraId="11418988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62" w:type="pct"/>
            <w:vMerge w:val="continue"/>
            <w:tcBorders>
              <w:top w:val="nil"/>
            </w:tcBorders>
            <w:vAlign w:val="center"/>
          </w:tcPr>
          <w:p w14:paraId="7C07305B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48" w:type="pct"/>
            <w:vMerge w:val="continue"/>
            <w:tcBorders>
              <w:top w:val="nil"/>
            </w:tcBorders>
            <w:vAlign w:val="center"/>
          </w:tcPr>
          <w:p w14:paraId="55C51F4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62" w:type="pct"/>
            <w:vMerge w:val="continue"/>
            <w:tcBorders>
              <w:top w:val="nil"/>
            </w:tcBorders>
            <w:vAlign w:val="center"/>
          </w:tcPr>
          <w:p w14:paraId="58DD5CF3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20" w:type="pct"/>
            <w:vMerge w:val="continue"/>
            <w:tcBorders>
              <w:top w:val="nil"/>
            </w:tcBorders>
            <w:vAlign w:val="center"/>
          </w:tcPr>
          <w:p w14:paraId="05D9B1E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68" w:type="pct"/>
            <w:vMerge w:val="continue"/>
            <w:tcBorders>
              <w:top w:val="nil"/>
            </w:tcBorders>
            <w:vAlign w:val="center"/>
          </w:tcPr>
          <w:p w14:paraId="5888E6B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</w:pPr>
          </w:p>
        </w:tc>
      </w:tr>
    </w:tbl>
    <w:p w14:paraId="0C996B6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exact"/>
        <w:ind w:left="0" w:right="0" w:firstLine="0"/>
        <w:jc w:val="both"/>
        <w:textAlignment w:val="baseline"/>
        <w:rPr>
          <w:rFonts w:hint="eastAsia" w:eastAsia="宋体"/>
          <w:lang w:eastAsia="zh-CN"/>
        </w:rPr>
        <w:sectPr>
          <w:footerReference r:id="rId5" w:type="default"/>
          <w:pgSz w:w="23811" w:h="16838" w:orient="landscape"/>
          <w:pgMar w:top="1440" w:right="567" w:bottom="1440" w:left="567" w:header="0" w:footer="0" w:gutter="0"/>
          <w:cols w:space="720" w:num="1"/>
        </w:sectPr>
      </w:pPr>
    </w:p>
    <w:p w14:paraId="2A0AFA05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jc w:val="both"/>
        <w:textAlignment w:val="auto"/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黑体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  <w:t>2</w:t>
      </w:r>
    </w:p>
    <w:p w14:paraId="3626CC1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pacing w:val="0"/>
          <w:kern w:val="21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pacing w:val="0"/>
          <w:kern w:val="21"/>
          <w:sz w:val="44"/>
          <w:szCs w:val="44"/>
          <w:lang w:eastAsia="zh-CN"/>
        </w:rPr>
        <w:t>湘潭县</w:t>
      </w:r>
      <w:r>
        <w:rPr>
          <w:rFonts w:hint="eastAsia" w:ascii="方正小标宋_GBK" w:hAnsi="方正小标宋_GBK" w:eastAsia="方正小标宋_GBK" w:cs="方正小标宋_GBK"/>
          <w:b w:val="0"/>
          <w:bCs w:val="0"/>
          <w:spacing w:val="0"/>
          <w:kern w:val="21"/>
          <w:sz w:val="44"/>
          <w:szCs w:val="44"/>
        </w:rPr>
        <w:t>2025年第</w:t>
      </w:r>
      <w:r>
        <w:rPr>
          <w:rFonts w:hint="eastAsia" w:ascii="方正小标宋_GBK" w:hAnsi="方正小标宋_GBK" w:eastAsia="方正小标宋_GBK" w:cs="方正小标宋_GBK"/>
          <w:b w:val="0"/>
          <w:bCs w:val="0"/>
          <w:spacing w:val="0"/>
          <w:kern w:val="21"/>
          <w:sz w:val="44"/>
          <w:szCs w:val="44"/>
          <w:lang w:eastAsia="zh-CN"/>
        </w:rPr>
        <w:t>四</w:t>
      </w:r>
      <w:r>
        <w:rPr>
          <w:rFonts w:hint="eastAsia" w:ascii="方正小标宋_GBK" w:hAnsi="方正小标宋_GBK" w:eastAsia="方正小标宋_GBK" w:cs="方正小标宋_GBK"/>
          <w:b w:val="0"/>
          <w:bCs w:val="0"/>
          <w:spacing w:val="0"/>
          <w:kern w:val="21"/>
          <w:sz w:val="44"/>
          <w:szCs w:val="44"/>
        </w:rPr>
        <w:t>批以工代赈项目中央预算内投资计划表</w:t>
      </w:r>
      <w:r>
        <w:rPr>
          <w:rFonts w:hint="eastAsia" w:ascii="方正小标宋_GBK" w:hAnsi="方正小标宋_GBK" w:eastAsia="方正小标宋_GBK" w:cs="方正小标宋_GBK"/>
          <w:b w:val="0"/>
          <w:bCs w:val="0"/>
          <w:spacing w:val="0"/>
          <w:kern w:val="21"/>
          <w:sz w:val="44"/>
          <w:szCs w:val="44"/>
          <w:lang w:eastAsia="zh-CN"/>
        </w:rPr>
        <w:t>（财政模板）</w:t>
      </w:r>
    </w:p>
    <w:p w14:paraId="368CD6AE">
      <w:pPr>
        <w:spacing w:before="120" w:line="220" w:lineRule="auto"/>
        <w:jc w:val="righ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-2"/>
          <w:sz w:val="28"/>
          <w:szCs w:val="28"/>
        </w:rPr>
        <w:t>单位：万元</w:t>
      </w:r>
    </w:p>
    <w:p w14:paraId="07B58479">
      <w:pPr>
        <w:spacing w:line="35" w:lineRule="exact"/>
      </w:pPr>
    </w:p>
    <w:tbl>
      <w:tblPr>
        <w:tblStyle w:val="5"/>
        <w:tblW w:w="1548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2"/>
        <w:gridCol w:w="1742"/>
        <w:gridCol w:w="1149"/>
        <w:gridCol w:w="10"/>
        <w:gridCol w:w="2818"/>
        <w:gridCol w:w="799"/>
        <w:gridCol w:w="1"/>
        <w:gridCol w:w="779"/>
        <w:gridCol w:w="639"/>
        <w:gridCol w:w="1"/>
        <w:gridCol w:w="649"/>
        <w:gridCol w:w="1809"/>
        <w:gridCol w:w="1"/>
        <w:gridCol w:w="868"/>
        <w:gridCol w:w="1"/>
        <w:gridCol w:w="968"/>
        <w:gridCol w:w="1"/>
        <w:gridCol w:w="1008"/>
        <w:gridCol w:w="10"/>
        <w:gridCol w:w="1"/>
        <w:gridCol w:w="1138"/>
        <w:gridCol w:w="1"/>
        <w:gridCol w:w="644"/>
        <w:gridCol w:w="11"/>
        <w:gridCol w:w="9"/>
      </w:tblGrid>
      <w:tr w14:paraId="0C50E2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20" w:type="dxa"/>
          <w:cantSplit/>
          <w:trHeight w:val="1505" w:hRule="atLeast"/>
          <w:tblHeader/>
          <w:jc w:val="center"/>
        </w:trPr>
        <w:tc>
          <w:tcPr>
            <w:tcW w:w="432" w:type="dxa"/>
            <w:vAlign w:val="center"/>
          </w:tcPr>
          <w:p w14:paraId="31A9D913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ascii="Times New Roman" w:hAnsi="Times New Roman" w:eastAsia="黑体" w:cs="宋体"/>
                <w:spacing w:val="0"/>
                <w:sz w:val="24"/>
                <w:szCs w:val="24"/>
              </w:rPr>
            </w:pPr>
            <w:r>
              <w:rPr>
                <w:rFonts w:ascii="Times New Roman" w:hAnsi="Times New Roman" w:eastAsia="黑体" w:cs="宋体"/>
                <w:spacing w:val="0"/>
                <w:sz w:val="24"/>
                <w:szCs w:val="24"/>
              </w:rPr>
              <w:t>序号</w:t>
            </w:r>
          </w:p>
        </w:tc>
        <w:tc>
          <w:tcPr>
            <w:tcW w:w="1742" w:type="dxa"/>
            <w:vAlign w:val="center"/>
          </w:tcPr>
          <w:p w14:paraId="1F4275EA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ascii="Times New Roman" w:hAnsi="Times New Roman" w:eastAsia="黑体" w:cs="宋体"/>
                <w:spacing w:val="0"/>
                <w:sz w:val="24"/>
                <w:szCs w:val="24"/>
              </w:rPr>
            </w:pPr>
            <w:r>
              <w:rPr>
                <w:rFonts w:ascii="Times New Roman" w:hAnsi="Times New Roman" w:eastAsia="黑体" w:cs="宋体"/>
                <w:spacing w:val="0"/>
                <w:sz w:val="24"/>
                <w:szCs w:val="24"/>
              </w:rPr>
              <w:t>项目名称</w:t>
            </w:r>
          </w:p>
        </w:tc>
        <w:tc>
          <w:tcPr>
            <w:tcW w:w="1149" w:type="dxa"/>
            <w:vAlign w:val="center"/>
          </w:tcPr>
          <w:p w14:paraId="0C38CE08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ascii="Times New Roman" w:hAnsi="Times New Roman" w:eastAsia="黑体" w:cs="宋体"/>
                <w:spacing w:val="0"/>
                <w:sz w:val="24"/>
                <w:szCs w:val="24"/>
              </w:rPr>
            </w:pPr>
            <w:r>
              <w:rPr>
                <w:rFonts w:ascii="Times New Roman" w:hAnsi="Times New Roman" w:eastAsia="黑体" w:cs="宋体"/>
                <w:spacing w:val="0"/>
                <w:sz w:val="24"/>
                <w:szCs w:val="24"/>
              </w:rPr>
              <w:t>项目代码</w:t>
            </w:r>
          </w:p>
        </w:tc>
        <w:tc>
          <w:tcPr>
            <w:tcW w:w="2828" w:type="dxa"/>
            <w:gridSpan w:val="2"/>
            <w:vAlign w:val="center"/>
          </w:tcPr>
          <w:p w14:paraId="0B4C6B2A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ascii="Times New Roman" w:hAnsi="Times New Roman" w:eastAsia="黑体" w:cs="宋体"/>
                <w:spacing w:val="0"/>
                <w:sz w:val="24"/>
                <w:szCs w:val="24"/>
              </w:rPr>
            </w:pPr>
            <w:r>
              <w:rPr>
                <w:rFonts w:ascii="Times New Roman" w:hAnsi="Times New Roman" w:eastAsia="黑体" w:cs="宋体"/>
                <w:spacing w:val="0"/>
                <w:sz w:val="24"/>
                <w:szCs w:val="24"/>
              </w:rPr>
              <w:t>建设内容</w:t>
            </w:r>
          </w:p>
        </w:tc>
        <w:tc>
          <w:tcPr>
            <w:tcW w:w="799" w:type="dxa"/>
            <w:vAlign w:val="center"/>
          </w:tcPr>
          <w:p w14:paraId="2D11D68F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ascii="Times New Roman" w:hAnsi="Times New Roman" w:eastAsia="黑体" w:cs="宋体"/>
                <w:spacing w:val="0"/>
                <w:sz w:val="24"/>
                <w:szCs w:val="24"/>
              </w:rPr>
            </w:pPr>
            <w:r>
              <w:rPr>
                <w:rFonts w:ascii="Times New Roman" w:hAnsi="Times New Roman" w:eastAsia="黑体" w:cs="宋体"/>
                <w:spacing w:val="0"/>
                <w:sz w:val="24"/>
                <w:szCs w:val="24"/>
              </w:rPr>
              <w:t>项目所在市州</w:t>
            </w:r>
          </w:p>
        </w:tc>
        <w:tc>
          <w:tcPr>
            <w:tcW w:w="780" w:type="dxa"/>
            <w:gridSpan w:val="2"/>
            <w:vAlign w:val="center"/>
          </w:tcPr>
          <w:p w14:paraId="0E67C0AE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ascii="Times New Roman" w:hAnsi="Times New Roman" w:eastAsia="黑体" w:cs="宋体"/>
                <w:spacing w:val="0"/>
                <w:sz w:val="24"/>
                <w:szCs w:val="24"/>
              </w:rPr>
            </w:pPr>
            <w:r>
              <w:rPr>
                <w:rFonts w:ascii="Times New Roman" w:hAnsi="Times New Roman" w:eastAsia="黑体" w:cs="宋体"/>
                <w:spacing w:val="0"/>
                <w:sz w:val="24"/>
                <w:szCs w:val="24"/>
              </w:rPr>
              <w:t>项目所在县市区</w:t>
            </w:r>
          </w:p>
        </w:tc>
        <w:tc>
          <w:tcPr>
            <w:tcW w:w="640" w:type="dxa"/>
            <w:gridSpan w:val="2"/>
            <w:vAlign w:val="center"/>
          </w:tcPr>
          <w:p w14:paraId="7B382DAC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ascii="Times New Roman" w:hAnsi="Times New Roman" w:eastAsia="黑体" w:cs="宋体"/>
                <w:spacing w:val="0"/>
                <w:sz w:val="24"/>
                <w:szCs w:val="24"/>
              </w:rPr>
            </w:pPr>
            <w:r>
              <w:rPr>
                <w:rFonts w:ascii="Times New Roman" w:hAnsi="Times New Roman" w:eastAsia="黑体" w:cs="宋体"/>
                <w:spacing w:val="0"/>
                <w:sz w:val="24"/>
                <w:szCs w:val="24"/>
              </w:rPr>
              <w:t>拟开工年份</w:t>
            </w:r>
          </w:p>
        </w:tc>
        <w:tc>
          <w:tcPr>
            <w:tcW w:w="649" w:type="dxa"/>
            <w:vAlign w:val="center"/>
          </w:tcPr>
          <w:p w14:paraId="3F495D9E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ascii="Times New Roman" w:hAnsi="Times New Roman" w:eastAsia="黑体" w:cs="宋体"/>
                <w:spacing w:val="0"/>
                <w:sz w:val="24"/>
                <w:szCs w:val="24"/>
              </w:rPr>
            </w:pPr>
            <w:r>
              <w:rPr>
                <w:rFonts w:ascii="Times New Roman" w:hAnsi="Times New Roman" w:eastAsia="黑体" w:cs="宋体"/>
                <w:spacing w:val="0"/>
                <w:sz w:val="24"/>
                <w:szCs w:val="24"/>
              </w:rPr>
              <w:t>拟建成年份</w:t>
            </w:r>
          </w:p>
        </w:tc>
        <w:tc>
          <w:tcPr>
            <w:tcW w:w="1809" w:type="dxa"/>
            <w:vAlign w:val="center"/>
          </w:tcPr>
          <w:p w14:paraId="2E28D68A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ascii="Times New Roman" w:hAnsi="Times New Roman" w:eastAsia="黑体" w:cs="宋体"/>
                <w:spacing w:val="0"/>
                <w:sz w:val="24"/>
                <w:szCs w:val="24"/>
              </w:rPr>
            </w:pPr>
            <w:r>
              <w:rPr>
                <w:rFonts w:ascii="Times New Roman" w:hAnsi="Times New Roman" w:eastAsia="黑体" w:cs="宋体"/>
                <w:spacing w:val="0"/>
                <w:sz w:val="24"/>
                <w:szCs w:val="24"/>
              </w:rPr>
              <w:t>投资类别</w:t>
            </w:r>
          </w:p>
        </w:tc>
        <w:tc>
          <w:tcPr>
            <w:tcW w:w="869" w:type="dxa"/>
            <w:gridSpan w:val="2"/>
            <w:vAlign w:val="center"/>
          </w:tcPr>
          <w:p w14:paraId="544E71CE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ascii="Times New Roman" w:hAnsi="Times New Roman" w:eastAsia="黑体" w:cs="宋体"/>
                <w:spacing w:val="0"/>
                <w:sz w:val="24"/>
                <w:szCs w:val="24"/>
              </w:rPr>
            </w:pPr>
            <w:r>
              <w:rPr>
                <w:rFonts w:ascii="Times New Roman" w:hAnsi="Times New Roman" w:eastAsia="黑体" w:cs="宋体"/>
                <w:spacing w:val="0"/>
                <w:sz w:val="24"/>
                <w:szCs w:val="24"/>
              </w:rPr>
              <w:t>总投资</w:t>
            </w:r>
          </w:p>
        </w:tc>
        <w:tc>
          <w:tcPr>
            <w:tcW w:w="969" w:type="dxa"/>
            <w:gridSpan w:val="2"/>
            <w:vAlign w:val="center"/>
          </w:tcPr>
          <w:p w14:paraId="59C5CBC1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ascii="Times New Roman" w:hAnsi="Times New Roman" w:eastAsia="黑体" w:cs="宋体"/>
                <w:spacing w:val="0"/>
                <w:sz w:val="24"/>
                <w:szCs w:val="24"/>
              </w:rPr>
            </w:pPr>
            <w:r>
              <w:rPr>
                <w:rFonts w:ascii="Times New Roman" w:hAnsi="Times New Roman" w:eastAsia="黑体" w:cs="宋体"/>
                <w:spacing w:val="0"/>
                <w:sz w:val="24"/>
                <w:szCs w:val="24"/>
              </w:rPr>
              <w:t>本次下达</w:t>
            </w:r>
            <w:r>
              <w:rPr>
                <w:rFonts w:hint="eastAsia" w:ascii="Times New Roman" w:hAnsi="Times New Roman" w:eastAsia="黑体" w:cs="宋体"/>
                <w:spacing w:val="0"/>
                <w:sz w:val="24"/>
                <w:szCs w:val="24"/>
                <w:lang w:eastAsia="zh-CN"/>
              </w:rPr>
              <w:t>（</w:t>
            </w:r>
            <w:r>
              <w:rPr>
                <w:rFonts w:ascii="Times New Roman" w:hAnsi="Times New Roman" w:eastAsia="黑体" w:cs="宋体"/>
                <w:spacing w:val="0"/>
                <w:sz w:val="24"/>
                <w:szCs w:val="24"/>
              </w:rPr>
              <w:t>安排</w:t>
            </w:r>
            <w:r>
              <w:rPr>
                <w:rFonts w:hint="eastAsia" w:ascii="Times New Roman" w:hAnsi="Times New Roman" w:eastAsia="黑体" w:cs="宋体"/>
                <w:spacing w:val="0"/>
                <w:sz w:val="24"/>
                <w:szCs w:val="24"/>
                <w:lang w:eastAsia="zh-CN"/>
              </w:rPr>
              <w:t>）</w:t>
            </w:r>
            <w:r>
              <w:rPr>
                <w:rFonts w:ascii="Times New Roman" w:hAnsi="Times New Roman" w:eastAsia="黑体" w:cs="宋体"/>
                <w:spacing w:val="0"/>
                <w:sz w:val="24"/>
                <w:szCs w:val="24"/>
              </w:rPr>
              <w:t>投资</w:t>
            </w:r>
          </w:p>
        </w:tc>
        <w:tc>
          <w:tcPr>
            <w:tcW w:w="1009" w:type="dxa"/>
            <w:gridSpan w:val="2"/>
            <w:vAlign w:val="center"/>
          </w:tcPr>
          <w:p w14:paraId="659A3806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ascii="Times New Roman" w:hAnsi="Times New Roman" w:eastAsia="黑体" w:cs="宋体"/>
                <w:spacing w:val="0"/>
                <w:sz w:val="24"/>
                <w:szCs w:val="24"/>
              </w:rPr>
            </w:pPr>
            <w:r>
              <w:rPr>
                <w:rFonts w:ascii="Times New Roman" w:hAnsi="Times New Roman" w:eastAsia="黑体" w:cs="宋体"/>
                <w:spacing w:val="0"/>
                <w:sz w:val="24"/>
                <w:szCs w:val="24"/>
              </w:rPr>
              <w:t>部门和地方采取的资金安排方式</w:t>
            </w:r>
          </w:p>
        </w:tc>
        <w:tc>
          <w:tcPr>
            <w:tcW w:w="1149" w:type="dxa"/>
            <w:gridSpan w:val="3"/>
            <w:vAlign w:val="center"/>
          </w:tcPr>
          <w:p w14:paraId="7939631D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ascii="Times New Roman" w:hAnsi="Times New Roman" w:eastAsia="黑体" w:cs="宋体"/>
                <w:spacing w:val="0"/>
                <w:sz w:val="24"/>
                <w:szCs w:val="24"/>
              </w:rPr>
            </w:pPr>
            <w:r>
              <w:rPr>
                <w:rFonts w:ascii="Times New Roman" w:hAnsi="Times New Roman" w:eastAsia="黑体" w:cs="宋体"/>
                <w:spacing w:val="0"/>
                <w:sz w:val="24"/>
                <w:szCs w:val="24"/>
              </w:rPr>
              <w:t>项目</w:t>
            </w:r>
            <w:r>
              <w:rPr>
                <w:rFonts w:hint="eastAsia" w:ascii="Times New Roman" w:hAnsi="Times New Roman" w:eastAsia="黑体" w:cs="宋体"/>
                <w:spacing w:val="0"/>
                <w:sz w:val="24"/>
                <w:szCs w:val="24"/>
                <w:lang w:eastAsia="zh-CN"/>
              </w:rPr>
              <w:t>（</w:t>
            </w:r>
            <w:r>
              <w:rPr>
                <w:rFonts w:ascii="Times New Roman" w:hAnsi="Times New Roman" w:eastAsia="黑体" w:cs="宋体"/>
                <w:spacing w:val="0"/>
                <w:sz w:val="24"/>
                <w:szCs w:val="24"/>
              </w:rPr>
              <w:t>法人</w:t>
            </w:r>
            <w:r>
              <w:rPr>
                <w:rFonts w:hint="eastAsia" w:ascii="Times New Roman" w:hAnsi="Times New Roman" w:eastAsia="黑体" w:cs="宋体"/>
                <w:spacing w:val="0"/>
                <w:sz w:val="24"/>
                <w:szCs w:val="24"/>
                <w:lang w:eastAsia="zh-CN"/>
              </w:rPr>
              <w:t>）</w:t>
            </w:r>
            <w:r>
              <w:rPr>
                <w:rFonts w:ascii="Times New Roman" w:hAnsi="Times New Roman" w:eastAsia="黑体" w:cs="宋体"/>
                <w:spacing w:val="0"/>
                <w:sz w:val="24"/>
                <w:szCs w:val="24"/>
              </w:rPr>
              <w:t>单位</w:t>
            </w:r>
          </w:p>
        </w:tc>
        <w:tc>
          <w:tcPr>
            <w:tcW w:w="645" w:type="dxa"/>
            <w:gridSpan w:val="2"/>
            <w:vAlign w:val="center"/>
          </w:tcPr>
          <w:p w14:paraId="6D1271D2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ascii="Times New Roman" w:hAnsi="Times New Roman" w:eastAsia="黑体" w:cs="宋体"/>
                <w:spacing w:val="0"/>
                <w:sz w:val="24"/>
                <w:szCs w:val="24"/>
              </w:rPr>
            </w:pPr>
            <w:r>
              <w:rPr>
                <w:rFonts w:ascii="Times New Roman" w:hAnsi="Times New Roman" w:eastAsia="黑体" w:cs="宋体"/>
                <w:spacing w:val="0"/>
                <w:sz w:val="24"/>
                <w:szCs w:val="24"/>
              </w:rPr>
              <w:t>项目责任人</w:t>
            </w:r>
          </w:p>
        </w:tc>
      </w:tr>
      <w:tr w14:paraId="41F053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432" w:type="dxa"/>
            <w:vMerge w:val="restart"/>
            <w:tcBorders>
              <w:bottom w:val="nil"/>
            </w:tcBorders>
            <w:vAlign w:val="center"/>
          </w:tcPr>
          <w:p w14:paraId="66DC01CE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ascii="Times New Roman" w:hAnsi="Times New Roman" w:eastAsia="仿宋_GB2312" w:cs="宋体"/>
                <w:spacing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宋体"/>
                <w:spacing w:val="0"/>
                <w:sz w:val="24"/>
                <w:szCs w:val="24"/>
              </w:rPr>
              <w:t>1</w:t>
            </w:r>
          </w:p>
        </w:tc>
        <w:tc>
          <w:tcPr>
            <w:tcW w:w="1742" w:type="dxa"/>
            <w:vMerge w:val="restart"/>
            <w:tcBorders>
              <w:bottom w:val="nil"/>
            </w:tcBorders>
            <w:vAlign w:val="center"/>
          </w:tcPr>
          <w:p w14:paraId="04B350A5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ascii="Times New Roman" w:hAnsi="Times New Roman" w:eastAsia="仿宋_GB2312" w:cs="宋体"/>
                <w:spacing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  <w:t>湘潭县云湖桥镇2026年农</w:t>
            </w:r>
            <w:r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  <w:t>村</w:t>
            </w:r>
            <w:r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  <w:t>中小型基础</w:t>
            </w:r>
            <w:r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  <w:t>设施</w:t>
            </w:r>
            <w:r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  <w:t>建设</w:t>
            </w:r>
            <w:r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  <w:t>以工代赈项目</w:t>
            </w:r>
          </w:p>
        </w:tc>
        <w:tc>
          <w:tcPr>
            <w:tcW w:w="1159" w:type="dxa"/>
            <w:gridSpan w:val="2"/>
            <w:vMerge w:val="restart"/>
            <w:tcBorders>
              <w:bottom w:val="nil"/>
            </w:tcBorders>
            <w:vAlign w:val="center"/>
          </w:tcPr>
          <w:p w14:paraId="28004DC2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ascii="Times New Roman" w:hAnsi="Times New Roman" w:eastAsia="仿宋_GB2312" w:cs="宋体"/>
                <w:spacing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宋体"/>
                <w:spacing w:val="0"/>
                <w:sz w:val="24"/>
                <w:szCs w:val="24"/>
              </w:rPr>
              <w:t>2505-430321-04-01-618400</w:t>
            </w:r>
          </w:p>
        </w:tc>
        <w:tc>
          <w:tcPr>
            <w:tcW w:w="2818" w:type="dxa"/>
            <w:vMerge w:val="restart"/>
            <w:tcBorders>
              <w:bottom w:val="nil"/>
            </w:tcBorders>
            <w:vAlign w:val="center"/>
          </w:tcPr>
          <w:p w14:paraId="0B6383B4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both"/>
              <w:textAlignment w:val="auto"/>
              <w:rPr>
                <w:rFonts w:ascii="Times New Roman" w:hAnsi="Times New Roman" w:eastAsia="仿宋_GB2312" w:cs="宋体"/>
                <w:spacing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  <w:t>对清风村、新联村、向红村进行道路硬化1577米，水渠修建</w:t>
            </w:r>
            <w:r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val="en-US" w:eastAsia="zh-CN"/>
              </w:rPr>
              <w:t>6千米。</w:t>
            </w:r>
          </w:p>
        </w:tc>
        <w:tc>
          <w:tcPr>
            <w:tcW w:w="799" w:type="dxa"/>
            <w:vMerge w:val="restart"/>
            <w:tcBorders>
              <w:bottom w:val="nil"/>
            </w:tcBorders>
            <w:vAlign w:val="center"/>
          </w:tcPr>
          <w:p w14:paraId="1A26D8C8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ascii="Times New Roman" w:hAnsi="Times New Roman" w:eastAsia="仿宋_GB2312" w:cs="宋体"/>
                <w:spacing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宋体"/>
                <w:spacing w:val="0"/>
                <w:sz w:val="24"/>
                <w:szCs w:val="24"/>
              </w:rPr>
              <w:t>湘潭市</w:t>
            </w:r>
          </w:p>
        </w:tc>
        <w:tc>
          <w:tcPr>
            <w:tcW w:w="780" w:type="dxa"/>
            <w:gridSpan w:val="2"/>
            <w:vMerge w:val="restart"/>
            <w:tcBorders>
              <w:bottom w:val="nil"/>
            </w:tcBorders>
            <w:vAlign w:val="center"/>
          </w:tcPr>
          <w:p w14:paraId="24963758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ascii="Times New Roman" w:hAnsi="Times New Roman" w:eastAsia="仿宋_GB2312" w:cs="宋体"/>
                <w:spacing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宋体"/>
                <w:spacing w:val="0"/>
                <w:sz w:val="24"/>
                <w:szCs w:val="24"/>
              </w:rPr>
              <w:t>湘潭县</w:t>
            </w:r>
          </w:p>
        </w:tc>
        <w:tc>
          <w:tcPr>
            <w:tcW w:w="639" w:type="dxa"/>
            <w:vMerge w:val="restart"/>
            <w:tcBorders>
              <w:bottom w:val="nil"/>
            </w:tcBorders>
            <w:vAlign w:val="center"/>
          </w:tcPr>
          <w:p w14:paraId="5F4DAC49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ascii="Times New Roman" w:hAnsi="Times New Roman" w:eastAsia="仿宋_GB2312" w:cs="宋体"/>
                <w:spacing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宋体"/>
                <w:spacing w:val="0"/>
                <w:sz w:val="24"/>
                <w:szCs w:val="24"/>
              </w:rPr>
              <w:t>2025</w:t>
            </w:r>
          </w:p>
        </w:tc>
        <w:tc>
          <w:tcPr>
            <w:tcW w:w="650" w:type="dxa"/>
            <w:gridSpan w:val="2"/>
            <w:vMerge w:val="restart"/>
            <w:tcBorders>
              <w:bottom w:val="nil"/>
            </w:tcBorders>
            <w:vAlign w:val="center"/>
          </w:tcPr>
          <w:p w14:paraId="0A605791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Times New Roman" w:hAnsi="Times New Roman" w:eastAsia="仿宋_GB2312" w:cs="宋体"/>
                <w:spacing w:val="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仿宋_GB2312" w:cs="宋体"/>
                <w:spacing w:val="0"/>
                <w:sz w:val="24"/>
                <w:szCs w:val="24"/>
              </w:rPr>
              <w:t>202</w:t>
            </w:r>
            <w:r>
              <w:rPr>
                <w:rFonts w:hint="eastAsia" w:ascii="Times New Roman" w:hAnsi="Times New Roman" w:eastAsia="仿宋_GB2312" w:cs="宋体"/>
                <w:spacing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809" w:type="dxa"/>
            <w:vAlign w:val="center"/>
          </w:tcPr>
          <w:p w14:paraId="1A200F7B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ascii="Times New Roman" w:hAnsi="Times New Roman" w:eastAsia="仿宋_GB2312" w:cs="宋体"/>
                <w:spacing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宋体"/>
                <w:spacing w:val="0"/>
                <w:sz w:val="24"/>
                <w:szCs w:val="24"/>
              </w:rPr>
              <w:t>总投资</w:t>
            </w:r>
          </w:p>
        </w:tc>
        <w:tc>
          <w:tcPr>
            <w:tcW w:w="869" w:type="dxa"/>
            <w:gridSpan w:val="2"/>
            <w:vAlign w:val="center"/>
          </w:tcPr>
          <w:p w14:paraId="3338A07E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宋体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仿宋_GB2312" w:cs="宋体"/>
                <w:spacing w:val="0"/>
                <w:sz w:val="24"/>
                <w:szCs w:val="24"/>
              </w:rPr>
              <w:t>2</w:t>
            </w:r>
            <w:r>
              <w:rPr>
                <w:rFonts w:hint="eastAsia" w:ascii="Times New Roman" w:hAnsi="Times New Roman" w:eastAsia="仿宋_GB2312" w:cs="宋体"/>
                <w:spacing w:val="0"/>
                <w:sz w:val="24"/>
                <w:szCs w:val="24"/>
                <w:lang w:val="en-US" w:eastAsia="zh-CN"/>
              </w:rPr>
              <w:t>58</w:t>
            </w:r>
          </w:p>
        </w:tc>
        <w:tc>
          <w:tcPr>
            <w:tcW w:w="969" w:type="dxa"/>
            <w:gridSpan w:val="2"/>
            <w:vAlign w:val="center"/>
          </w:tcPr>
          <w:p w14:paraId="2C26DB4B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宋体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仿宋_GB2312" w:cs="宋体"/>
                <w:spacing w:val="0"/>
                <w:sz w:val="24"/>
                <w:szCs w:val="24"/>
              </w:rPr>
              <w:t>2</w:t>
            </w:r>
            <w:r>
              <w:rPr>
                <w:rFonts w:hint="eastAsia" w:ascii="Times New Roman" w:hAnsi="Times New Roman" w:eastAsia="仿宋_GB2312" w:cs="宋体"/>
                <w:spacing w:val="0"/>
                <w:sz w:val="24"/>
                <w:szCs w:val="24"/>
                <w:lang w:val="en-US" w:eastAsia="zh-CN"/>
              </w:rPr>
              <w:t>46</w:t>
            </w:r>
          </w:p>
        </w:tc>
        <w:tc>
          <w:tcPr>
            <w:tcW w:w="1019" w:type="dxa"/>
            <w:gridSpan w:val="3"/>
            <w:vMerge w:val="restart"/>
            <w:tcBorders>
              <w:bottom w:val="nil"/>
            </w:tcBorders>
            <w:vAlign w:val="center"/>
          </w:tcPr>
          <w:p w14:paraId="2857EE19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ascii="Times New Roman" w:hAnsi="Times New Roman" w:eastAsia="仿宋_GB2312" w:cs="宋体"/>
                <w:spacing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宋体"/>
                <w:spacing w:val="0"/>
                <w:sz w:val="24"/>
                <w:szCs w:val="24"/>
              </w:rPr>
              <w:t>直接投资</w:t>
            </w:r>
          </w:p>
        </w:tc>
        <w:tc>
          <w:tcPr>
            <w:tcW w:w="1139" w:type="dxa"/>
            <w:gridSpan w:val="2"/>
            <w:vMerge w:val="restart"/>
            <w:tcBorders>
              <w:bottom w:val="nil"/>
            </w:tcBorders>
            <w:vAlign w:val="center"/>
          </w:tcPr>
          <w:p w14:paraId="7CC6A235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ascii="Times New Roman" w:hAnsi="Times New Roman" w:eastAsia="仿宋_GB2312" w:cs="宋体"/>
                <w:spacing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宋体"/>
                <w:spacing w:val="0"/>
                <w:sz w:val="24"/>
                <w:szCs w:val="24"/>
              </w:rPr>
              <w:t>湘潭县</w:t>
            </w:r>
          </w:p>
          <w:p w14:paraId="16CFA4BF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ascii="Times New Roman" w:hAnsi="Times New Roman" w:eastAsia="仿宋_GB2312" w:cs="宋体"/>
                <w:spacing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宋体"/>
                <w:spacing w:val="0"/>
                <w:sz w:val="24"/>
                <w:szCs w:val="24"/>
                <w:lang w:eastAsia="zh-CN"/>
              </w:rPr>
              <w:t>云湖桥</w:t>
            </w:r>
            <w:r>
              <w:rPr>
                <w:rFonts w:ascii="Times New Roman" w:hAnsi="Times New Roman" w:eastAsia="仿宋_GB2312" w:cs="宋体"/>
                <w:spacing w:val="0"/>
                <w:sz w:val="24"/>
                <w:szCs w:val="24"/>
              </w:rPr>
              <w:t>镇人民政府</w:t>
            </w:r>
          </w:p>
        </w:tc>
        <w:tc>
          <w:tcPr>
            <w:tcW w:w="665" w:type="dxa"/>
            <w:gridSpan w:val="4"/>
            <w:vMerge w:val="restart"/>
            <w:tcBorders>
              <w:bottom w:val="nil"/>
            </w:tcBorders>
            <w:vAlign w:val="center"/>
          </w:tcPr>
          <w:p w14:paraId="01245A47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Times New Roman" w:hAnsi="Times New Roman" w:eastAsia="仿宋_GB2312" w:cs="宋体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spacing w:val="0"/>
                <w:sz w:val="24"/>
                <w:szCs w:val="24"/>
                <w:lang w:eastAsia="zh-CN"/>
              </w:rPr>
              <w:t>张科</w:t>
            </w:r>
          </w:p>
        </w:tc>
      </w:tr>
      <w:tr w14:paraId="04038A0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432" w:type="dxa"/>
            <w:vMerge w:val="continue"/>
            <w:tcBorders>
              <w:top w:val="nil"/>
              <w:bottom w:val="nil"/>
            </w:tcBorders>
            <w:vAlign w:val="center"/>
          </w:tcPr>
          <w:p w14:paraId="6F4D3C2A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ascii="Times New Roman" w:hAnsi="Times New Roman" w:eastAsia="仿宋_GB2312"/>
                <w:spacing w:val="0"/>
                <w:sz w:val="24"/>
                <w:szCs w:val="24"/>
              </w:rPr>
            </w:pPr>
          </w:p>
        </w:tc>
        <w:tc>
          <w:tcPr>
            <w:tcW w:w="1742" w:type="dxa"/>
            <w:vMerge w:val="continue"/>
            <w:tcBorders>
              <w:top w:val="nil"/>
              <w:bottom w:val="nil"/>
            </w:tcBorders>
            <w:vAlign w:val="center"/>
          </w:tcPr>
          <w:p w14:paraId="26ADC3CE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ascii="Times New Roman" w:hAnsi="Times New Roman" w:eastAsia="仿宋_GB2312"/>
                <w:spacing w:val="0"/>
                <w:sz w:val="24"/>
                <w:szCs w:val="24"/>
              </w:rPr>
            </w:pPr>
          </w:p>
        </w:tc>
        <w:tc>
          <w:tcPr>
            <w:tcW w:w="1159" w:type="dxa"/>
            <w:gridSpan w:val="2"/>
            <w:vMerge w:val="continue"/>
            <w:tcBorders>
              <w:top w:val="nil"/>
              <w:bottom w:val="nil"/>
            </w:tcBorders>
            <w:vAlign w:val="center"/>
          </w:tcPr>
          <w:p w14:paraId="6FD8569F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ascii="Times New Roman" w:hAnsi="Times New Roman" w:eastAsia="仿宋_GB2312"/>
                <w:spacing w:val="0"/>
                <w:sz w:val="24"/>
                <w:szCs w:val="24"/>
              </w:rPr>
            </w:pPr>
          </w:p>
        </w:tc>
        <w:tc>
          <w:tcPr>
            <w:tcW w:w="2818" w:type="dxa"/>
            <w:vMerge w:val="continue"/>
            <w:tcBorders>
              <w:top w:val="nil"/>
              <w:bottom w:val="nil"/>
            </w:tcBorders>
            <w:vAlign w:val="center"/>
          </w:tcPr>
          <w:p w14:paraId="710E4EE6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both"/>
              <w:textAlignment w:val="auto"/>
              <w:rPr>
                <w:rFonts w:ascii="Times New Roman" w:hAnsi="Times New Roman" w:eastAsia="仿宋_GB2312"/>
                <w:spacing w:val="0"/>
                <w:sz w:val="24"/>
                <w:szCs w:val="24"/>
              </w:rPr>
            </w:pPr>
          </w:p>
        </w:tc>
        <w:tc>
          <w:tcPr>
            <w:tcW w:w="799" w:type="dxa"/>
            <w:vMerge w:val="continue"/>
            <w:tcBorders>
              <w:top w:val="nil"/>
              <w:bottom w:val="nil"/>
            </w:tcBorders>
            <w:vAlign w:val="center"/>
          </w:tcPr>
          <w:p w14:paraId="71755787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ascii="Times New Roman" w:hAnsi="Times New Roman" w:eastAsia="仿宋_GB2312"/>
                <w:spacing w:val="0"/>
                <w:sz w:val="24"/>
                <w:szCs w:val="24"/>
              </w:rPr>
            </w:pPr>
          </w:p>
        </w:tc>
        <w:tc>
          <w:tcPr>
            <w:tcW w:w="780" w:type="dxa"/>
            <w:gridSpan w:val="2"/>
            <w:vMerge w:val="continue"/>
            <w:tcBorders>
              <w:top w:val="nil"/>
              <w:bottom w:val="nil"/>
            </w:tcBorders>
            <w:vAlign w:val="center"/>
          </w:tcPr>
          <w:p w14:paraId="7B069B70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ascii="Times New Roman" w:hAnsi="Times New Roman" w:eastAsia="仿宋_GB2312"/>
                <w:spacing w:val="0"/>
                <w:sz w:val="24"/>
                <w:szCs w:val="24"/>
              </w:rPr>
            </w:pPr>
          </w:p>
        </w:tc>
        <w:tc>
          <w:tcPr>
            <w:tcW w:w="639" w:type="dxa"/>
            <w:vMerge w:val="continue"/>
            <w:tcBorders>
              <w:top w:val="nil"/>
              <w:bottom w:val="nil"/>
            </w:tcBorders>
            <w:vAlign w:val="center"/>
          </w:tcPr>
          <w:p w14:paraId="65194819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ascii="Times New Roman" w:hAnsi="Times New Roman" w:eastAsia="仿宋_GB2312"/>
                <w:spacing w:val="0"/>
                <w:sz w:val="24"/>
                <w:szCs w:val="24"/>
              </w:rPr>
            </w:pPr>
          </w:p>
        </w:tc>
        <w:tc>
          <w:tcPr>
            <w:tcW w:w="650" w:type="dxa"/>
            <w:gridSpan w:val="2"/>
            <w:vMerge w:val="continue"/>
            <w:tcBorders>
              <w:top w:val="nil"/>
              <w:bottom w:val="nil"/>
            </w:tcBorders>
            <w:vAlign w:val="center"/>
          </w:tcPr>
          <w:p w14:paraId="4BEC1E81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ascii="Times New Roman" w:hAnsi="Times New Roman" w:eastAsia="仿宋_GB2312"/>
                <w:spacing w:val="0"/>
                <w:sz w:val="24"/>
                <w:szCs w:val="24"/>
              </w:rPr>
            </w:pPr>
          </w:p>
        </w:tc>
        <w:tc>
          <w:tcPr>
            <w:tcW w:w="1809" w:type="dxa"/>
            <w:vAlign w:val="center"/>
          </w:tcPr>
          <w:p w14:paraId="736A6349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ascii="Times New Roman" w:hAnsi="Times New Roman" w:eastAsia="仿宋_GB2312" w:cs="宋体"/>
                <w:spacing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宋体"/>
                <w:spacing w:val="0"/>
                <w:sz w:val="24"/>
                <w:szCs w:val="24"/>
              </w:rPr>
              <w:t>中央预算内投资</w:t>
            </w:r>
          </w:p>
        </w:tc>
        <w:tc>
          <w:tcPr>
            <w:tcW w:w="869" w:type="dxa"/>
            <w:gridSpan w:val="2"/>
            <w:vAlign w:val="center"/>
          </w:tcPr>
          <w:p w14:paraId="738941C1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宋体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仿宋_GB2312" w:cs="宋体"/>
                <w:spacing w:val="0"/>
                <w:sz w:val="24"/>
                <w:szCs w:val="24"/>
              </w:rPr>
              <w:t>2</w:t>
            </w:r>
            <w:r>
              <w:rPr>
                <w:rFonts w:hint="eastAsia" w:ascii="Times New Roman" w:hAnsi="Times New Roman" w:eastAsia="仿宋_GB2312" w:cs="宋体"/>
                <w:spacing w:val="0"/>
                <w:sz w:val="24"/>
                <w:szCs w:val="24"/>
                <w:lang w:val="en-US" w:eastAsia="zh-CN"/>
              </w:rPr>
              <w:t>46</w:t>
            </w:r>
          </w:p>
        </w:tc>
        <w:tc>
          <w:tcPr>
            <w:tcW w:w="969" w:type="dxa"/>
            <w:gridSpan w:val="2"/>
            <w:vAlign w:val="center"/>
          </w:tcPr>
          <w:p w14:paraId="30C7FF2E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宋体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仿宋_GB2312" w:cs="宋体"/>
                <w:spacing w:val="0"/>
                <w:sz w:val="24"/>
                <w:szCs w:val="24"/>
              </w:rPr>
              <w:t>2</w:t>
            </w:r>
            <w:r>
              <w:rPr>
                <w:rFonts w:hint="eastAsia" w:ascii="Times New Roman" w:hAnsi="Times New Roman" w:eastAsia="仿宋_GB2312" w:cs="宋体"/>
                <w:spacing w:val="0"/>
                <w:sz w:val="24"/>
                <w:szCs w:val="24"/>
                <w:lang w:val="en-US" w:eastAsia="zh-CN"/>
              </w:rPr>
              <w:t>46</w:t>
            </w:r>
          </w:p>
        </w:tc>
        <w:tc>
          <w:tcPr>
            <w:tcW w:w="1019" w:type="dxa"/>
            <w:gridSpan w:val="3"/>
            <w:vMerge w:val="continue"/>
            <w:tcBorders>
              <w:top w:val="nil"/>
              <w:bottom w:val="nil"/>
            </w:tcBorders>
            <w:vAlign w:val="center"/>
          </w:tcPr>
          <w:p w14:paraId="26A397C9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ascii="Times New Roman" w:hAnsi="Times New Roman" w:eastAsia="仿宋_GB2312"/>
                <w:spacing w:val="0"/>
                <w:sz w:val="24"/>
                <w:szCs w:val="24"/>
              </w:rPr>
            </w:pPr>
          </w:p>
        </w:tc>
        <w:tc>
          <w:tcPr>
            <w:tcW w:w="1139" w:type="dxa"/>
            <w:gridSpan w:val="2"/>
            <w:vMerge w:val="continue"/>
            <w:tcBorders>
              <w:top w:val="nil"/>
              <w:bottom w:val="nil"/>
            </w:tcBorders>
            <w:vAlign w:val="center"/>
          </w:tcPr>
          <w:p w14:paraId="1A7F0C79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ascii="Times New Roman" w:hAnsi="Times New Roman" w:eastAsia="仿宋_GB2312"/>
                <w:spacing w:val="0"/>
                <w:sz w:val="24"/>
                <w:szCs w:val="24"/>
              </w:rPr>
            </w:pPr>
          </w:p>
        </w:tc>
        <w:tc>
          <w:tcPr>
            <w:tcW w:w="665" w:type="dxa"/>
            <w:gridSpan w:val="4"/>
            <w:vMerge w:val="continue"/>
            <w:tcBorders>
              <w:top w:val="nil"/>
              <w:bottom w:val="nil"/>
            </w:tcBorders>
            <w:vAlign w:val="center"/>
          </w:tcPr>
          <w:p w14:paraId="2BBB37D2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ascii="Times New Roman" w:hAnsi="Times New Roman" w:eastAsia="仿宋_GB2312"/>
                <w:spacing w:val="0"/>
                <w:sz w:val="24"/>
                <w:szCs w:val="24"/>
              </w:rPr>
            </w:pPr>
          </w:p>
        </w:tc>
      </w:tr>
      <w:tr w14:paraId="4224C43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432" w:type="dxa"/>
            <w:vMerge w:val="continue"/>
            <w:tcBorders>
              <w:top w:val="nil"/>
              <w:bottom w:val="nil"/>
            </w:tcBorders>
            <w:vAlign w:val="center"/>
          </w:tcPr>
          <w:p w14:paraId="1FA75599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ascii="Times New Roman" w:hAnsi="Times New Roman" w:eastAsia="仿宋_GB2312"/>
                <w:spacing w:val="0"/>
                <w:sz w:val="24"/>
                <w:szCs w:val="24"/>
              </w:rPr>
            </w:pPr>
          </w:p>
        </w:tc>
        <w:tc>
          <w:tcPr>
            <w:tcW w:w="1742" w:type="dxa"/>
            <w:vMerge w:val="continue"/>
            <w:tcBorders>
              <w:top w:val="nil"/>
              <w:bottom w:val="nil"/>
            </w:tcBorders>
            <w:vAlign w:val="center"/>
          </w:tcPr>
          <w:p w14:paraId="58233AED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ascii="Times New Roman" w:hAnsi="Times New Roman" w:eastAsia="仿宋_GB2312"/>
                <w:spacing w:val="0"/>
                <w:sz w:val="24"/>
                <w:szCs w:val="24"/>
              </w:rPr>
            </w:pPr>
          </w:p>
        </w:tc>
        <w:tc>
          <w:tcPr>
            <w:tcW w:w="1159" w:type="dxa"/>
            <w:gridSpan w:val="2"/>
            <w:vMerge w:val="continue"/>
            <w:tcBorders>
              <w:top w:val="nil"/>
              <w:bottom w:val="nil"/>
            </w:tcBorders>
            <w:vAlign w:val="center"/>
          </w:tcPr>
          <w:p w14:paraId="650E641F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ascii="Times New Roman" w:hAnsi="Times New Roman" w:eastAsia="仿宋_GB2312"/>
                <w:spacing w:val="0"/>
                <w:sz w:val="24"/>
                <w:szCs w:val="24"/>
              </w:rPr>
            </w:pPr>
          </w:p>
        </w:tc>
        <w:tc>
          <w:tcPr>
            <w:tcW w:w="2818" w:type="dxa"/>
            <w:vMerge w:val="continue"/>
            <w:tcBorders>
              <w:top w:val="nil"/>
              <w:bottom w:val="nil"/>
            </w:tcBorders>
            <w:vAlign w:val="center"/>
          </w:tcPr>
          <w:p w14:paraId="11AF073E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both"/>
              <w:textAlignment w:val="auto"/>
              <w:rPr>
                <w:rFonts w:ascii="Times New Roman" w:hAnsi="Times New Roman" w:eastAsia="仿宋_GB2312"/>
                <w:spacing w:val="0"/>
                <w:sz w:val="24"/>
                <w:szCs w:val="24"/>
              </w:rPr>
            </w:pPr>
          </w:p>
        </w:tc>
        <w:tc>
          <w:tcPr>
            <w:tcW w:w="799" w:type="dxa"/>
            <w:vMerge w:val="continue"/>
            <w:tcBorders>
              <w:top w:val="nil"/>
              <w:bottom w:val="nil"/>
            </w:tcBorders>
            <w:vAlign w:val="center"/>
          </w:tcPr>
          <w:p w14:paraId="34F0769A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ascii="Times New Roman" w:hAnsi="Times New Roman" w:eastAsia="仿宋_GB2312"/>
                <w:spacing w:val="0"/>
                <w:sz w:val="24"/>
                <w:szCs w:val="24"/>
              </w:rPr>
            </w:pPr>
          </w:p>
        </w:tc>
        <w:tc>
          <w:tcPr>
            <w:tcW w:w="780" w:type="dxa"/>
            <w:gridSpan w:val="2"/>
            <w:vMerge w:val="continue"/>
            <w:tcBorders>
              <w:top w:val="nil"/>
              <w:bottom w:val="nil"/>
            </w:tcBorders>
            <w:vAlign w:val="center"/>
          </w:tcPr>
          <w:p w14:paraId="650B148D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ascii="Times New Roman" w:hAnsi="Times New Roman" w:eastAsia="仿宋_GB2312"/>
                <w:spacing w:val="0"/>
                <w:sz w:val="24"/>
                <w:szCs w:val="24"/>
              </w:rPr>
            </w:pPr>
          </w:p>
        </w:tc>
        <w:tc>
          <w:tcPr>
            <w:tcW w:w="639" w:type="dxa"/>
            <w:vMerge w:val="continue"/>
            <w:tcBorders>
              <w:top w:val="nil"/>
              <w:bottom w:val="nil"/>
            </w:tcBorders>
            <w:vAlign w:val="center"/>
          </w:tcPr>
          <w:p w14:paraId="0DA10740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ascii="Times New Roman" w:hAnsi="Times New Roman" w:eastAsia="仿宋_GB2312"/>
                <w:spacing w:val="0"/>
                <w:sz w:val="24"/>
                <w:szCs w:val="24"/>
              </w:rPr>
            </w:pPr>
          </w:p>
        </w:tc>
        <w:tc>
          <w:tcPr>
            <w:tcW w:w="650" w:type="dxa"/>
            <w:gridSpan w:val="2"/>
            <w:vMerge w:val="continue"/>
            <w:tcBorders>
              <w:top w:val="nil"/>
              <w:bottom w:val="nil"/>
            </w:tcBorders>
            <w:vAlign w:val="center"/>
          </w:tcPr>
          <w:p w14:paraId="0C742EDC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ascii="Times New Roman" w:hAnsi="Times New Roman" w:eastAsia="仿宋_GB2312"/>
                <w:spacing w:val="0"/>
                <w:sz w:val="24"/>
                <w:szCs w:val="24"/>
              </w:rPr>
            </w:pPr>
          </w:p>
        </w:tc>
        <w:tc>
          <w:tcPr>
            <w:tcW w:w="1809" w:type="dxa"/>
            <w:vAlign w:val="center"/>
          </w:tcPr>
          <w:p w14:paraId="5540CB4F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ascii="Times New Roman" w:hAnsi="Times New Roman" w:eastAsia="仿宋_GB2312" w:cs="宋体"/>
                <w:spacing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宋体"/>
                <w:spacing w:val="0"/>
                <w:sz w:val="24"/>
                <w:szCs w:val="24"/>
              </w:rPr>
              <w:t>地方投资</w:t>
            </w:r>
          </w:p>
        </w:tc>
        <w:tc>
          <w:tcPr>
            <w:tcW w:w="869" w:type="dxa"/>
            <w:gridSpan w:val="2"/>
            <w:vAlign w:val="center"/>
          </w:tcPr>
          <w:p w14:paraId="04DA801F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Times New Roman" w:hAnsi="Times New Roman" w:eastAsia="仿宋_GB2312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69" w:type="dxa"/>
            <w:gridSpan w:val="2"/>
            <w:vAlign w:val="center"/>
          </w:tcPr>
          <w:p w14:paraId="576E31F5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ascii="Times New Roman" w:hAnsi="Times New Roman" w:eastAsia="仿宋_GB2312"/>
                <w:spacing w:val="0"/>
                <w:sz w:val="24"/>
                <w:szCs w:val="24"/>
              </w:rPr>
            </w:pPr>
          </w:p>
        </w:tc>
        <w:tc>
          <w:tcPr>
            <w:tcW w:w="1019" w:type="dxa"/>
            <w:gridSpan w:val="3"/>
            <w:vMerge w:val="continue"/>
            <w:tcBorders>
              <w:top w:val="nil"/>
              <w:bottom w:val="nil"/>
            </w:tcBorders>
            <w:vAlign w:val="center"/>
          </w:tcPr>
          <w:p w14:paraId="1D8501F4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ascii="Times New Roman" w:hAnsi="Times New Roman" w:eastAsia="仿宋_GB2312"/>
                <w:spacing w:val="0"/>
                <w:sz w:val="24"/>
                <w:szCs w:val="24"/>
              </w:rPr>
            </w:pPr>
          </w:p>
        </w:tc>
        <w:tc>
          <w:tcPr>
            <w:tcW w:w="1139" w:type="dxa"/>
            <w:gridSpan w:val="2"/>
            <w:vMerge w:val="continue"/>
            <w:tcBorders>
              <w:top w:val="nil"/>
              <w:bottom w:val="nil"/>
            </w:tcBorders>
            <w:vAlign w:val="center"/>
          </w:tcPr>
          <w:p w14:paraId="006211ED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ascii="Times New Roman" w:hAnsi="Times New Roman" w:eastAsia="仿宋_GB2312"/>
                <w:spacing w:val="0"/>
                <w:sz w:val="24"/>
                <w:szCs w:val="24"/>
              </w:rPr>
            </w:pPr>
          </w:p>
        </w:tc>
        <w:tc>
          <w:tcPr>
            <w:tcW w:w="665" w:type="dxa"/>
            <w:gridSpan w:val="4"/>
            <w:vMerge w:val="continue"/>
            <w:tcBorders>
              <w:top w:val="nil"/>
              <w:bottom w:val="nil"/>
            </w:tcBorders>
            <w:vAlign w:val="center"/>
          </w:tcPr>
          <w:p w14:paraId="4CC31634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ascii="Times New Roman" w:hAnsi="Times New Roman" w:eastAsia="仿宋_GB2312"/>
                <w:spacing w:val="0"/>
                <w:sz w:val="24"/>
                <w:szCs w:val="24"/>
              </w:rPr>
            </w:pPr>
          </w:p>
        </w:tc>
      </w:tr>
      <w:tr w14:paraId="44AA6BD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432" w:type="dxa"/>
            <w:vMerge w:val="continue"/>
            <w:tcBorders>
              <w:top w:val="nil"/>
            </w:tcBorders>
            <w:vAlign w:val="center"/>
          </w:tcPr>
          <w:p w14:paraId="01A23EF5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ascii="Times New Roman" w:hAnsi="Times New Roman" w:eastAsia="仿宋_GB2312"/>
                <w:spacing w:val="0"/>
                <w:sz w:val="24"/>
                <w:szCs w:val="24"/>
              </w:rPr>
            </w:pPr>
          </w:p>
        </w:tc>
        <w:tc>
          <w:tcPr>
            <w:tcW w:w="1742" w:type="dxa"/>
            <w:vMerge w:val="continue"/>
            <w:tcBorders>
              <w:top w:val="nil"/>
            </w:tcBorders>
            <w:vAlign w:val="center"/>
          </w:tcPr>
          <w:p w14:paraId="1C392C4D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ascii="Times New Roman" w:hAnsi="Times New Roman" w:eastAsia="仿宋_GB2312"/>
                <w:spacing w:val="0"/>
                <w:sz w:val="24"/>
                <w:szCs w:val="24"/>
              </w:rPr>
            </w:pPr>
          </w:p>
        </w:tc>
        <w:tc>
          <w:tcPr>
            <w:tcW w:w="1159" w:type="dxa"/>
            <w:gridSpan w:val="2"/>
            <w:vMerge w:val="continue"/>
            <w:tcBorders>
              <w:top w:val="nil"/>
            </w:tcBorders>
            <w:vAlign w:val="center"/>
          </w:tcPr>
          <w:p w14:paraId="7CECA621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ascii="Times New Roman" w:hAnsi="Times New Roman" w:eastAsia="仿宋_GB2312"/>
                <w:spacing w:val="0"/>
                <w:sz w:val="24"/>
                <w:szCs w:val="24"/>
              </w:rPr>
            </w:pPr>
          </w:p>
        </w:tc>
        <w:tc>
          <w:tcPr>
            <w:tcW w:w="2818" w:type="dxa"/>
            <w:vMerge w:val="continue"/>
            <w:tcBorders>
              <w:top w:val="nil"/>
            </w:tcBorders>
            <w:vAlign w:val="center"/>
          </w:tcPr>
          <w:p w14:paraId="799D171B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both"/>
              <w:textAlignment w:val="auto"/>
              <w:rPr>
                <w:rFonts w:ascii="Times New Roman" w:hAnsi="Times New Roman" w:eastAsia="仿宋_GB2312"/>
                <w:spacing w:val="0"/>
                <w:sz w:val="24"/>
                <w:szCs w:val="24"/>
              </w:rPr>
            </w:pPr>
          </w:p>
        </w:tc>
        <w:tc>
          <w:tcPr>
            <w:tcW w:w="799" w:type="dxa"/>
            <w:vMerge w:val="continue"/>
            <w:tcBorders>
              <w:top w:val="nil"/>
            </w:tcBorders>
            <w:vAlign w:val="center"/>
          </w:tcPr>
          <w:p w14:paraId="21747B80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ascii="Times New Roman" w:hAnsi="Times New Roman" w:eastAsia="仿宋_GB2312"/>
                <w:spacing w:val="0"/>
                <w:sz w:val="24"/>
                <w:szCs w:val="24"/>
              </w:rPr>
            </w:pPr>
          </w:p>
        </w:tc>
        <w:tc>
          <w:tcPr>
            <w:tcW w:w="780" w:type="dxa"/>
            <w:gridSpan w:val="2"/>
            <w:vMerge w:val="continue"/>
            <w:tcBorders>
              <w:top w:val="nil"/>
            </w:tcBorders>
            <w:vAlign w:val="center"/>
          </w:tcPr>
          <w:p w14:paraId="2617ABE0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ascii="Times New Roman" w:hAnsi="Times New Roman" w:eastAsia="仿宋_GB2312"/>
                <w:spacing w:val="0"/>
                <w:sz w:val="24"/>
                <w:szCs w:val="24"/>
              </w:rPr>
            </w:pPr>
          </w:p>
        </w:tc>
        <w:tc>
          <w:tcPr>
            <w:tcW w:w="639" w:type="dxa"/>
            <w:vMerge w:val="continue"/>
            <w:tcBorders>
              <w:top w:val="nil"/>
            </w:tcBorders>
            <w:vAlign w:val="center"/>
          </w:tcPr>
          <w:p w14:paraId="74E77F9E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ascii="Times New Roman" w:hAnsi="Times New Roman" w:eastAsia="仿宋_GB2312"/>
                <w:spacing w:val="0"/>
                <w:sz w:val="24"/>
                <w:szCs w:val="24"/>
              </w:rPr>
            </w:pPr>
          </w:p>
        </w:tc>
        <w:tc>
          <w:tcPr>
            <w:tcW w:w="650" w:type="dxa"/>
            <w:gridSpan w:val="2"/>
            <w:vMerge w:val="continue"/>
            <w:tcBorders>
              <w:top w:val="nil"/>
            </w:tcBorders>
            <w:vAlign w:val="center"/>
          </w:tcPr>
          <w:p w14:paraId="42253322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ascii="Times New Roman" w:hAnsi="Times New Roman" w:eastAsia="仿宋_GB2312"/>
                <w:spacing w:val="0"/>
                <w:sz w:val="24"/>
                <w:szCs w:val="24"/>
              </w:rPr>
            </w:pPr>
          </w:p>
        </w:tc>
        <w:tc>
          <w:tcPr>
            <w:tcW w:w="1809" w:type="dxa"/>
            <w:vAlign w:val="center"/>
          </w:tcPr>
          <w:p w14:paraId="019CADAD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ascii="Times New Roman" w:hAnsi="Times New Roman" w:eastAsia="仿宋_GB2312" w:cs="宋体"/>
                <w:spacing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宋体"/>
                <w:spacing w:val="0"/>
                <w:sz w:val="24"/>
                <w:szCs w:val="24"/>
              </w:rPr>
              <w:t>其他投资</w:t>
            </w:r>
          </w:p>
        </w:tc>
        <w:tc>
          <w:tcPr>
            <w:tcW w:w="869" w:type="dxa"/>
            <w:gridSpan w:val="2"/>
            <w:vAlign w:val="center"/>
          </w:tcPr>
          <w:p w14:paraId="3CCBD102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ascii="Times New Roman" w:hAnsi="Times New Roman" w:eastAsia="仿宋_GB2312" w:cs="宋体"/>
                <w:spacing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宋体"/>
                <w:spacing w:val="0"/>
                <w:sz w:val="24"/>
                <w:szCs w:val="24"/>
              </w:rPr>
              <w:t>12</w:t>
            </w:r>
          </w:p>
        </w:tc>
        <w:tc>
          <w:tcPr>
            <w:tcW w:w="969" w:type="dxa"/>
            <w:gridSpan w:val="2"/>
            <w:vAlign w:val="center"/>
          </w:tcPr>
          <w:p w14:paraId="43B22432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ascii="Times New Roman" w:hAnsi="Times New Roman" w:eastAsia="仿宋_GB2312"/>
                <w:spacing w:val="0"/>
                <w:sz w:val="24"/>
                <w:szCs w:val="24"/>
              </w:rPr>
            </w:pPr>
          </w:p>
        </w:tc>
        <w:tc>
          <w:tcPr>
            <w:tcW w:w="1019" w:type="dxa"/>
            <w:gridSpan w:val="3"/>
            <w:vMerge w:val="continue"/>
            <w:tcBorders>
              <w:top w:val="nil"/>
            </w:tcBorders>
            <w:vAlign w:val="center"/>
          </w:tcPr>
          <w:p w14:paraId="0F781AAC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ascii="Times New Roman" w:hAnsi="Times New Roman" w:eastAsia="仿宋_GB2312"/>
                <w:spacing w:val="0"/>
                <w:sz w:val="24"/>
                <w:szCs w:val="24"/>
              </w:rPr>
            </w:pPr>
          </w:p>
        </w:tc>
        <w:tc>
          <w:tcPr>
            <w:tcW w:w="1139" w:type="dxa"/>
            <w:gridSpan w:val="2"/>
            <w:vMerge w:val="continue"/>
            <w:tcBorders>
              <w:top w:val="nil"/>
            </w:tcBorders>
            <w:vAlign w:val="center"/>
          </w:tcPr>
          <w:p w14:paraId="4204D657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ascii="Times New Roman" w:hAnsi="Times New Roman" w:eastAsia="仿宋_GB2312"/>
                <w:spacing w:val="0"/>
                <w:sz w:val="24"/>
                <w:szCs w:val="24"/>
              </w:rPr>
            </w:pPr>
          </w:p>
        </w:tc>
        <w:tc>
          <w:tcPr>
            <w:tcW w:w="665" w:type="dxa"/>
            <w:gridSpan w:val="4"/>
            <w:vMerge w:val="continue"/>
            <w:tcBorders>
              <w:top w:val="nil"/>
            </w:tcBorders>
            <w:vAlign w:val="center"/>
          </w:tcPr>
          <w:p w14:paraId="52E7CF61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ascii="Times New Roman" w:hAnsi="Times New Roman" w:eastAsia="仿宋_GB2312"/>
                <w:spacing w:val="0"/>
                <w:sz w:val="24"/>
                <w:szCs w:val="24"/>
              </w:rPr>
            </w:pPr>
          </w:p>
        </w:tc>
      </w:tr>
      <w:tr w14:paraId="1D04D2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" w:type="dxa"/>
          <w:cantSplit/>
          <w:trHeight w:val="425" w:hRule="atLeast"/>
          <w:jc w:val="center"/>
        </w:trPr>
        <w:tc>
          <w:tcPr>
            <w:tcW w:w="432" w:type="dxa"/>
            <w:vMerge w:val="restart"/>
            <w:tcBorders>
              <w:bottom w:val="nil"/>
            </w:tcBorders>
            <w:vAlign w:val="center"/>
          </w:tcPr>
          <w:p w14:paraId="055C874C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ascii="Times New Roman" w:hAnsi="Times New Roman" w:eastAsia="仿宋_GB2312" w:cs="宋体"/>
                <w:spacing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宋体"/>
                <w:spacing w:val="0"/>
                <w:sz w:val="24"/>
                <w:szCs w:val="24"/>
              </w:rPr>
              <w:t>2</w:t>
            </w:r>
          </w:p>
        </w:tc>
        <w:tc>
          <w:tcPr>
            <w:tcW w:w="1742" w:type="dxa"/>
            <w:vMerge w:val="restart"/>
            <w:tcBorders>
              <w:bottom w:val="nil"/>
            </w:tcBorders>
            <w:vAlign w:val="center"/>
          </w:tcPr>
          <w:p w14:paraId="2DCDABB6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ascii="Times New Roman" w:hAnsi="Times New Roman" w:eastAsia="仿宋_GB2312" w:cs="宋体"/>
                <w:spacing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  <w:t>湘潭县</w:t>
            </w:r>
            <w:r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  <w:t>花石镇</w:t>
            </w:r>
            <w:r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  <w:t>202</w:t>
            </w:r>
            <w:r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val="en-US" w:eastAsia="zh-CN"/>
              </w:rPr>
              <w:t>6</w:t>
            </w:r>
            <w:r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  <w:t>农业</w:t>
            </w:r>
            <w:r>
              <w:rPr>
                <w:rFonts w:ascii="Times New Roman" w:hAnsi="Times New Roman" w:eastAsia="仿宋_GB2312" w:cs="仿宋_GB2312"/>
                <w:spacing w:val="0"/>
                <w:w w:val="100"/>
                <w:sz w:val="24"/>
                <w:szCs w:val="24"/>
              </w:rPr>
              <w:t>农村中小型基础设施以工代赈项目</w:t>
            </w:r>
          </w:p>
        </w:tc>
        <w:tc>
          <w:tcPr>
            <w:tcW w:w="1159" w:type="dxa"/>
            <w:gridSpan w:val="2"/>
            <w:vMerge w:val="restart"/>
            <w:tcBorders>
              <w:bottom w:val="nil"/>
            </w:tcBorders>
            <w:vAlign w:val="center"/>
          </w:tcPr>
          <w:p w14:paraId="23F9188C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ascii="Times New Roman" w:hAnsi="Times New Roman" w:eastAsia="仿宋_GB2312" w:cs="宋体"/>
                <w:spacing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宋体"/>
                <w:spacing w:val="0"/>
                <w:sz w:val="24"/>
                <w:szCs w:val="24"/>
              </w:rPr>
              <w:t>2508-430321-04-01-553625</w:t>
            </w:r>
          </w:p>
        </w:tc>
        <w:tc>
          <w:tcPr>
            <w:tcW w:w="2818" w:type="dxa"/>
            <w:vMerge w:val="restart"/>
            <w:tcBorders>
              <w:bottom w:val="nil"/>
            </w:tcBorders>
            <w:vAlign w:val="center"/>
          </w:tcPr>
          <w:p w14:paraId="37574297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both"/>
              <w:textAlignment w:val="auto"/>
              <w:rPr>
                <w:rFonts w:ascii="Times New Roman" w:hAnsi="Times New Roman" w:eastAsia="仿宋_GB2312" w:cs="宋体"/>
                <w:spacing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eastAsia="zh-CN"/>
              </w:rPr>
              <w:t>生产道路改造</w:t>
            </w:r>
            <w:r>
              <w:rPr>
                <w:rFonts w:hint="eastAsia" w:ascii="Times New Roman" w:hAnsi="Times New Roman" w:eastAsia="仿宋_GB2312" w:cs="仿宋_GB2312"/>
                <w:spacing w:val="0"/>
                <w:w w:val="100"/>
                <w:sz w:val="24"/>
                <w:szCs w:val="24"/>
                <w:lang w:val="en-US" w:eastAsia="zh-CN"/>
              </w:rPr>
              <w:t>3850米，沟渠清淤护坡硬化1770米。</w:t>
            </w:r>
          </w:p>
        </w:tc>
        <w:tc>
          <w:tcPr>
            <w:tcW w:w="800" w:type="dxa"/>
            <w:gridSpan w:val="2"/>
            <w:vMerge w:val="restart"/>
            <w:tcBorders>
              <w:bottom w:val="nil"/>
            </w:tcBorders>
            <w:vAlign w:val="center"/>
          </w:tcPr>
          <w:p w14:paraId="320121DA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ascii="Times New Roman" w:hAnsi="Times New Roman" w:eastAsia="仿宋_GB2312" w:cs="宋体"/>
                <w:spacing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宋体"/>
                <w:spacing w:val="0"/>
                <w:sz w:val="24"/>
                <w:szCs w:val="24"/>
              </w:rPr>
              <w:t>湘潭市</w:t>
            </w:r>
          </w:p>
        </w:tc>
        <w:tc>
          <w:tcPr>
            <w:tcW w:w="779" w:type="dxa"/>
            <w:vMerge w:val="restart"/>
            <w:tcBorders>
              <w:bottom w:val="nil"/>
            </w:tcBorders>
            <w:vAlign w:val="center"/>
          </w:tcPr>
          <w:p w14:paraId="06861C96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ascii="Times New Roman" w:hAnsi="Times New Roman" w:eastAsia="仿宋_GB2312" w:cs="宋体"/>
                <w:spacing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宋体"/>
                <w:spacing w:val="0"/>
                <w:sz w:val="24"/>
                <w:szCs w:val="24"/>
              </w:rPr>
              <w:t>湘潭县</w:t>
            </w:r>
          </w:p>
        </w:tc>
        <w:tc>
          <w:tcPr>
            <w:tcW w:w="640" w:type="dxa"/>
            <w:gridSpan w:val="2"/>
            <w:vMerge w:val="restart"/>
            <w:tcBorders>
              <w:bottom w:val="nil"/>
            </w:tcBorders>
            <w:vAlign w:val="center"/>
          </w:tcPr>
          <w:p w14:paraId="52516FA8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ascii="Times New Roman" w:hAnsi="Times New Roman" w:eastAsia="仿宋_GB2312" w:cs="宋体"/>
                <w:spacing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宋体"/>
                <w:spacing w:val="0"/>
                <w:sz w:val="24"/>
                <w:szCs w:val="24"/>
              </w:rPr>
              <w:t>2025</w:t>
            </w:r>
          </w:p>
        </w:tc>
        <w:tc>
          <w:tcPr>
            <w:tcW w:w="649" w:type="dxa"/>
            <w:vMerge w:val="restart"/>
            <w:tcBorders>
              <w:bottom w:val="nil"/>
            </w:tcBorders>
            <w:vAlign w:val="center"/>
          </w:tcPr>
          <w:p w14:paraId="57147183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Times New Roman" w:hAnsi="Times New Roman" w:eastAsia="仿宋_GB2312" w:cs="宋体"/>
                <w:spacing w:val="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仿宋_GB2312" w:cs="宋体"/>
                <w:spacing w:val="0"/>
                <w:sz w:val="24"/>
                <w:szCs w:val="24"/>
              </w:rPr>
              <w:t>202</w:t>
            </w:r>
            <w:r>
              <w:rPr>
                <w:rFonts w:hint="eastAsia" w:ascii="Times New Roman" w:hAnsi="Times New Roman" w:eastAsia="仿宋_GB2312" w:cs="宋体"/>
                <w:spacing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810" w:type="dxa"/>
            <w:gridSpan w:val="2"/>
            <w:vAlign w:val="center"/>
          </w:tcPr>
          <w:p w14:paraId="2538EDED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ascii="Times New Roman" w:hAnsi="Times New Roman" w:eastAsia="仿宋_GB2312" w:cs="宋体"/>
                <w:spacing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宋体"/>
                <w:spacing w:val="0"/>
                <w:sz w:val="24"/>
                <w:szCs w:val="24"/>
              </w:rPr>
              <w:t>总投资</w:t>
            </w:r>
          </w:p>
        </w:tc>
        <w:tc>
          <w:tcPr>
            <w:tcW w:w="869" w:type="dxa"/>
            <w:gridSpan w:val="2"/>
            <w:vAlign w:val="center"/>
          </w:tcPr>
          <w:p w14:paraId="3DF2BEC1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ascii="Times New Roman" w:hAnsi="Times New Roman" w:eastAsia="仿宋_GB2312" w:cs="宋体"/>
                <w:spacing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宋体"/>
                <w:spacing w:val="0"/>
                <w:sz w:val="24"/>
                <w:szCs w:val="24"/>
              </w:rPr>
              <w:t>2</w:t>
            </w:r>
            <w:r>
              <w:rPr>
                <w:rFonts w:hint="eastAsia" w:ascii="Times New Roman" w:hAnsi="Times New Roman" w:eastAsia="仿宋_GB2312" w:cs="宋体"/>
                <w:spacing w:val="0"/>
                <w:sz w:val="24"/>
                <w:szCs w:val="24"/>
                <w:lang w:val="en-US" w:eastAsia="zh-CN"/>
              </w:rPr>
              <w:t>9</w:t>
            </w:r>
            <w:r>
              <w:rPr>
                <w:rFonts w:ascii="Times New Roman" w:hAnsi="Times New Roman" w:eastAsia="仿宋_GB2312" w:cs="宋体"/>
                <w:spacing w:val="0"/>
                <w:sz w:val="24"/>
                <w:szCs w:val="24"/>
              </w:rPr>
              <w:t>0</w:t>
            </w:r>
          </w:p>
        </w:tc>
        <w:tc>
          <w:tcPr>
            <w:tcW w:w="969" w:type="dxa"/>
            <w:gridSpan w:val="2"/>
            <w:vAlign w:val="center"/>
          </w:tcPr>
          <w:p w14:paraId="4760E56E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宋体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仿宋_GB2312" w:cs="宋体"/>
                <w:spacing w:val="0"/>
                <w:sz w:val="24"/>
                <w:szCs w:val="24"/>
              </w:rPr>
              <w:t>2</w:t>
            </w:r>
            <w:r>
              <w:rPr>
                <w:rFonts w:hint="eastAsia" w:ascii="Times New Roman" w:hAnsi="Times New Roman" w:eastAsia="仿宋_GB2312" w:cs="宋体"/>
                <w:spacing w:val="0"/>
                <w:sz w:val="24"/>
                <w:szCs w:val="24"/>
                <w:lang w:val="en-US" w:eastAsia="zh-CN"/>
              </w:rPr>
              <w:t>75</w:t>
            </w:r>
          </w:p>
        </w:tc>
        <w:tc>
          <w:tcPr>
            <w:tcW w:w="1019" w:type="dxa"/>
            <w:gridSpan w:val="3"/>
            <w:vMerge w:val="restart"/>
            <w:tcBorders>
              <w:bottom w:val="nil"/>
            </w:tcBorders>
            <w:vAlign w:val="center"/>
          </w:tcPr>
          <w:p w14:paraId="157247F5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ascii="Times New Roman" w:hAnsi="Times New Roman" w:eastAsia="仿宋_GB2312" w:cs="宋体"/>
                <w:spacing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宋体"/>
                <w:spacing w:val="0"/>
                <w:sz w:val="24"/>
                <w:szCs w:val="24"/>
              </w:rPr>
              <w:t>直接投资</w:t>
            </w:r>
          </w:p>
        </w:tc>
        <w:tc>
          <w:tcPr>
            <w:tcW w:w="1139" w:type="dxa"/>
            <w:gridSpan w:val="2"/>
            <w:vMerge w:val="restart"/>
            <w:tcBorders>
              <w:bottom w:val="nil"/>
            </w:tcBorders>
            <w:vAlign w:val="center"/>
          </w:tcPr>
          <w:p w14:paraId="77E15ED7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ascii="Times New Roman" w:hAnsi="Times New Roman" w:eastAsia="仿宋_GB2312" w:cs="宋体"/>
                <w:spacing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宋体"/>
                <w:spacing w:val="0"/>
                <w:sz w:val="24"/>
                <w:szCs w:val="24"/>
              </w:rPr>
              <w:t>湘潭县</w:t>
            </w:r>
          </w:p>
          <w:p w14:paraId="6C612939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ascii="Times New Roman" w:hAnsi="Times New Roman" w:eastAsia="仿宋_GB2312" w:cs="宋体"/>
                <w:spacing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宋体"/>
                <w:spacing w:val="0"/>
                <w:sz w:val="24"/>
                <w:szCs w:val="24"/>
                <w:lang w:eastAsia="zh-CN"/>
              </w:rPr>
              <w:t>花石</w:t>
            </w:r>
            <w:r>
              <w:rPr>
                <w:rFonts w:ascii="Times New Roman" w:hAnsi="Times New Roman" w:eastAsia="仿宋_GB2312" w:cs="宋体"/>
                <w:spacing w:val="0"/>
                <w:sz w:val="24"/>
                <w:szCs w:val="24"/>
              </w:rPr>
              <w:t>镇</w:t>
            </w:r>
          </w:p>
          <w:p w14:paraId="3A25B94D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ascii="Times New Roman" w:hAnsi="Times New Roman" w:eastAsia="仿宋_GB2312" w:cs="宋体"/>
                <w:spacing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宋体"/>
                <w:spacing w:val="0"/>
                <w:sz w:val="24"/>
                <w:szCs w:val="24"/>
              </w:rPr>
              <w:t>人民政府</w:t>
            </w:r>
          </w:p>
        </w:tc>
        <w:tc>
          <w:tcPr>
            <w:tcW w:w="655" w:type="dxa"/>
            <w:gridSpan w:val="2"/>
            <w:vMerge w:val="restart"/>
            <w:tcBorders>
              <w:bottom w:val="nil"/>
            </w:tcBorders>
            <w:vAlign w:val="center"/>
          </w:tcPr>
          <w:p w14:paraId="560EBE1B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Times New Roman" w:hAnsi="Times New Roman" w:eastAsia="仿宋_GB2312" w:cs="宋体"/>
                <w:spacing w:val="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仿宋_GB2312" w:cs="宋体"/>
                <w:spacing w:val="0"/>
                <w:sz w:val="24"/>
                <w:szCs w:val="24"/>
              </w:rPr>
              <w:t>张</w:t>
            </w:r>
            <w:r>
              <w:rPr>
                <w:rFonts w:hint="eastAsia" w:ascii="Times New Roman" w:hAnsi="Times New Roman" w:eastAsia="仿宋_GB2312" w:cs="宋体"/>
                <w:spacing w:val="0"/>
                <w:sz w:val="24"/>
                <w:szCs w:val="24"/>
                <w:lang w:eastAsia="zh-CN"/>
              </w:rPr>
              <w:t>恩奇</w:t>
            </w:r>
          </w:p>
        </w:tc>
      </w:tr>
      <w:tr w14:paraId="284B74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" w:type="dxa"/>
          <w:cantSplit/>
          <w:trHeight w:val="425" w:hRule="atLeast"/>
          <w:jc w:val="center"/>
        </w:trPr>
        <w:tc>
          <w:tcPr>
            <w:tcW w:w="432" w:type="dxa"/>
            <w:vMerge w:val="continue"/>
            <w:tcBorders>
              <w:top w:val="nil"/>
              <w:bottom w:val="nil"/>
            </w:tcBorders>
            <w:vAlign w:val="center"/>
          </w:tcPr>
          <w:p w14:paraId="0C2AAEDE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ascii="Times New Roman" w:hAnsi="Times New Roman" w:eastAsia="仿宋_GB2312"/>
                <w:spacing w:val="0"/>
                <w:sz w:val="24"/>
                <w:szCs w:val="24"/>
              </w:rPr>
            </w:pPr>
          </w:p>
        </w:tc>
        <w:tc>
          <w:tcPr>
            <w:tcW w:w="1742" w:type="dxa"/>
            <w:vMerge w:val="continue"/>
            <w:tcBorders>
              <w:top w:val="nil"/>
              <w:bottom w:val="nil"/>
            </w:tcBorders>
            <w:vAlign w:val="center"/>
          </w:tcPr>
          <w:p w14:paraId="34C4B68E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ascii="Times New Roman" w:hAnsi="Times New Roman" w:eastAsia="仿宋_GB2312"/>
                <w:spacing w:val="0"/>
                <w:sz w:val="24"/>
                <w:szCs w:val="24"/>
              </w:rPr>
            </w:pPr>
          </w:p>
        </w:tc>
        <w:tc>
          <w:tcPr>
            <w:tcW w:w="1159" w:type="dxa"/>
            <w:gridSpan w:val="2"/>
            <w:vMerge w:val="continue"/>
            <w:tcBorders>
              <w:top w:val="nil"/>
              <w:bottom w:val="nil"/>
            </w:tcBorders>
            <w:vAlign w:val="center"/>
          </w:tcPr>
          <w:p w14:paraId="70372C22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ascii="Times New Roman" w:hAnsi="Times New Roman" w:eastAsia="仿宋_GB2312"/>
                <w:spacing w:val="0"/>
                <w:sz w:val="24"/>
                <w:szCs w:val="24"/>
              </w:rPr>
            </w:pPr>
          </w:p>
        </w:tc>
        <w:tc>
          <w:tcPr>
            <w:tcW w:w="2818" w:type="dxa"/>
            <w:vMerge w:val="continue"/>
            <w:tcBorders>
              <w:top w:val="nil"/>
              <w:bottom w:val="nil"/>
            </w:tcBorders>
            <w:vAlign w:val="center"/>
          </w:tcPr>
          <w:p w14:paraId="4C34C724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both"/>
              <w:textAlignment w:val="auto"/>
              <w:rPr>
                <w:rFonts w:ascii="Times New Roman" w:hAnsi="Times New Roman" w:eastAsia="仿宋_GB2312"/>
                <w:spacing w:val="0"/>
                <w:sz w:val="24"/>
                <w:szCs w:val="24"/>
              </w:rPr>
            </w:pPr>
          </w:p>
        </w:tc>
        <w:tc>
          <w:tcPr>
            <w:tcW w:w="800" w:type="dxa"/>
            <w:gridSpan w:val="2"/>
            <w:vMerge w:val="continue"/>
            <w:tcBorders>
              <w:top w:val="nil"/>
              <w:bottom w:val="nil"/>
            </w:tcBorders>
            <w:vAlign w:val="center"/>
          </w:tcPr>
          <w:p w14:paraId="3058B7CB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ascii="Times New Roman" w:hAnsi="Times New Roman" w:eastAsia="仿宋_GB2312"/>
                <w:spacing w:val="0"/>
                <w:sz w:val="24"/>
                <w:szCs w:val="24"/>
              </w:rPr>
            </w:pPr>
          </w:p>
        </w:tc>
        <w:tc>
          <w:tcPr>
            <w:tcW w:w="779" w:type="dxa"/>
            <w:vMerge w:val="continue"/>
            <w:tcBorders>
              <w:top w:val="nil"/>
              <w:bottom w:val="nil"/>
            </w:tcBorders>
            <w:vAlign w:val="center"/>
          </w:tcPr>
          <w:p w14:paraId="37F431C5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ascii="Times New Roman" w:hAnsi="Times New Roman" w:eastAsia="仿宋_GB2312"/>
                <w:spacing w:val="0"/>
                <w:sz w:val="24"/>
                <w:szCs w:val="24"/>
              </w:rPr>
            </w:pPr>
          </w:p>
        </w:tc>
        <w:tc>
          <w:tcPr>
            <w:tcW w:w="640" w:type="dxa"/>
            <w:gridSpan w:val="2"/>
            <w:vMerge w:val="continue"/>
            <w:tcBorders>
              <w:top w:val="nil"/>
              <w:bottom w:val="nil"/>
            </w:tcBorders>
            <w:vAlign w:val="center"/>
          </w:tcPr>
          <w:p w14:paraId="10287A25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ascii="Times New Roman" w:hAnsi="Times New Roman" w:eastAsia="仿宋_GB2312"/>
                <w:spacing w:val="0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nil"/>
              <w:bottom w:val="nil"/>
            </w:tcBorders>
            <w:vAlign w:val="center"/>
          </w:tcPr>
          <w:p w14:paraId="14F23DCB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ascii="Times New Roman" w:hAnsi="Times New Roman" w:eastAsia="仿宋_GB2312"/>
                <w:spacing w:val="0"/>
                <w:sz w:val="24"/>
                <w:szCs w:val="24"/>
              </w:rPr>
            </w:pPr>
          </w:p>
        </w:tc>
        <w:tc>
          <w:tcPr>
            <w:tcW w:w="1810" w:type="dxa"/>
            <w:gridSpan w:val="2"/>
            <w:vAlign w:val="center"/>
          </w:tcPr>
          <w:p w14:paraId="3C970323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ascii="Times New Roman" w:hAnsi="Times New Roman" w:eastAsia="仿宋_GB2312" w:cs="宋体"/>
                <w:spacing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宋体"/>
                <w:spacing w:val="0"/>
                <w:sz w:val="24"/>
                <w:szCs w:val="24"/>
              </w:rPr>
              <w:t>中央预算内投资</w:t>
            </w:r>
          </w:p>
        </w:tc>
        <w:tc>
          <w:tcPr>
            <w:tcW w:w="869" w:type="dxa"/>
            <w:gridSpan w:val="2"/>
            <w:vAlign w:val="center"/>
          </w:tcPr>
          <w:p w14:paraId="5436188F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宋体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仿宋_GB2312" w:cs="宋体"/>
                <w:spacing w:val="0"/>
                <w:sz w:val="24"/>
                <w:szCs w:val="24"/>
              </w:rPr>
              <w:t>2</w:t>
            </w:r>
            <w:r>
              <w:rPr>
                <w:rFonts w:hint="eastAsia" w:ascii="Times New Roman" w:hAnsi="Times New Roman" w:eastAsia="仿宋_GB2312" w:cs="宋体"/>
                <w:spacing w:val="0"/>
                <w:sz w:val="24"/>
                <w:szCs w:val="24"/>
                <w:lang w:val="en-US" w:eastAsia="zh-CN"/>
              </w:rPr>
              <w:t>75</w:t>
            </w:r>
          </w:p>
        </w:tc>
        <w:tc>
          <w:tcPr>
            <w:tcW w:w="969" w:type="dxa"/>
            <w:gridSpan w:val="2"/>
            <w:vAlign w:val="center"/>
          </w:tcPr>
          <w:p w14:paraId="138B843A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宋体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仿宋_GB2312" w:cs="宋体"/>
                <w:spacing w:val="0"/>
                <w:sz w:val="24"/>
                <w:szCs w:val="24"/>
              </w:rPr>
              <w:t>2</w:t>
            </w:r>
            <w:r>
              <w:rPr>
                <w:rFonts w:hint="eastAsia" w:ascii="Times New Roman" w:hAnsi="Times New Roman" w:eastAsia="仿宋_GB2312" w:cs="宋体"/>
                <w:spacing w:val="0"/>
                <w:sz w:val="24"/>
                <w:szCs w:val="24"/>
                <w:lang w:val="en-US" w:eastAsia="zh-CN"/>
              </w:rPr>
              <w:t>75</w:t>
            </w:r>
          </w:p>
        </w:tc>
        <w:tc>
          <w:tcPr>
            <w:tcW w:w="1019" w:type="dxa"/>
            <w:gridSpan w:val="3"/>
            <w:vMerge w:val="continue"/>
            <w:tcBorders>
              <w:top w:val="nil"/>
              <w:bottom w:val="nil"/>
            </w:tcBorders>
            <w:vAlign w:val="center"/>
          </w:tcPr>
          <w:p w14:paraId="6DD8C932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ascii="Times New Roman" w:hAnsi="Times New Roman" w:eastAsia="仿宋_GB2312"/>
                <w:spacing w:val="0"/>
                <w:sz w:val="24"/>
                <w:szCs w:val="24"/>
              </w:rPr>
            </w:pPr>
          </w:p>
        </w:tc>
        <w:tc>
          <w:tcPr>
            <w:tcW w:w="1139" w:type="dxa"/>
            <w:gridSpan w:val="2"/>
            <w:vMerge w:val="continue"/>
            <w:tcBorders>
              <w:top w:val="nil"/>
              <w:bottom w:val="nil"/>
            </w:tcBorders>
            <w:vAlign w:val="center"/>
          </w:tcPr>
          <w:p w14:paraId="06B3DEBC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ascii="Times New Roman" w:hAnsi="Times New Roman" w:eastAsia="仿宋_GB2312"/>
                <w:spacing w:val="0"/>
                <w:sz w:val="24"/>
                <w:szCs w:val="24"/>
              </w:rPr>
            </w:pPr>
          </w:p>
        </w:tc>
        <w:tc>
          <w:tcPr>
            <w:tcW w:w="655" w:type="dxa"/>
            <w:gridSpan w:val="2"/>
            <w:vMerge w:val="continue"/>
            <w:tcBorders>
              <w:top w:val="nil"/>
              <w:bottom w:val="nil"/>
            </w:tcBorders>
            <w:vAlign w:val="center"/>
          </w:tcPr>
          <w:p w14:paraId="6CECAB59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ascii="Times New Roman" w:hAnsi="Times New Roman" w:eastAsia="仿宋_GB2312"/>
                <w:spacing w:val="0"/>
                <w:sz w:val="24"/>
                <w:szCs w:val="24"/>
              </w:rPr>
            </w:pPr>
          </w:p>
        </w:tc>
      </w:tr>
      <w:tr w14:paraId="057B7A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" w:type="dxa"/>
          <w:cantSplit/>
          <w:trHeight w:val="425" w:hRule="atLeast"/>
          <w:jc w:val="center"/>
        </w:trPr>
        <w:tc>
          <w:tcPr>
            <w:tcW w:w="432" w:type="dxa"/>
            <w:vMerge w:val="continue"/>
            <w:tcBorders>
              <w:top w:val="nil"/>
              <w:bottom w:val="nil"/>
            </w:tcBorders>
            <w:vAlign w:val="center"/>
          </w:tcPr>
          <w:p w14:paraId="5443E359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ascii="Times New Roman" w:hAnsi="Times New Roman" w:eastAsia="仿宋_GB2312"/>
                <w:spacing w:val="0"/>
                <w:sz w:val="24"/>
                <w:szCs w:val="24"/>
              </w:rPr>
            </w:pPr>
          </w:p>
        </w:tc>
        <w:tc>
          <w:tcPr>
            <w:tcW w:w="1742" w:type="dxa"/>
            <w:vMerge w:val="continue"/>
            <w:tcBorders>
              <w:top w:val="nil"/>
              <w:bottom w:val="nil"/>
            </w:tcBorders>
            <w:vAlign w:val="center"/>
          </w:tcPr>
          <w:p w14:paraId="29592599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ascii="Times New Roman" w:hAnsi="Times New Roman" w:eastAsia="仿宋_GB2312"/>
                <w:spacing w:val="0"/>
                <w:sz w:val="24"/>
                <w:szCs w:val="24"/>
              </w:rPr>
            </w:pPr>
          </w:p>
        </w:tc>
        <w:tc>
          <w:tcPr>
            <w:tcW w:w="1159" w:type="dxa"/>
            <w:gridSpan w:val="2"/>
            <w:vMerge w:val="continue"/>
            <w:tcBorders>
              <w:top w:val="nil"/>
              <w:bottom w:val="nil"/>
            </w:tcBorders>
            <w:vAlign w:val="center"/>
          </w:tcPr>
          <w:p w14:paraId="5F6A9ACD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ascii="Times New Roman" w:hAnsi="Times New Roman" w:eastAsia="仿宋_GB2312"/>
                <w:spacing w:val="0"/>
                <w:sz w:val="24"/>
                <w:szCs w:val="24"/>
              </w:rPr>
            </w:pPr>
          </w:p>
        </w:tc>
        <w:tc>
          <w:tcPr>
            <w:tcW w:w="2818" w:type="dxa"/>
            <w:vMerge w:val="continue"/>
            <w:tcBorders>
              <w:top w:val="nil"/>
              <w:bottom w:val="nil"/>
            </w:tcBorders>
            <w:vAlign w:val="center"/>
          </w:tcPr>
          <w:p w14:paraId="4ABB7C5D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both"/>
              <w:textAlignment w:val="auto"/>
              <w:rPr>
                <w:rFonts w:ascii="Times New Roman" w:hAnsi="Times New Roman" w:eastAsia="仿宋_GB2312"/>
                <w:spacing w:val="0"/>
                <w:sz w:val="24"/>
                <w:szCs w:val="24"/>
              </w:rPr>
            </w:pPr>
          </w:p>
        </w:tc>
        <w:tc>
          <w:tcPr>
            <w:tcW w:w="800" w:type="dxa"/>
            <w:gridSpan w:val="2"/>
            <w:vMerge w:val="continue"/>
            <w:tcBorders>
              <w:top w:val="nil"/>
              <w:bottom w:val="nil"/>
            </w:tcBorders>
            <w:vAlign w:val="center"/>
          </w:tcPr>
          <w:p w14:paraId="52B0B399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ascii="Times New Roman" w:hAnsi="Times New Roman" w:eastAsia="仿宋_GB2312"/>
                <w:spacing w:val="0"/>
                <w:sz w:val="24"/>
                <w:szCs w:val="24"/>
              </w:rPr>
            </w:pPr>
          </w:p>
        </w:tc>
        <w:tc>
          <w:tcPr>
            <w:tcW w:w="779" w:type="dxa"/>
            <w:vMerge w:val="continue"/>
            <w:tcBorders>
              <w:top w:val="nil"/>
              <w:bottom w:val="nil"/>
            </w:tcBorders>
            <w:vAlign w:val="center"/>
          </w:tcPr>
          <w:p w14:paraId="7DC0324F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ascii="Times New Roman" w:hAnsi="Times New Roman" w:eastAsia="仿宋_GB2312"/>
                <w:spacing w:val="0"/>
                <w:sz w:val="24"/>
                <w:szCs w:val="24"/>
              </w:rPr>
            </w:pPr>
          </w:p>
        </w:tc>
        <w:tc>
          <w:tcPr>
            <w:tcW w:w="640" w:type="dxa"/>
            <w:gridSpan w:val="2"/>
            <w:vMerge w:val="continue"/>
            <w:tcBorders>
              <w:top w:val="nil"/>
              <w:bottom w:val="nil"/>
            </w:tcBorders>
            <w:vAlign w:val="center"/>
          </w:tcPr>
          <w:p w14:paraId="6367511C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ascii="Times New Roman" w:hAnsi="Times New Roman" w:eastAsia="仿宋_GB2312"/>
                <w:spacing w:val="0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nil"/>
              <w:bottom w:val="nil"/>
            </w:tcBorders>
            <w:vAlign w:val="center"/>
          </w:tcPr>
          <w:p w14:paraId="2CE54B55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ascii="Times New Roman" w:hAnsi="Times New Roman" w:eastAsia="仿宋_GB2312"/>
                <w:spacing w:val="0"/>
                <w:sz w:val="24"/>
                <w:szCs w:val="24"/>
              </w:rPr>
            </w:pPr>
          </w:p>
        </w:tc>
        <w:tc>
          <w:tcPr>
            <w:tcW w:w="1810" w:type="dxa"/>
            <w:gridSpan w:val="2"/>
            <w:vAlign w:val="center"/>
          </w:tcPr>
          <w:p w14:paraId="2950F409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ascii="Times New Roman" w:hAnsi="Times New Roman" w:eastAsia="仿宋_GB2312" w:cs="宋体"/>
                <w:spacing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宋体"/>
                <w:spacing w:val="0"/>
                <w:sz w:val="24"/>
                <w:szCs w:val="24"/>
              </w:rPr>
              <w:t>地方投资</w:t>
            </w:r>
          </w:p>
        </w:tc>
        <w:tc>
          <w:tcPr>
            <w:tcW w:w="869" w:type="dxa"/>
            <w:gridSpan w:val="2"/>
            <w:vAlign w:val="center"/>
          </w:tcPr>
          <w:p w14:paraId="71B48947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Times New Roman" w:hAnsi="Times New Roman" w:eastAsia="仿宋_GB2312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69" w:type="dxa"/>
            <w:gridSpan w:val="2"/>
            <w:vAlign w:val="center"/>
          </w:tcPr>
          <w:p w14:paraId="65DF0F5C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ascii="Times New Roman" w:hAnsi="Times New Roman" w:eastAsia="仿宋_GB2312"/>
                <w:spacing w:val="0"/>
                <w:sz w:val="24"/>
                <w:szCs w:val="24"/>
              </w:rPr>
            </w:pPr>
          </w:p>
        </w:tc>
        <w:tc>
          <w:tcPr>
            <w:tcW w:w="1019" w:type="dxa"/>
            <w:gridSpan w:val="3"/>
            <w:vMerge w:val="continue"/>
            <w:tcBorders>
              <w:top w:val="nil"/>
              <w:bottom w:val="nil"/>
            </w:tcBorders>
            <w:vAlign w:val="center"/>
          </w:tcPr>
          <w:p w14:paraId="6A36D1BB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ascii="Times New Roman" w:hAnsi="Times New Roman" w:eastAsia="仿宋_GB2312"/>
                <w:spacing w:val="0"/>
                <w:sz w:val="24"/>
                <w:szCs w:val="24"/>
              </w:rPr>
            </w:pPr>
          </w:p>
        </w:tc>
        <w:tc>
          <w:tcPr>
            <w:tcW w:w="1139" w:type="dxa"/>
            <w:gridSpan w:val="2"/>
            <w:vMerge w:val="continue"/>
            <w:tcBorders>
              <w:top w:val="nil"/>
              <w:bottom w:val="nil"/>
            </w:tcBorders>
            <w:vAlign w:val="center"/>
          </w:tcPr>
          <w:p w14:paraId="670BFA87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ascii="Times New Roman" w:hAnsi="Times New Roman" w:eastAsia="仿宋_GB2312"/>
                <w:spacing w:val="0"/>
                <w:sz w:val="24"/>
                <w:szCs w:val="24"/>
              </w:rPr>
            </w:pPr>
          </w:p>
        </w:tc>
        <w:tc>
          <w:tcPr>
            <w:tcW w:w="655" w:type="dxa"/>
            <w:gridSpan w:val="2"/>
            <w:vMerge w:val="continue"/>
            <w:tcBorders>
              <w:top w:val="nil"/>
              <w:bottom w:val="nil"/>
            </w:tcBorders>
            <w:vAlign w:val="center"/>
          </w:tcPr>
          <w:p w14:paraId="1E583090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ascii="Times New Roman" w:hAnsi="Times New Roman" w:eastAsia="仿宋_GB2312"/>
                <w:spacing w:val="0"/>
                <w:sz w:val="24"/>
                <w:szCs w:val="24"/>
              </w:rPr>
            </w:pPr>
          </w:p>
        </w:tc>
      </w:tr>
      <w:tr w14:paraId="7FA5CD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" w:type="dxa"/>
          <w:cantSplit/>
          <w:trHeight w:val="425" w:hRule="atLeast"/>
          <w:jc w:val="center"/>
        </w:trPr>
        <w:tc>
          <w:tcPr>
            <w:tcW w:w="432" w:type="dxa"/>
            <w:vMerge w:val="continue"/>
            <w:tcBorders>
              <w:top w:val="nil"/>
            </w:tcBorders>
            <w:vAlign w:val="center"/>
          </w:tcPr>
          <w:p w14:paraId="1DD3B00E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ascii="Times New Roman" w:hAnsi="Times New Roman" w:eastAsia="仿宋_GB2312"/>
                <w:spacing w:val="0"/>
                <w:sz w:val="24"/>
                <w:szCs w:val="24"/>
              </w:rPr>
            </w:pPr>
          </w:p>
        </w:tc>
        <w:tc>
          <w:tcPr>
            <w:tcW w:w="1742" w:type="dxa"/>
            <w:vMerge w:val="continue"/>
            <w:tcBorders>
              <w:top w:val="nil"/>
            </w:tcBorders>
            <w:vAlign w:val="center"/>
          </w:tcPr>
          <w:p w14:paraId="4D715D8A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ascii="Times New Roman" w:hAnsi="Times New Roman" w:eastAsia="仿宋_GB2312"/>
                <w:spacing w:val="0"/>
                <w:sz w:val="24"/>
                <w:szCs w:val="24"/>
              </w:rPr>
            </w:pPr>
          </w:p>
        </w:tc>
        <w:tc>
          <w:tcPr>
            <w:tcW w:w="1159" w:type="dxa"/>
            <w:gridSpan w:val="2"/>
            <w:vMerge w:val="continue"/>
            <w:tcBorders>
              <w:top w:val="nil"/>
            </w:tcBorders>
            <w:vAlign w:val="center"/>
          </w:tcPr>
          <w:p w14:paraId="193FDB56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ascii="Times New Roman" w:hAnsi="Times New Roman" w:eastAsia="仿宋_GB2312"/>
                <w:spacing w:val="0"/>
                <w:sz w:val="24"/>
                <w:szCs w:val="24"/>
              </w:rPr>
            </w:pPr>
          </w:p>
        </w:tc>
        <w:tc>
          <w:tcPr>
            <w:tcW w:w="2818" w:type="dxa"/>
            <w:vMerge w:val="continue"/>
            <w:tcBorders>
              <w:top w:val="nil"/>
            </w:tcBorders>
            <w:vAlign w:val="center"/>
          </w:tcPr>
          <w:p w14:paraId="01BAF367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both"/>
              <w:textAlignment w:val="auto"/>
              <w:rPr>
                <w:rFonts w:ascii="Times New Roman" w:hAnsi="Times New Roman" w:eastAsia="仿宋_GB2312"/>
                <w:spacing w:val="0"/>
                <w:sz w:val="24"/>
                <w:szCs w:val="24"/>
              </w:rPr>
            </w:pPr>
          </w:p>
        </w:tc>
        <w:tc>
          <w:tcPr>
            <w:tcW w:w="800" w:type="dxa"/>
            <w:gridSpan w:val="2"/>
            <w:vMerge w:val="continue"/>
            <w:tcBorders>
              <w:top w:val="nil"/>
            </w:tcBorders>
            <w:vAlign w:val="center"/>
          </w:tcPr>
          <w:p w14:paraId="1916E04D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ascii="Times New Roman" w:hAnsi="Times New Roman" w:eastAsia="仿宋_GB2312"/>
                <w:spacing w:val="0"/>
                <w:sz w:val="24"/>
                <w:szCs w:val="24"/>
              </w:rPr>
            </w:pPr>
          </w:p>
        </w:tc>
        <w:tc>
          <w:tcPr>
            <w:tcW w:w="779" w:type="dxa"/>
            <w:vMerge w:val="continue"/>
            <w:tcBorders>
              <w:top w:val="nil"/>
            </w:tcBorders>
            <w:vAlign w:val="center"/>
          </w:tcPr>
          <w:p w14:paraId="1F581221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ascii="Times New Roman" w:hAnsi="Times New Roman" w:eastAsia="仿宋_GB2312"/>
                <w:spacing w:val="0"/>
                <w:sz w:val="24"/>
                <w:szCs w:val="24"/>
              </w:rPr>
            </w:pPr>
          </w:p>
        </w:tc>
        <w:tc>
          <w:tcPr>
            <w:tcW w:w="640" w:type="dxa"/>
            <w:gridSpan w:val="2"/>
            <w:vMerge w:val="continue"/>
            <w:tcBorders>
              <w:top w:val="nil"/>
            </w:tcBorders>
            <w:vAlign w:val="center"/>
          </w:tcPr>
          <w:p w14:paraId="3DCFA53B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ascii="Times New Roman" w:hAnsi="Times New Roman" w:eastAsia="仿宋_GB2312"/>
                <w:spacing w:val="0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nil"/>
            </w:tcBorders>
            <w:vAlign w:val="center"/>
          </w:tcPr>
          <w:p w14:paraId="660BA77D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ascii="Times New Roman" w:hAnsi="Times New Roman" w:eastAsia="仿宋_GB2312"/>
                <w:spacing w:val="0"/>
                <w:sz w:val="24"/>
                <w:szCs w:val="24"/>
              </w:rPr>
            </w:pPr>
          </w:p>
        </w:tc>
        <w:tc>
          <w:tcPr>
            <w:tcW w:w="1810" w:type="dxa"/>
            <w:gridSpan w:val="2"/>
            <w:vAlign w:val="center"/>
          </w:tcPr>
          <w:p w14:paraId="784B7A15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ascii="Times New Roman" w:hAnsi="Times New Roman" w:eastAsia="仿宋_GB2312" w:cs="宋体"/>
                <w:spacing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宋体"/>
                <w:spacing w:val="0"/>
                <w:sz w:val="24"/>
                <w:szCs w:val="24"/>
              </w:rPr>
              <w:t>其他投资</w:t>
            </w:r>
          </w:p>
        </w:tc>
        <w:tc>
          <w:tcPr>
            <w:tcW w:w="869" w:type="dxa"/>
            <w:gridSpan w:val="2"/>
            <w:vAlign w:val="center"/>
          </w:tcPr>
          <w:p w14:paraId="44001C23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Times New Roman" w:hAnsi="Times New Roman" w:eastAsia="仿宋_GB2312" w:cs="宋体"/>
                <w:spacing w:val="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仿宋_GB2312" w:cs="宋体"/>
                <w:spacing w:val="0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eastAsia="仿宋_GB2312" w:cs="宋体"/>
                <w:spacing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969" w:type="dxa"/>
            <w:gridSpan w:val="2"/>
            <w:vAlign w:val="center"/>
          </w:tcPr>
          <w:p w14:paraId="13F61478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ascii="Times New Roman" w:hAnsi="Times New Roman" w:eastAsia="仿宋_GB2312"/>
                <w:spacing w:val="0"/>
                <w:sz w:val="24"/>
                <w:szCs w:val="24"/>
              </w:rPr>
            </w:pPr>
          </w:p>
        </w:tc>
        <w:tc>
          <w:tcPr>
            <w:tcW w:w="1019" w:type="dxa"/>
            <w:gridSpan w:val="3"/>
            <w:vMerge w:val="continue"/>
            <w:tcBorders>
              <w:top w:val="nil"/>
            </w:tcBorders>
            <w:vAlign w:val="center"/>
          </w:tcPr>
          <w:p w14:paraId="7DF0C1C5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ascii="Times New Roman" w:hAnsi="Times New Roman" w:eastAsia="仿宋_GB2312"/>
                <w:spacing w:val="0"/>
                <w:sz w:val="24"/>
                <w:szCs w:val="24"/>
              </w:rPr>
            </w:pPr>
          </w:p>
        </w:tc>
        <w:tc>
          <w:tcPr>
            <w:tcW w:w="1139" w:type="dxa"/>
            <w:gridSpan w:val="2"/>
            <w:vMerge w:val="continue"/>
            <w:tcBorders>
              <w:top w:val="nil"/>
            </w:tcBorders>
            <w:vAlign w:val="center"/>
          </w:tcPr>
          <w:p w14:paraId="14F124F6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ascii="Times New Roman" w:hAnsi="Times New Roman" w:eastAsia="仿宋_GB2312"/>
                <w:spacing w:val="0"/>
                <w:sz w:val="24"/>
                <w:szCs w:val="24"/>
              </w:rPr>
            </w:pPr>
          </w:p>
        </w:tc>
        <w:tc>
          <w:tcPr>
            <w:tcW w:w="655" w:type="dxa"/>
            <w:gridSpan w:val="2"/>
            <w:vMerge w:val="continue"/>
            <w:tcBorders>
              <w:top w:val="nil"/>
            </w:tcBorders>
            <w:vAlign w:val="center"/>
          </w:tcPr>
          <w:p w14:paraId="3A684150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auto"/>
              <w:rPr>
                <w:rFonts w:ascii="Times New Roman" w:hAnsi="Times New Roman" w:eastAsia="仿宋_GB2312"/>
                <w:spacing w:val="0"/>
                <w:sz w:val="24"/>
                <w:szCs w:val="24"/>
              </w:rPr>
            </w:pPr>
          </w:p>
        </w:tc>
      </w:tr>
    </w:tbl>
    <w:p w14:paraId="7961AA5D">
      <w:pPr>
        <w:sectPr>
          <w:footerReference r:id="rId6" w:type="default"/>
          <w:pgSz w:w="16830" w:h="11900" w:orient="landscape"/>
          <w:pgMar w:top="1587" w:right="1701" w:bottom="1474" w:left="1701" w:header="0" w:footer="0" w:gutter="0"/>
          <w:cols w:space="720" w:num="1"/>
        </w:sectPr>
      </w:pPr>
    </w:p>
    <w:p w14:paraId="2186632B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ind w:left="0"/>
        <w:jc w:val="both"/>
        <w:textAlignment w:val="auto"/>
        <w:rPr>
          <w:rFonts w:hint="default" w:ascii="Times New Roman" w:hAnsi="Times New Roman" w:eastAsia="黑体" w:cs="黑体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黑体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  <w:t>3</w:t>
      </w:r>
    </w:p>
    <w:p w14:paraId="6F204A2B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  <w:t>湘潭县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2025年第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  <w:t>四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批以工代赈中央预算内</w:t>
      </w:r>
    </w:p>
    <w:p w14:paraId="42BCDDF1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投资计划绩效目标表</w:t>
      </w:r>
    </w:p>
    <w:p w14:paraId="602C046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tLeast"/>
        <w:jc w:val="center"/>
        <w:textAlignment w:val="baseline"/>
        <w:rPr>
          <w:rFonts w:hint="eastAsia" w:ascii="方正小标宋_GBK" w:hAnsi="方正小标宋_GBK" w:eastAsia="方正小标宋_GBK" w:cs="方正小标宋_GBK"/>
          <w:b w:val="0"/>
          <w:bCs w:val="0"/>
          <w:sz w:val="18"/>
          <w:szCs w:val="18"/>
        </w:rPr>
      </w:pPr>
    </w:p>
    <w:tbl>
      <w:tblPr>
        <w:tblStyle w:val="5"/>
        <w:tblW w:w="970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4"/>
        <w:gridCol w:w="1257"/>
        <w:gridCol w:w="1800"/>
        <w:gridCol w:w="1328"/>
        <w:gridCol w:w="3007"/>
        <w:gridCol w:w="1603"/>
      </w:tblGrid>
      <w:tr w14:paraId="6D4FCAF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  <w:jc w:val="center"/>
        </w:trPr>
        <w:tc>
          <w:tcPr>
            <w:tcW w:w="5099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4F0ED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sz w:val="24"/>
                <w:szCs w:val="21"/>
              </w:rPr>
            </w:pPr>
            <w:r>
              <w:rPr>
                <w:rFonts w:ascii="Times New Roman" w:hAnsi="Times New Roman" w:eastAsia="仿宋_GB2312" w:cs="仿宋_GB2312"/>
                <w:b/>
                <w:bCs/>
                <w:spacing w:val="0"/>
                <w:sz w:val="24"/>
                <w:szCs w:val="21"/>
              </w:rPr>
              <w:t>专项名称</w:t>
            </w:r>
          </w:p>
        </w:tc>
        <w:tc>
          <w:tcPr>
            <w:tcW w:w="461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2B6E4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sz w:val="24"/>
                <w:szCs w:val="21"/>
              </w:rPr>
            </w:pPr>
            <w:r>
              <w:rPr>
                <w:rFonts w:ascii="Times New Roman" w:hAnsi="Times New Roman" w:eastAsia="仿宋_GB2312" w:cs="仿宋_GB2312"/>
                <w:spacing w:val="0"/>
                <w:sz w:val="24"/>
                <w:szCs w:val="21"/>
              </w:rPr>
              <w:t>以工代赈</w:t>
            </w:r>
          </w:p>
        </w:tc>
      </w:tr>
      <w:tr w14:paraId="6E8A76D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5099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2A07F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baseline"/>
              <w:rPr>
                <w:rFonts w:ascii="Times New Roman" w:hAnsi="Times New Roman" w:eastAsia="仿宋_GB2312" w:cs="仿宋_GB2312"/>
                <w:spacing w:val="0"/>
                <w:sz w:val="24"/>
                <w:szCs w:val="21"/>
              </w:rPr>
            </w:pPr>
            <w:r>
              <w:rPr>
                <w:rFonts w:ascii="Times New Roman" w:hAnsi="Times New Roman" w:eastAsia="仿宋_GB2312" w:cs="仿宋_GB2312"/>
                <w:b/>
                <w:bCs/>
                <w:spacing w:val="0"/>
                <w:sz w:val="24"/>
                <w:szCs w:val="21"/>
              </w:rPr>
              <w:t>下达地方或单位</w:t>
            </w:r>
          </w:p>
        </w:tc>
        <w:tc>
          <w:tcPr>
            <w:tcW w:w="461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0B1F8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0"/>
                <w:sz w:val="24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0"/>
                <w:sz w:val="24"/>
                <w:szCs w:val="21"/>
                <w:lang w:eastAsia="zh-CN"/>
              </w:rPr>
              <w:t>湘潭县发展和改革局</w:t>
            </w:r>
          </w:p>
        </w:tc>
      </w:tr>
      <w:tr w14:paraId="668C66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  <w:jc w:val="center"/>
        </w:trPr>
        <w:tc>
          <w:tcPr>
            <w:tcW w:w="5099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1F444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0"/>
                <w:sz w:val="24"/>
                <w:szCs w:val="21"/>
                <w:lang w:eastAsia="zh-CN"/>
              </w:rPr>
            </w:pPr>
            <w:r>
              <w:rPr>
                <w:rFonts w:ascii="Times New Roman" w:hAnsi="Times New Roman" w:eastAsia="仿宋_GB2312" w:cs="仿宋_GB2312"/>
                <w:b/>
                <w:bCs/>
                <w:spacing w:val="0"/>
                <w:sz w:val="24"/>
                <w:szCs w:val="21"/>
              </w:rPr>
              <w:t>申请中央预算内投资</w:t>
            </w:r>
            <w:r>
              <w:rPr>
                <w:rFonts w:hint="eastAsia" w:ascii="Times New Roman" w:hAnsi="Times New Roman" w:eastAsia="仿宋_GB2312" w:cs="仿宋_GB2312"/>
                <w:b/>
                <w:bCs/>
                <w:spacing w:val="0"/>
                <w:sz w:val="24"/>
                <w:szCs w:val="21"/>
                <w:lang w:eastAsia="zh-CN"/>
              </w:rPr>
              <w:t>（</w:t>
            </w:r>
            <w:r>
              <w:rPr>
                <w:rFonts w:ascii="Times New Roman" w:hAnsi="Times New Roman" w:eastAsia="仿宋_GB2312" w:cs="仿宋_GB2312"/>
                <w:b/>
                <w:bCs/>
                <w:spacing w:val="0"/>
                <w:sz w:val="24"/>
                <w:szCs w:val="21"/>
              </w:rPr>
              <w:t>万元</w:t>
            </w:r>
            <w:r>
              <w:rPr>
                <w:rFonts w:hint="eastAsia" w:ascii="Times New Roman" w:hAnsi="Times New Roman" w:eastAsia="仿宋_GB2312" w:cs="仿宋_GB2312"/>
                <w:b/>
                <w:bCs/>
                <w:spacing w:val="0"/>
                <w:sz w:val="24"/>
                <w:szCs w:val="21"/>
                <w:lang w:eastAsia="zh-CN"/>
              </w:rPr>
              <w:t>）</w:t>
            </w:r>
          </w:p>
        </w:tc>
        <w:tc>
          <w:tcPr>
            <w:tcW w:w="461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333D5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baseline"/>
              <w:rPr>
                <w:rFonts w:hint="default" w:ascii="Times New Roman" w:hAnsi="Times New Roman" w:eastAsia="仿宋_GB2312" w:cs="仿宋_GB2312"/>
                <w:spacing w:val="0"/>
                <w:sz w:val="24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0"/>
                <w:sz w:val="24"/>
                <w:szCs w:val="21"/>
                <w:lang w:val="en-US" w:eastAsia="zh-CN"/>
              </w:rPr>
              <w:t>521</w:t>
            </w:r>
          </w:p>
        </w:tc>
      </w:tr>
      <w:tr w14:paraId="4063FC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2" w:hRule="atLeast"/>
          <w:jc w:val="center"/>
        </w:trPr>
        <w:tc>
          <w:tcPr>
            <w:tcW w:w="71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915E58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auto"/>
              <w:rPr>
                <w:rFonts w:ascii="Times New Roman" w:hAnsi="Times New Roman" w:eastAsia="仿宋_GB2312" w:cs="仿宋_GB2312"/>
                <w:spacing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仿宋_GB2312"/>
                <w:b/>
                <w:bCs/>
                <w:spacing w:val="0"/>
                <w:sz w:val="24"/>
                <w:szCs w:val="24"/>
              </w:rPr>
              <w:t>总体</w:t>
            </w:r>
          </w:p>
          <w:p w14:paraId="5FB59983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auto"/>
              <w:rPr>
                <w:rFonts w:ascii="Times New Roman" w:hAnsi="Times New Roman" w:eastAsia="仿宋_GB2312" w:cs="仿宋_GB2312"/>
                <w:spacing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仿宋_GB2312"/>
                <w:b/>
                <w:bCs/>
                <w:spacing w:val="0"/>
                <w:sz w:val="24"/>
                <w:szCs w:val="24"/>
              </w:rPr>
              <w:t>目标</w:t>
            </w:r>
          </w:p>
        </w:tc>
        <w:tc>
          <w:tcPr>
            <w:tcW w:w="8995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D1A48F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/>
              <w:jc w:val="both"/>
              <w:textAlignment w:val="auto"/>
              <w:rPr>
                <w:rFonts w:ascii="Times New Roman" w:hAnsi="Times New Roman" w:eastAsia="仿宋_GB2312" w:cs="仿宋_GB2312"/>
                <w:spacing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仿宋_GB2312"/>
                <w:spacing w:val="0"/>
                <w:sz w:val="24"/>
                <w:szCs w:val="24"/>
              </w:rPr>
              <w:t>在</w:t>
            </w:r>
            <w:r>
              <w:rPr>
                <w:rFonts w:hint="eastAsia" w:ascii="Times New Roman" w:hAnsi="Times New Roman" w:eastAsia="仿宋_GB2312" w:cs="仿宋_GB2312"/>
                <w:spacing w:val="0"/>
                <w:sz w:val="24"/>
                <w:szCs w:val="24"/>
                <w:lang w:eastAsia="zh-CN"/>
              </w:rPr>
              <w:t>云湖桥</w:t>
            </w:r>
            <w:r>
              <w:rPr>
                <w:rFonts w:hint="default" w:ascii="Times New Roman" w:hAnsi="Times New Roman" w:eastAsia="仿宋_GB2312" w:cs="仿宋_GB2312"/>
                <w:spacing w:val="0"/>
                <w:sz w:val="24"/>
                <w:szCs w:val="24"/>
                <w:lang w:eastAsia="zh-CN"/>
              </w:rPr>
              <w:t>镇</w:t>
            </w:r>
            <w:r>
              <w:rPr>
                <w:rFonts w:hint="eastAsia" w:ascii="Times New Roman" w:hAnsi="Times New Roman" w:eastAsia="仿宋_GB2312" w:cs="仿宋_GB2312"/>
                <w:spacing w:val="0"/>
                <w:sz w:val="24"/>
                <w:szCs w:val="24"/>
                <w:lang w:eastAsia="zh-CN"/>
              </w:rPr>
              <w:t>、花石镇等</w:t>
            </w:r>
            <w:r>
              <w:rPr>
                <w:rFonts w:hint="eastAsia" w:ascii="Times New Roman" w:hAnsi="Times New Roman" w:eastAsia="仿宋_GB2312" w:cs="仿宋_GB2312"/>
                <w:spacing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仿宋_GB2312" w:cs="仿宋_GB2312"/>
                <w:spacing w:val="0"/>
                <w:sz w:val="24"/>
                <w:szCs w:val="24"/>
                <w:lang w:eastAsia="zh-CN"/>
              </w:rPr>
              <w:t>个乡</w:t>
            </w:r>
            <w:r>
              <w:rPr>
                <w:rFonts w:hint="eastAsia" w:ascii="Times New Roman" w:hAnsi="Times New Roman" w:eastAsia="仿宋_GB2312" w:cs="仿宋_GB2312"/>
                <w:spacing w:val="0"/>
                <w:sz w:val="24"/>
                <w:szCs w:val="24"/>
                <w:lang w:val="en-US" w:eastAsia="zh-CN"/>
              </w:rPr>
              <w:t>（</w:t>
            </w:r>
            <w:r>
              <w:rPr>
                <w:rFonts w:hint="eastAsia" w:ascii="Times New Roman" w:hAnsi="Times New Roman" w:eastAsia="仿宋_GB2312" w:cs="仿宋_GB2312"/>
                <w:spacing w:val="0"/>
                <w:sz w:val="24"/>
                <w:szCs w:val="24"/>
                <w:lang w:eastAsia="zh-CN"/>
              </w:rPr>
              <w:t>镇</w:t>
            </w:r>
            <w:r>
              <w:rPr>
                <w:rFonts w:hint="eastAsia" w:ascii="Times New Roman" w:hAnsi="Times New Roman" w:eastAsia="仿宋_GB2312" w:cs="仿宋_GB2312"/>
                <w:spacing w:val="0"/>
                <w:sz w:val="24"/>
                <w:szCs w:val="24"/>
                <w:lang w:val="en-US" w:eastAsia="zh-CN"/>
              </w:rPr>
              <w:t>）</w:t>
            </w:r>
            <w:r>
              <w:rPr>
                <w:rFonts w:hint="eastAsia" w:ascii="Times New Roman" w:hAnsi="Times New Roman" w:eastAsia="仿宋_GB2312" w:cs="仿宋_GB2312"/>
                <w:spacing w:val="0"/>
                <w:sz w:val="24"/>
                <w:szCs w:val="24"/>
                <w:lang w:eastAsia="zh-CN"/>
              </w:rPr>
              <w:t>实施</w:t>
            </w:r>
            <w:r>
              <w:rPr>
                <w:rFonts w:hint="eastAsia" w:ascii="Times New Roman" w:hAnsi="Times New Roman" w:eastAsia="仿宋_GB2312" w:cs="仿宋_GB2312"/>
                <w:spacing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仿宋_GB2312" w:cs="仿宋_GB2312"/>
                <w:spacing w:val="0"/>
                <w:sz w:val="24"/>
                <w:szCs w:val="24"/>
                <w:lang w:eastAsia="zh-CN"/>
              </w:rPr>
              <w:t>个以工代赈项目，支持</w:t>
            </w:r>
            <w:r>
              <w:rPr>
                <w:rFonts w:hint="eastAsia" w:ascii="Times New Roman" w:hAnsi="Times New Roman" w:eastAsia="仿宋_GB2312" w:cs="仿宋_GB2312"/>
                <w:spacing w:val="0"/>
                <w:sz w:val="24"/>
                <w:szCs w:val="24"/>
                <w:lang w:val="en-US" w:eastAsia="zh-CN"/>
              </w:rPr>
              <w:t>道路硬化、水渠修建，生产道路改造、沟渠清淤护坡硬化等</w:t>
            </w:r>
            <w:r>
              <w:rPr>
                <w:rFonts w:hint="eastAsia" w:ascii="Times New Roman" w:hAnsi="Times New Roman" w:eastAsia="仿宋_GB2312" w:cs="仿宋_GB2312"/>
                <w:spacing w:val="0"/>
                <w:sz w:val="24"/>
                <w:szCs w:val="24"/>
                <w:lang w:eastAsia="zh-CN"/>
              </w:rPr>
              <w:t>，在确保劳务报酬发放金额占中央投资的总体比例达到40%以上的基础上，尽可能进一步提高占比，广泛吸纳返乡农民工</w:t>
            </w:r>
            <w:r>
              <w:rPr>
                <w:rFonts w:ascii="Times New Roman" w:hAnsi="Times New Roman" w:eastAsia="仿宋_GB2312" w:cs="仿宋_GB2312"/>
                <w:spacing w:val="0"/>
                <w:sz w:val="24"/>
                <w:szCs w:val="24"/>
              </w:rPr>
              <w:t>、脱贫人口、</w:t>
            </w:r>
            <w:r>
              <w:rPr>
                <w:rFonts w:hint="eastAsia" w:ascii="Times New Roman" w:hAnsi="Times New Roman" w:eastAsia="仿宋_GB2312" w:cs="仿宋_GB2312"/>
                <w:spacing w:val="0"/>
                <w:sz w:val="24"/>
                <w:szCs w:val="24"/>
                <w:lang w:eastAsia="zh-CN"/>
              </w:rPr>
              <w:t>相关企业失业人员</w:t>
            </w:r>
            <w:r>
              <w:rPr>
                <w:rFonts w:ascii="Times New Roman" w:hAnsi="Times New Roman" w:eastAsia="仿宋_GB2312" w:cs="仿宋_GB2312"/>
                <w:spacing w:val="0"/>
                <w:sz w:val="24"/>
                <w:szCs w:val="24"/>
              </w:rPr>
              <w:t>等重点群体</w:t>
            </w:r>
            <w:r>
              <w:rPr>
                <w:rFonts w:hint="eastAsia" w:ascii="Times New Roman" w:hAnsi="Times New Roman" w:eastAsia="仿宋_GB2312" w:cs="仿宋_GB2312"/>
                <w:spacing w:val="0"/>
                <w:sz w:val="24"/>
                <w:szCs w:val="24"/>
                <w:lang w:eastAsia="zh-CN"/>
              </w:rPr>
              <w:t>和其他城乡就业困难群众</w:t>
            </w:r>
            <w:r>
              <w:rPr>
                <w:rFonts w:ascii="Times New Roman" w:hAnsi="Times New Roman" w:eastAsia="仿宋_GB2312" w:cs="仿宋_GB2312"/>
                <w:spacing w:val="0"/>
                <w:sz w:val="24"/>
                <w:szCs w:val="24"/>
              </w:rPr>
              <w:t>参与工程建设，实现就地就近就业增收。</w:t>
            </w:r>
          </w:p>
        </w:tc>
      </w:tr>
      <w:tr w14:paraId="3717D1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14" w:type="dxa"/>
            <w:vMerge w:val="restart"/>
            <w:tcBorders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B1B441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auto"/>
              <w:rPr>
                <w:rFonts w:ascii="Times New Roman" w:hAnsi="Times New Roman" w:eastAsia="仿宋_GB2312" w:cs="仿宋_GB2312"/>
                <w:b/>
                <w:bCs/>
                <w:spacing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仿宋_GB2312"/>
                <w:b/>
                <w:bCs/>
                <w:spacing w:val="0"/>
                <w:sz w:val="24"/>
                <w:szCs w:val="24"/>
              </w:rPr>
              <w:t>绩</w:t>
            </w:r>
          </w:p>
          <w:p w14:paraId="3F419676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auto"/>
              <w:rPr>
                <w:rFonts w:ascii="Times New Roman" w:hAnsi="Times New Roman" w:eastAsia="仿宋_GB2312" w:cs="仿宋_GB2312"/>
                <w:b/>
                <w:bCs/>
                <w:spacing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仿宋_GB2312"/>
                <w:b/>
                <w:bCs/>
                <w:spacing w:val="0"/>
                <w:sz w:val="24"/>
                <w:szCs w:val="24"/>
              </w:rPr>
              <w:t>效</w:t>
            </w:r>
          </w:p>
          <w:p w14:paraId="1795E929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auto"/>
              <w:rPr>
                <w:rFonts w:ascii="Times New Roman" w:hAnsi="Times New Roman" w:eastAsia="仿宋_GB2312" w:cs="仿宋_GB2312"/>
                <w:b/>
                <w:bCs/>
                <w:spacing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仿宋_GB2312"/>
                <w:b/>
                <w:bCs/>
                <w:spacing w:val="0"/>
                <w:sz w:val="24"/>
                <w:szCs w:val="24"/>
              </w:rPr>
              <w:t>指</w:t>
            </w:r>
          </w:p>
          <w:p w14:paraId="54F0E83B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auto"/>
              <w:rPr>
                <w:rFonts w:ascii="Times New Roman" w:hAnsi="Times New Roman" w:eastAsia="仿宋_GB2312" w:cs="仿宋_GB2312"/>
                <w:spacing w:val="0"/>
                <w:sz w:val="24"/>
                <w:szCs w:val="21"/>
              </w:rPr>
            </w:pPr>
            <w:r>
              <w:rPr>
                <w:rFonts w:ascii="Times New Roman" w:hAnsi="Times New Roman" w:eastAsia="仿宋_GB2312" w:cs="仿宋_GB2312"/>
                <w:b/>
                <w:bCs/>
                <w:spacing w:val="0"/>
                <w:sz w:val="24"/>
                <w:szCs w:val="24"/>
              </w:rPr>
              <w:t>标</w:t>
            </w:r>
          </w:p>
        </w:tc>
        <w:tc>
          <w:tcPr>
            <w:tcW w:w="125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96CB15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auto"/>
              <w:rPr>
                <w:rFonts w:ascii="Times New Roman" w:hAnsi="Times New Roman" w:eastAsia="仿宋_GB2312" w:cs="仿宋_GB2312"/>
                <w:spacing w:val="0"/>
                <w:sz w:val="24"/>
                <w:szCs w:val="21"/>
              </w:rPr>
            </w:pPr>
            <w:r>
              <w:rPr>
                <w:rFonts w:ascii="Times New Roman" w:hAnsi="Times New Roman" w:eastAsia="仿宋_GB2312" w:cs="仿宋_GB2312"/>
                <w:b/>
                <w:bCs/>
                <w:spacing w:val="0"/>
                <w:sz w:val="24"/>
                <w:szCs w:val="21"/>
              </w:rPr>
              <w:t>一级指标</w:t>
            </w:r>
          </w:p>
        </w:tc>
        <w:tc>
          <w:tcPr>
            <w:tcW w:w="18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B7D089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auto"/>
              <w:rPr>
                <w:rFonts w:ascii="Times New Roman" w:hAnsi="Times New Roman" w:eastAsia="仿宋_GB2312" w:cs="仿宋_GB2312"/>
                <w:spacing w:val="0"/>
                <w:sz w:val="24"/>
                <w:szCs w:val="21"/>
              </w:rPr>
            </w:pPr>
            <w:r>
              <w:rPr>
                <w:rFonts w:ascii="Times New Roman" w:hAnsi="Times New Roman" w:eastAsia="仿宋_GB2312" w:cs="仿宋_GB2312"/>
                <w:b/>
                <w:bCs/>
                <w:spacing w:val="0"/>
                <w:sz w:val="24"/>
                <w:szCs w:val="21"/>
              </w:rPr>
              <w:t>二级指标</w:t>
            </w:r>
          </w:p>
        </w:tc>
        <w:tc>
          <w:tcPr>
            <w:tcW w:w="433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D81217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auto"/>
              <w:rPr>
                <w:rFonts w:ascii="Times New Roman" w:hAnsi="Times New Roman" w:eastAsia="仿宋_GB2312" w:cs="仿宋_GB2312"/>
                <w:spacing w:val="0"/>
                <w:sz w:val="24"/>
                <w:szCs w:val="21"/>
              </w:rPr>
            </w:pPr>
            <w:r>
              <w:rPr>
                <w:rFonts w:ascii="Times New Roman" w:hAnsi="Times New Roman" w:eastAsia="仿宋_GB2312" w:cs="仿宋_GB2312"/>
                <w:b/>
                <w:bCs/>
                <w:spacing w:val="0"/>
                <w:sz w:val="24"/>
                <w:szCs w:val="21"/>
              </w:rPr>
              <w:t>三级指标</w:t>
            </w:r>
          </w:p>
        </w:tc>
        <w:tc>
          <w:tcPr>
            <w:tcW w:w="160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95291C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auto"/>
              <w:rPr>
                <w:rFonts w:ascii="Times New Roman" w:hAnsi="Times New Roman" w:eastAsia="仿宋_GB2312" w:cs="仿宋_GB2312"/>
                <w:spacing w:val="0"/>
                <w:sz w:val="24"/>
                <w:szCs w:val="21"/>
              </w:rPr>
            </w:pPr>
            <w:r>
              <w:rPr>
                <w:rFonts w:ascii="Times New Roman" w:hAnsi="Times New Roman" w:eastAsia="仿宋_GB2312" w:cs="仿宋_GB2312"/>
                <w:b/>
                <w:bCs/>
                <w:spacing w:val="0"/>
                <w:sz w:val="24"/>
                <w:szCs w:val="21"/>
              </w:rPr>
              <w:t>指标值</w:t>
            </w:r>
          </w:p>
        </w:tc>
      </w:tr>
      <w:tr w14:paraId="72AE3C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14" w:type="dxa"/>
            <w:vMerge w:val="continue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 w14:paraId="6EF64FC9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auto"/>
              <w:rPr>
                <w:rFonts w:ascii="Times New Roman" w:hAnsi="Times New Roman" w:eastAsia="仿宋_GB2312" w:cs="仿宋_GB2312"/>
                <w:spacing w:val="0"/>
                <w:sz w:val="24"/>
              </w:rPr>
            </w:pPr>
          </w:p>
        </w:tc>
        <w:tc>
          <w:tcPr>
            <w:tcW w:w="1257" w:type="dxa"/>
            <w:vMerge w:val="restart"/>
            <w:tcBorders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C50080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auto"/>
              <w:rPr>
                <w:rFonts w:ascii="Times New Roman" w:hAnsi="Times New Roman" w:eastAsia="仿宋_GB2312" w:cs="仿宋_GB2312"/>
                <w:spacing w:val="0"/>
                <w:sz w:val="24"/>
                <w:szCs w:val="21"/>
              </w:rPr>
            </w:pPr>
            <w:r>
              <w:rPr>
                <w:rFonts w:ascii="Times New Roman" w:hAnsi="Times New Roman" w:eastAsia="仿宋_GB2312" w:cs="仿宋_GB2312"/>
                <w:spacing w:val="0"/>
                <w:sz w:val="24"/>
                <w:szCs w:val="21"/>
              </w:rPr>
              <w:t>实施效果指标</w:t>
            </w:r>
          </w:p>
        </w:tc>
        <w:tc>
          <w:tcPr>
            <w:tcW w:w="18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83BA5F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auto"/>
              <w:rPr>
                <w:rFonts w:ascii="Times New Roman" w:hAnsi="Times New Roman" w:eastAsia="仿宋_GB2312" w:cs="仿宋_GB2312"/>
                <w:spacing w:val="0"/>
                <w:sz w:val="24"/>
                <w:szCs w:val="21"/>
              </w:rPr>
            </w:pPr>
            <w:r>
              <w:rPr>
                <w:rFonts w:ascii="Times New Roman" w:hAnsi="Times New Roman" w:eastAsia="仿宋_GB2312" w:cs="仿宋_GB2312"/>
                <w:spacing w:val="0"/>
                <w:sz w:val="24"/>
                <w:szCs w:val="21"/>
              </w:rPr>
              <w:t>产出指标</w:t>
            </w:r>
          </w:p>
        </w:tc>
        <w:tc>
          <w:tcPr>
            <w:tcW w:w="433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246B9B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auto"/>
              <w:rPr>
                <w:rFonts w:ascii="Times New Roman" w:hAnsi="Times New Roman" w:eastAsia="仿宋_GB2312" w:cs="仿宋_GB2312"/>
                <w:spacing w:val="0"/>
                <w:sz w:val="24"/>
                <w:szCs w:val="21"/>
              </w:rPr>
            </w:pPr>
            <w:r>
              <w:rPr>
                <w:rFonts w:ascii="Times New Roman" w:hAnsi="Times New Roman" w:eastAsia="仿宋_GB2312" w:cs="仿宋_GB2312"/>
                <w:spacing w:val="0"/>
                <w:sz w:val="24"/>
                <w:szCs w:val="21"/>
              </w:rPr>
              <w:t>劳务报酬占中央投资比例</w:t>
            </w:r>
          </w:p>
        </w:tc>
        <w:tc>
          <w:tcPr>
            <w:tcW w:w="160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47182E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auto"/>
              <w:rPr>
                <w:rFonts w:ascii="Times New Roman" w:hAnsi="Times New Roman" w:eastAsia="仿宋_GB2312" w:cs="仿宋_GB2312"/>
                <w:spacing w:val="0"/>
                <w:sz w:val="24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spacing w:val="0"/>
                <w:sz w:val="24"/>
                <w:szCs w:val="21"/>
              </w:rPr>
              <w:t>&gt;</w:t>
            </w:r>
            <w:r>
              <w:rPr>
                <w:rFonts w:ascii="Times New Roman" w:hAnsi="Times New Roman" w:eastAsia="仿宋_GB2312" w:cs="仿宋_GB2312"/>
                <w:spacing w:val="0"/>
                <w:sz w:val="24"/>
                <w:szCs w:val="21"/>
              </w:rPr>
              <w:t>40%</w:t>
            </w:r>
          </w:p>
        </w:tc>
      </w:tr>
      <w:tr w14:paraId="1A3F355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14" w:type="dxa"/>
            <w:vMerge w:val="continue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 w14:paraId="4E30A63B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auto"/>
              <w:rPr>
                <w:rFonts w:ascii="Times New Roman" w:hAnsi="Times New Roman" w:eastAsia="仿宋_GB2312" w:cs="仿宋_GB2312"/>
                <w:spacing w:val="0"/>
                <w:sz w:val="24"/>
              </w:rPr>
            </w:pPr>
          </w:p>
        </w:tc>
        <w:tc>
          <w:tcPr>
            <w:tcW w:w="1257" w:type="dxa"/>
            <w:vMerge w:val="continue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2B2933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auto"/>
              <w:rPr>
                <w:rFonts w:ascii="Times New Roman" w:hAnsi="Times New Roman" w:eastAsia="仿宋_GB2312" w:cs="仿宋_GB2312"/>
                <w:spacing w:val="0"/>
                <w:sz w:val="24"/>
              </w:rPr>
            </w:pPr>
          </w:p>
        </w:tc>
        <w:tc>
          <w:tcPr>
            <w:tcW w:w="18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02860A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auto"/>
              <w:rPr>
                <w:rFonts w:ascii="Times New Roman" w:hAnsi="Times New Roman" w:eastAsia="仿宋_GB2312" w:cs="仿宋_GB2312"/>
                <w:spacing w:val="0"/>
                <w:sz w:val="24"/>
                <w:szCs w:val="21"/>
              </w:rPr>
            </w:pPr>
            <w:r>
              <w:rPr>
                <w:rFonts w:ascii="Times New Roman" w:hAnsi="Times New Roman" w:eastAsia="仿宋_GB2312" w:cs="仿宋_GB2312"/>
                <w:spacing w:val="0"/>
                <w:sz w:val="24"/>
                <w:szCs w:val="21"/>
              </w:rPr>
              <w:t>效益指标</w:t>
            </w:r>
          </w:p>
        </w:tc>
        <w:tc>
          <w:tcPr>
            <w:tcW w:w="433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8393B0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auto"/>
              <w:rPr>
                <w:rFonts w:ascii="Times New Roman" w:hAnsi="Times New Roman" w:eastAsia="仿宋_GB2312" w:cs="仿宋_GB2312"/>
                <w:spacing w:val="0"/>
                <w:sz w:val="24"/>
                <w:szCs w:val="21"/>
              </w:rPr>
            </w:pPr>
            <w:r>
              <w:rPr>
                <w:rFonts w:ascii="Times New Roman" w:hAnsi="Times New Roman" w:eastAsia="仿宋_GB2312" w:cs="仿宋_GB2312"/>
                <w:spacing w:val="0"/>
                <w:sz w:val="24"/>
                <w:szCs w:val="21"/>
              </w:rPr>
              <w:t>项目区基础设施条件</w:t>
            </w:r>
          </w:p>
        </w:tc>
        <w:tc>
          <w:tcPr>
            <w:tcW w:w="160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662F84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auto"/>
              <w:rPr>
                <w:rFonts w:ascii="Times New Roman" w:hAnsi="Times New Roman" w:eastAsia="仿宋_GB2312" w:cs="仿宋_GB2312"/>
                <w:spacing w:val="0"/>
                <w:sz w:val="24"/>
                <w:szCs w:val="21"/>
              </w:rPr>
            </w:pPr>
            <w:r>
              <w:rPr>
                <w:rFonts w:ascii="Times New Roman" w:hAnsi="Times New Roman" w:eastAsia="仿宋_GB2312" w:cs="仿宋_GB2312"/>
                <w:spacing w:val="0"/>
                <w:sz w:val="24"/>
                <w:szCs w:val="21"/>
              </w:rPr>
              <w:t>持续改善</w:t>
            </w:r>
          </w:p>
        </w:tc>
      </w:tr>
      <w:tr w14:paraId="624AA5B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14" w:type="dxa"/>
            <w:vMerge w:val="continue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 w14:paraId="0C002A99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auto"/>
              <w:rPr>
                <w:rFonts w:ascii="Times New Roman" w:hAnsi="Times New Roman" w:eastAsia="仿宋_GB2312" w:cs="仿宋_GB2312"/>
                <w:spacing w:val="0"/>
                <w:sz w:val="24"/>
              </w:rPr>
            </w:pPr>
          </w:p>
        </w:tc>
        <w:tc>
          <w:tcPr>
            <w:tcW w:w="1257" w:type="dxa"/>
            <w:vMerge w:val="continue"/>
            <w:tcBorders>
              <w:top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D8EE1A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auto"/>
              <w:rPr>
                <w:rFonts w:ascii="Times New Roman" w:hAnsi="Times New Roman" w:eastAsia="仿宋_GB2312" w:cs="仿宋_GB2312"/>
                <w:spacing w:val="0"/>
                <w:sz w:val="24"/>
              </w:rPr>
            </w:pPr>
          </w:p>
        </w:tc>
        <w:tc>
          <w:tcPr>
            <w:tcW w:w="18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57AD8E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auto"/>
              <w:rPr>
                <w:rFonts w:ascii="Times New Roman" w:hAnsi="Times New Roman" w:eastAsia="仿宋_GB2312" w:cs="仿宋_GB2312"/>
                <w:spacing w:val="0"/>
                <w:sz w:val="24"/>
                <w:szCs w:val="21"/>
              </w:rPr>
            </w:pPr>
            <w:r>
              <w:rPr>
                <w:rFonts w:ascii="Times New Roman" w:hAnsi="Times New Roman" w:eastAsia="仿宋_GB2312" w:cs="仿宋_GB2312"/>
                <w:spacing w:val="0"/>
                <w:sz w:val="24"/>
                <w:szCs w:val="21"/>
              </w:rPr>
              <w:t>满意度指标</w:t>
            </w:r>
          </w:p>
        </w:tc>
        <w:tc>
          <w:tcPr>
            <w:tcW w:w="433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E65720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auto"/>
              <w:rPr>
                <w:rFonts w:ascii="Times New Roman" w:hAnsi="Times New Roman" w:eastAsia="仿宋_GB2312" w:cs="仿宋_GB2312"/>
                <w:spacing w:val="0"/>
                <w:sz w:val="24"/>
                <w:szCs w:val="21"/>
              </w:rPr>
            </w:pPr>
            <w:r>
              <w:rPr>
                <w:rFonts w:ascii="Times New Roman" w:hAnsi="Times New Roman" w:eastAsia="仿宋_GB2312" w:cs="仿宋_GB2312"/>
                <w:spacing w:val="0"/>
                <w:sz w:val="24"/>
                <w:szCs w:val="21"/>
              </w:rPr>
              <w:t>参与工程建设的务工群众满意度</w:t>
            </w:r>
          </w:p>
        </w:tc>
        <w:tc>
          <w:tcPr>
            <w:tcW w:w="160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FD003B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auto"/>
              <w:rPr>
                <w:rFonts w:ascii="Times New Roman" w:hAnsi="Times New Roman" w:eastAsia="仿宋_GB2312" w:cs="仿宋_GB2312"/>
                <w:spacing w:val="0"/>
                <w:sz w:val="24"/>
                <w:szCs w:val="21"/>
              </w:rPr>
            </w:pPr>
            <w:r>
              <w:rPr>
                <w:rFonts w:ascii="Times New Roman" w:hAnsi="Times New Roman" w:eastAsia="仿宋_GB2312" w:cs="仿宋_GB2312"/>
                <w:spacing w:val="0"/>
                <w:sz w:val="24"/>
                <w:szCs w:val="21"/>
              </w:rPr>
              <w:t>≥90%</w:t>
            </w:r>
          </w:p>
        </w:tc>
      </w:tr>
      <w:tr w14:paraId="70BC33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14" w:type="dxa"/>
            <w:vMerge w:val="continue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 w14:paraId="4DA7A320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auto"/>
              <w:rPr>
                <w:rFonts w:ascii="Times New Roman" w:hAnsi="Times New Roman" w:eastAsia="仿宋_GB2312" w:cs="仿宋_GB2312"/>
                <w:spacing w:val="0"/>
                <w:sz w:val="24"/>
              </w:rPr>
            </w:pPr>
          </w:p>
        </w:tc>
        <w:tc>
          <w:tcPr>
            <w:tcW w:w="1257" w:type="dxa"/>
            <w:vMerge w:val="restart"/>
            <w:tcBorders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F97790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auto"/>
              <w:rPr>
                <w:rFonts w:ascii="Times New Roman" w:hAnsi="Times New Roman" w:eastAsia="仿宋_GB2312" w:cs="仿宋_GB2312"/>
                <w:spacing w:val="0"/>
                <w:sz w:val="24"/>
                <w:szCs w:val="21"/>
              </w:rPr>
            </w:pPr>
            <w:r>
              <w:rPr>
                <w:rFonts w:ascii="Times New Roman" w:hAnsi="Times New Roman" w:eastAsia="仿宋_GB2312" w:cs="仿宋_GB2312"/>
                <w:spacing w:val="0"/>
                <w:sz w:val="24"/>
                <w:szCs w:val="21"/>
              </w:rPr>
              <w:t>过程管理指标</w:t>
            </w:r>
          </w:p>
        </w:tc>
        <w:tc>
          <w:tcPr>
            <w:tcW w:w="1800" w:type="dxa"/>
            <w:vMerge w:val="restart"/>
            <w:tcBorders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CDC755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auto"/>
              <w:rPr>
                <w:rFonts w:ascii="Times New Roman" w:hAnsi="Times New Roman" w:eastAsia="仿宋_GB2312" w:cs="仿宋_GB2312"/>
                <w:spacing w:val="0"/>
                <w:sz w:val="24"/>
                <w:szCs w:val="21"/>
              </w:rPr>
            </w:pPr>
            <w:r>
              <w:rPr>
                <w:rFonts w:ascii="Times New Roman" w:hAnsi="Times New Roman" w:eastAsia="仿宋_GB2312" w:cs="仿宋_GB2312"/>
                <w:spacing w:val="0"/>
                <w:sz w:val="24"/>
                <w:szCs w:val="21"/>
              </w:rPr>
              <w:t>计划管理指标</w:t>
            </w:r>
          </w:p>
        </w:tc>
        <w:tc>
          <w:tcPr>
            <w:tcW w:w="433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981C7E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auto"/>
              <w:rPr>
                <w:rFonts w:ascii="Times New Roman" w:hAnsi="Times New Roman" w:eastAsia="仿宋_GB2312" w:cs="仿宋_GB2312"/>
                <w:spacing w:val="0"/>
                <w:sz w:val="24"/>
                <w:szCs w:val="21"/>
              </w:rPr>
            </w:pPr>
            <w:r>
              <w:rPr>
                <w:rFonts w:ascii="Times New Roman" w:hAnsi="Times New Roman" w:eastAsia="仿宋_GB2312" w:cs="仿宋_GB2312"/>
                <w:spacing w:val="0"/>
                <w:sz w:val="24"/>
                <w:szCs w:val="21"/>
              </w:rPr>
              <w:t>投资计划分解</w:t>
            </w:r>
            <w:r>
              <w:rPr>
                <w:rFonts w:hint="eastAsia" w:ascii="Times New Roman" w:hAnsi="Times New Roman" w:eastAsia="仿宋_GB2312" w:cs="仿宋_GB2312"/>
                <w:spacing w:val="0"/>
                <w:sz w:val="24"/>
                <w:szCs w:val="21"/>
                <w:lang w:eastAsia="zh-CN"/>
              </w:rPr>
              <w:t>（</w:t>
            </w:r>
            <w:r>
              <w:rPr>
                <w:rFonts w:ascii="Times New Roman" w:hAnsi="Times New Roman" w:eastAsia="仿宋_GB2312" w:cs="仿宋_GB2312"/>
                <w:spacing w:val="0"/>
                <w:sz w:val="24"/>
                <w:szCs w:val="21"/>
              </w:rPr>
              <w:t>转发</w:t>
            </w:r>
            <w:r>
              <w:rPr>
                <w:rFonts w:hint="eastAsia" w:ascii="Times New Roman" w:hAnsi="Times New Roman" w:eastAsia="仿宋_GB2312" w:cs="仿宋_GB2312"/>
                <w:spacing w:val="0"/>
                <w:sz w:val="24"/>
                <w:szCs w:val="21"/>
                <w:lang w:eastAsia="zh-CN"/>
              </w:rPr>
              <w:t>）</w:t>
            </w:r>
            <w:r>
              <w:rPr>
                <w:rFonts w:ascii="Times New Roman" w:hAnsi="Times New Roman" w:eastAsia="仿宋_GB2312" w:cs="仿宋_GB2312"/>
                <w:spacing w:val="0"/>
                <w:sz w:val="24"/>
                <w:szCs w:val="21"/>
              </w:rPr>
              <w:t>用时</w:t>
            </w:r>
          </w:p>
        </w:tc>
        <w:tc>
          <w:tcPr>
            <w:tcW w:w="160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8F457D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auto"/>
              <w:rPr>
                <w:rFonts w:ascii="Times New Roman" w:hAnsi="Times New Roman" w:eastAsia="仿宋_GB2312" w:cs="仿宋_GB2312"/>
                <w:spacing w:val="0"/>
                <w:sz w:val="24"/>
                <w:szCs w:val="21"/>
              </w:rPr>
            </w:pPr>
            <w:r>
              <w:rPr>
                <w:rFonts w:ascii="Times New Roman" w:hAnsi="Times New Roman" w:eastAsia="仿宋_GB2312" w:cs="仿宋_GB2312"/>
                <w:spacing w:val="0"/>
                <w:sz w:val="24"/>
                <w:szCs w:val="21"/>
              </w:rPr>
              <w:t>≤20个工作日</w:t>
            </w:r>
          </w:p>
        </w:tc>
      </w:tr>
      <w:tr w14:paraId="58F0CCB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14" w:type="dxa"/>
            <w:vMerge w:val="continue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 w14:paraId="14FF8CE9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auto"/>
              <w:rPr>
                <w:rFonts w:ascii="Times New Roman" w:hAnsi="Times New Roman" w:eastAsia="仿宋_GB2312" w:cs="仿宋_GB2312"/>
                <w:spacing w:val="0"/>
                <w:sz w:val="24"/>
              </w:rPr>
            </w:pPr>
          </w:p>
        </w:tc>
        <w:tc>
          <w:tcPr>
            <w:tcW w:w="1257" w:type="dxa"/>
            <w:vMerge w:val="continue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67D388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auto"/>
              <w:rPr>
                <w:rFonts w:ascii="Times New Roman" w:hAnsi="Times New Roman" w:eastAsia="仿宋_GB2312" w:cs="仿宋_GB2312"/>
                <w:spacing w:val="0"/>
                <w:sz w:val="24"/>
              </w:rPr>
            </w:pPr>
          </w:p>
        </w:tc>
        <w:tc>
          <w:tcPr>
            <w:tcW w:w="1800" w:type="dxa"/>
            <w:vMerge w:val="continue"/>
            <w:tcBorders>
              <w:top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A9E4D7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auto"/>
              <w:rPr>
                <w:rFonts w:ascii="Times New Roman" w:hAnsi="Times New Roman" w:eastAsia="仿宋_GB2312" w:cs="仿宋_GB2312"/>
                <w:spacing w:val="0"/>
                <w:sz w:val="24"/>
              </w:rPr>
            </w:pPr>
          </w:p>
        </w:tc>
        <w:tc>
          <w:tcPr>
            <w:tcW w:w="433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BC3C1E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auto"/>
              <w:rPr>
                <w:rFonts w:ascii="Times New Roman" w:hAnsi="Times New Roman" w:eastAsia="仿宋_GB2312" w:cs="仿宋_GB2312"/>
                <w:spacing w:val="0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pacing w:val="0"/>
                <w:sz w:val="24"/>
                <w:szCs w:val="21"/>
                <w:lang w:eastAsia="zh-CN"/>
              </w:rPr>
              <w:t>“</w:t>
            </w:r>
            <w:r>
              <w:rPr>
                <w:rFonts w:ascii="Times New Roman" w:hAnsi="Times New Roman" w:eastAsia="仿宋_GB2312" w:cs="仿宋_GB2312"/>
                <w:spacing w:val="0"/>
                <w:sz w:val="24"/>
                <w:szCs w:val="21"/>
              </w:rPr>
              <w:t>两个责任</w:t>
            </w:r>
            <w:r>
              <w:rPr>
                <w:rFonts w:hint="eastAsia" w:ascii="Times New Roman" w:hAnsi="Times New Roman" w:eastAsia="仿宋_GB2312" w:cs="仿宋_GB2312"/>
                <w:spacing w:val="0"/>
                <w:sz w:val="24"/>
                <w:szCs w:val="21"/>
                <w:lang w:eastAsia="zh-CN"/>
              </w:rPr>
              <w:t>”</w:t>
            </w:r>
            <w:r>
              <w:rPr>
                <w:rFonts w:ascii="Times New Roman" w:hAnsi="Times New Roman" w:eastAsia="仿宋_GB2312" w:cs="仿宋_GB2312"/>
                <w:spacing w:val="0"/>
                <w:sz w:val="24"/>
                <w:szCs w:val="21"/>
              </w:rPr>
              <w:t>按项目落实到位率</w:t>
            </w:r>
          </w:p>
        </w:tc>
        <w:tc>
          <w:tcPr>
            <w:tcW w:w="160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2EC601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auto"/>
              <w:rPr>
                <w:rFonts w:ascii="Times New Roman" w:hAnsi="Times New Roman" w:eastAsia="仿宋_GB2312" w:cs="仿宋_GB2312"/>
                <w:spacing w:val="0"/>
                <w:sz w:val="24"/>
                <w:szCs w:val="21"/>
              </w:rPr>
            </w:pPr>
            <w:r>
              <w:rPr>
                <w:rFonts w:ascii="Times New Roman" w:hAnsi="Times New Roman" w:eastAsia="仿宋_GB2312" w:cs="仿宋_GB2312"/>
                <w:spacing w:val="0"/>
                <w:sz w:val="24"/>
                <w:szCs w:val="21"/>
              </w:rPr>
              <w:t>100%</w:t>
            </w:r>
          </w:p>
        </w:tc>
      </w:tr>
      <w:tr w14:paraId="65D541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14" w:type="dxa"/>
            <w:vMerge w:val="continue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 w14:paraId="2712B89F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auto"/>
              <w:rPr>
                <w:rFonts w:ascii="Times New Roman" w:hAnsi="Times New Roman" w:eastAsia="仿宋_GB2312" w:cs="仿宋_GB2312"/>
                <w:spacing w:val="0"/>
                <w:sz w:val="24"/>
              </w:rPr>
            </w:pPr>
          </w:p>
        </w:tc>
        <w:tc>
          <w:tcPr>
            <w:tcW w:w="1257" w:type="dxa"/>
            <w:vMerge w:val="continue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4186B2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auto"/>
              <w:rPr>
                <w:rFonts w:ascii="Times New Roman" w:hAnsi="Times New Roman" w:eastAsia="仿宋_GB2312" w:cs="仿宋_GB2312"/>
                <w:spacing w:val="0"/>
                <w:sz w:val="24"/>
              </w:rPr>
            </w:pPr>
          </w:p>
        </w:tc>
        <w:tc>
          <w:tcPr>
            <w:tcW w:w="1800" w:type="dxa"/>
            <w:vMerge w:val="restart"/>
            <w:tcBorders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84CBAB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auto"/>
              <w:rPr>
                <w:rFonts w:ascii="Times New Roman" w:hAnsi="Times New Roman" w:eastAsia="仿宋_GB2312" w:cs="仿宋_GB2312"/>
                <w:spacing w:val="0"/>
                <w:sz w:val="24"/>
                <w:szCs w:val="21"/>
              </w:rPr>
            </w:pPr>
            <w:r>
              <w:rPr>
                <w:rFonts w:ascii="Times New Roman" w:hAnsi="Times New Roman" w:eastAsia="仿宋_GB2312" w:cs="仿宋_GB2312"/>
                <w:spacing w:val="0"/>
                <w:sz w:val="24"/>
                <w:szCs w:val="21"/>
              </w:rPr>
              <w:t>资金管理指标</w:t>
            </w:r>
          </w:p>
        </w:tc>
        <w:tc>
          <w:tcPr>
            <w:tcW w:w="433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8C9887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auto"/>
              <w:rPr>
                <w:rFonts w:ascii="Times New Roman" w:hAnsi="Times New Roman" w:eastAsia="仿宋_GB2312" w:cs="仿宋_GB2312"/>
                <w:spacing w:val="0"/>
                <w:sz w:val="24"/>
                <w:szCs w:val="21"/>
              </w:rPr>
            </w:pPr>
            <w:r>
              <w:rPr>
                <w:rFonts w:ascii="Times New Roman" w:hAnsi="Times New Roman" w:eastAsia="仿宋_GB2312" w:cs="仿宋_GB2312"/>
                <w:spacing w:val="0"/>
                <w:sz w:val="24"/>
                <w:szCs w:val="21"/>
              </w:rPr>
              <w:t>中央预算内投资支付率</w:t>
            </w:r>
          </w:p>
        </w:tc>
        <w:tc>
          <w:tcPr>
            <w:tcW w:w="160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931F8B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auto"/>
              <w:rPr>
                <w:rFonts w:ascii="Times New Roman" w:hAnsi="Times New Roman" w:eastAsia="仿宋_GB2312" w:cs="仿宋_GB2312"/>
                <w:spacing w:val="0"/>
                <w:sz w:val="24"/>
                <w:szCs w:val="21"/>
              </w:rPr>
            </w:pPr>
            <w:r>
              <w:rPr>
                <w:rFonts w:ascii="Times New Roman" w:hAnsi="Times New Roman" w:eastAsia="仿宋_GB2312" w:cs="仿宋_GB2312"/>
                <w:spacing w:val="0"/>
                <w:sz w:val="24"/>
                <w:szCs w:val="21"/>
              </w:rPr>
              <w:t>≥95%</w:t>
            </w:r>
          </w:p>
        </w:tc>
      </w:tr>
      <w:tr w14:paraId="7AEC79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14" w:type="dxa"/>
            <w:vMerge w:val="continue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 w14:paraId="4671322B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auto"/>
              <w:rPr>
                <w:rFonts w:ascii="Times New Roman" w:hAnsi="Times New Roman" w:eastAsia="仿宋_GB2312" w:cs="仿宋_GB2312"/>
                <w:spacing w:val="0"/>
                <w:sz w:val="24"/>
              </w:rPr>
            </w:pPr>
          </w:p>
        </w:tc>
        <w:tc>
          <w:tcPr>
            <w:tcW w:w="1257" w:type="dxa"/>
            <w:vMerge w:val="continue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B728B8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auto"/>
              <w:rPr>
                <w:rFonts w:ascii="Times New Roman" w:hAnsi="Times New Roman" w:eastAsia="仿宋_GB2312" w:cs="仿宋_GB2312"/>
                <w:spacing w:val="0"/>
                <w:sz w:val="24"/>
              </w:rPr>
            </w:pPr>
          </w:p>
        </w:tc>
        <w:tc>
          <w:tcPr>
            <w:tcW w:w="1800" w:type="dxa"/>
            <w:vMerge w:val="continue"/>
            <w:tcBorders>
              <w:top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A25464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auto"/>
              <w:rPr>
                <w:rFonts w:ascii="Times New Roman" w:hAnsi="Times New Roman" w:eastAsia="仿宋_GB2312" w:cs="仿宋_GB2312"/>
                <w:spacing w:val="0"/>
                <w:sz w:val="24"/>
              </w:rPr>
            </w:pPr>
          </w:p>
        </w:tc>
        <w:tc>
          <w:tcPr>
            <w:tcW w:w="433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75A976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auto"/>
              <w:rPr>
                <w:rFonts w:ascii="Times New Roman" w:hAnsi="Times New Roman" w:eastAsia="仿宋_GB2312" w:cs="仿宋_GB2312"/>
                <w:spacing w:val="0"/>
                <w:sz w:val="24"/>
                <w:szCs w:val="21"/>
              </w:rPr>
            </w:pPr>
            <w:r>
              <w:rPr>
                <w:rFonts w:ascii="Times New Roman" w:hAnsi="Times New Roman" w:eastAsia="仿宋_GB2312" w:cs="仿宋_GB2312"/>
                <w:spacing w:val="0"/>
                <w:sz w:val="24"/>
                <w:szCs w:val="21"/>
              </w:rPr>
              <w:t>年度计划投资完成率</w:t>
            </w:r>
          </w:p>
        </w:tc>
        <w:tc>
          <w:tcPr>
            <w:tcW w:w="160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7CB0F5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auto"/>
              <w:rPr>
                <w:rFonts w:ascii="Times New Roman" w:hAnsi="Times New Roman" w:eastAsia="仿宋_GB2312" w:cs="仿宋_GB2312"/>
                <w:spacing w:val="0"/>
                <w:sz w:val="24"/>
                <w:szCs w:val="21"/>
              </w:rPr>
            </w:pPr>
            <w:r>
              <w:rPr>
                <w:rFonts w:ascii="Times New Roman" w:hAnsi="Times New Roman" w:eastAsia="仿宋_GB2312" w:cs="仿宋_GB2312"/>
                <w:spacing w:val="0"/>
                <w:sz w:val="24"/>
                <w:szCs w:val="21"/>
              </w:rPr>
              <w:t>≥95%</w:t>
            </w:r>
          </w:p>
        </w:tc>
      </w:tr>
      <w:tr w14:paraId="1BB630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14" w:type="dxa"/>
            <w:vMerge w:val="continue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 w14:paraId="5025A12C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auto"/>
              <w:rPr>
                <w:rFonts w:ascii="Times New Roman" w:hAnsi="Times New Roman" w:eastAsia="仿宋_GB2312" w:cs="仿宋_GB2312"/>
                <w:spacing w:val="0"/>
                <w:sz w:val="24"/>
              </w:rPr>
            </w:pPr>
          </w:p>
        </w:tc>
        <w:tc>
          <w:tcPr>
            <w:tcW w:w="1257" w:type="dxa"/>
            <w:vMerge w:val="continue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2F89BE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auto"/>
              <w:rPr>
                <w:rFonts w:ascii="Times New Roman" w:hAnsi="Times New Roman" w:eastAsia="仿宋_GB2312" w:cs="仿宋_GB2312"/>
                <w:spacing w:val="0"/>
                <w:sz w:val="24"/>
              </w:rPr>
            </w:pPr>
          </w:p>
        </w:tc>
        <w:tc>
          <w:tcPr>
            <w:tcW w:w="1800" w:type="dxa"/>
            <w:vMerge w:val="restart"/>
            <w:tcBorders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060A5D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auto"/>
              <w:rPr>
                <w:rFonts w:ascii="Times New Roman" w:hAnsi="Times New Roman" w:eastAsia="仿宋_GB2312" w:cs="仿宋_GB2312"/>
                <w:spacing w:val="0"/>
                <w:sz w:val="24"/>
                <w:szCs w:val="21"/>
              </w:rPr>
            </w:pPr>
            <w:r>
              <w:rPr>
                <w:rFonts w:ascii="Times New Roman" w:hAnsi="Times New Roman" w:eastAsia="仿宋_GB2312" w:cs="仿宋_GB2312"/>
                <w:spacing w:val="0"/>
                <w:sz w:val="24"/>
                <w:szCs w:val="21"/>
              </w:rPr>
              <w:t>项目管理指标</w:t>
            </w:r>
          </w:p>
        </w:tc>
        <w:tc>
          <w:tcPr>
            <w:tcW w:w="433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2FA8CB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auto"/>
              <w:rPr>
                <w:rFonts w:ascii="Times New Roman" w:hAnsi="Times New Roman" w:eastAsia="仿宋_GB2312" w:cs="仿宋_GB2312"/>
                <w:spacing w:val="0"/>
                <w:sz w:val="24"/>
                <w:szCs w:val="21"/>
              </w:rPr>
            </w:pPr>
            <w:r>
              <w:rPr>
                <w:rFonts w:ascii="Times New Roman" w:hAnsi="Times New Roman" w:eastAsia="仿宋_GB2312" w:cs="仿宋_GB2312"/>
                <w:spacing w:val="0"/>
                <w:sz w:val="24"/>
                <w:szCs w:val="21"/>
              </w:rPr>
              <w:t>项目开工率</w:t>
            </w:r>
          </w:p>
        </w:tc>
        <w:tc>
          <w:tcPr>
            <w:tcW w:w="160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88BA21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auto"/>
              <w:rPr>
                <w:rFonts w:ascii="Times New Roman" w:hAnsi="Times New Roman" w:eastAsia="仿宋_GB2312" w:cs="仿宋_GB2312"/>
                <w:spacing w:val="0"/>
                <w:sz w:val="24"/>
                <w:szCs w:val="21"/>
              </w:rPr>
            </w:pPr>
            <w:r>
              <w:rPr>
                <w:rFonts w:ascii="Times New Roman" w:hAnsi="Times New Roman" w:eastAsia="仿宋_GB2312" w:cs="仿宋_GB2312"/>
                <w:spacing w:val="0"/>
                <w:sz w:val="24"/>
                <w:szCs w:val="21"/>
              </w:rPr>
              <w:t>≥95%</w:t>
            </w:r>
          </w:p>
        </w:tc>
      </w:tr>
      <w:tr w14:paraId="0E4A429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14" w:type="dxa"/>
            <w:vMerge w:val="continue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 w14:paraId="093A4935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auto"/>
              <w:rPr>
                <w:rFonts w:ascii="Times New Roman" w:hAnsi="Times New Roman" w:eastAsia="仿宋_GB2312" w:cs="仿宋_GB2312"/>
                <w:spacing w:val="0"/>
                <w:sz w:val="24"/>
              </w:rPr>
            </w:pPr>
          </w:p>
        </w:tc>
        <w:tc>
          <w:tcPr>
            <w:tcW w:w="1257" w:type="dxa"/>
            <w:vMerge w:val="continue"/>
            <w:tcBorders>
              <w:top w:val="nil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9C1139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auto"/>
              <w:rPr>
                <w:rFonts w:ascii="Times New Roman" w:hAnsi="Times New Roman" w:eastAsia="仿宋_GB2312" w:cs="仿宋_GB2312"/>
                <w:spacing w:val="0"/>
                <w:sz w:val="24"/>
              </w:rPr>
            </w:pPr>
          </w:p>
        </w:tc>
        <w:tc>
          <w:tcPr>
            <w:tcW w:w="1800" w:type="dxa"/>
            <w:vMerge w:val="continue"/>
            <w:tcBorders>
              <w:top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FDA6E2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auto"/>
              <w:rPr>
                <w:rFonts w:ascii="Times New Roman" w:hAnsi="Times New Roman" w:eastAsia="仿宋_GB2312" w:cs="仿宋_GB2312"/>
                <w:spacing w:val="0"/>
                <w:sz w:val="24"/>
              </w:rPr>
            </w:pPr>
          </w:p>
        </w:tc>
        <w:tc>
          <w:tcPr>
            <w:tcW w:w="433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154A47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auto"/>
              <w:rPr>
                <w:rFonts w:ascii="Times New Roman" w:hAnsi="Times New Roman" w:eastAsia="仿宋_GB2312" w:cs="仿宋_GB2312"/>
                <w:spacing w:val="0"/>
                <w:sz w:val="24"/>
                <w:szCs w:val="21"/>
              </w:rPr>
            </w:pPr>
            <w:r>
              <w:rPr>
                <w:rFonts w:ascii="Times New Roman" w:hAnsi="Times New Roman" w:eastAsia="仿宋_GB2312" w:cs="仿宋_GB2312"/>
                <w:spacing w:val="0"/>
                <w:sz w:val="24"/>
                <w:szCs w:val="21"/>
              </w:rPr>
              <w:t>超规模、超标准、超概算项目比例</w:t>
            </w:r>
          </w:p>
        </w:tc>
        <w:tc>
          <w:tcPr>
            <w:tcW w:w="160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0AF5EC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auto"/>
              <w:rPr>
                <w:rFonts w:ascii="Times New Roman" w:hAnsi="Times New Roman" w:eastAsia="仿宋_GB2312" w:cs="仿宋_GB2312"/>
                <w:spacing w:val="0"/>
                <w:sz w:val="24"/>
                <w:szCs w:val="21"/>
              </w:rPr>
            </w:pPr>
            <w:r>
              <w:rPr>
                <w:rFonts w:ascii="Times New Roman" w:hAnsi="Times New Roman" w:eastAsia="仿宋_GB2312" w:cs="仿宋_GB2312"/>
                <w:spacing w:val="0"/>
                <w:sz w:val="24"/>
                <w:szCs w:val="21"/>
              </w:rPr>
              <w:t>0</w:t>
            </w:r>
          </w:p>
        </w:tc>
      </w:tr>
      <w:tr w14:paraId="4B6A05A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14" w:type="dxa"/>
            <w:vMerge w:val="continue"/>
            <w:tcBorders>
              <w:top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 w14:paraId="5F734FAA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auto"/>
              <w:rPr>
                <w:rFonts w:ascii="Times New Roman" w:hAnsi="Times New Roman" w:eastAsia="仿宋_GB2312" w:cs="仿宋_GB2312"/>
                <w:spacing w:val="0"/>
                <w:sz w:val="24"/>
              </w:rPr>
            </w:pPr>
          </w:p>
        </w:tc>
        <w:tc>
          <w:tcPr>
            <w:tcW w:w="1257" w:type="dxa"/>
            <w:vMerge w:val="continue"/>
            <w:tcBorders>
              <w:top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CD878F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auto"/>
              <w:rPr>
                <w:rFonts w:ascii="Times New Roman" w:hAnsi="Times New Roman" w:eastAsia="仿宋_GB2312" w:cs="仿宋_GB2312"/>
                <w:spacing w:val="0"/>
                <w:sz w:val="24"/>
              </w:rPr>
            </w:pPr>
          </w:p>
        </w:tc>
        <w:tc>
          <w:tcPr>
            <w:tcW w:w="18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FCCE8D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auto"/>
              <w:rPr>
                <w:rFonts w:ascii="Times New Roman" w:hAnsi="Times New Roman" w:eastAsia="仿宋_GB2312" w:cs="仿宋_GB2312"/>
                <w:spacing w:val="0"/>
                <w:sz w:val="24"/>
                <w:szCs w:val="21"/>
              </w:rPr>
            </w:pPr>
            <w:r>
              <w:rPr>
                <w:rFonts w:ascii="Times New Roman" w:hAnsi="Times New Roman" w:eastAsia="仿宋_GB2312" w:cs="仿宋_GB2312"/>
                <w:spacing w:val="0"/>
                <w:sz w:val="24"/>
                <w:szCs w:val="21"/>
              </w:rPr>
              <w:t>监督检查指标</w:t>
            </w:r>
          </w:p>
        </w:tc>
        <w:tc>
          <w:tcPr>
            <w:tcW w:w="433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2EA8E8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auto"/>
              <w:rPr>
                <w:rFonts w:ascii="Times New Roman" w:hAnsi="Times New Roman" w:eastAsia="仿宋_GB2312" w:cs="仿宋_GB2312"/>
                <w:spacing w:val="0"/>
                <w:sz w:val="24"/>
                <w:szCs w:val="21"/>
              </w:rPr>
            </w:pPr>
            <w:r>
              <w:rPr>
                <w:rFonts w:ascii="Times New Roman" w:hAnsi="Times New Roman" w:eastAsia="仿宋_GB2312" w:cs="仿宋_GB2312"/>
                <w:spacing w:val="0"/>
                <w:sz w:val="24"/>
                <w:szCs w:val="21"/>
              </w:rPr>
              <w:t>审计、督查、巡视等指出问题项目比例</w:t>
            </w:r>
          </w:p>
        </w:tc>
        <w:tc>
          <w:tcPr>
            <w:tcW w:w="160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9BEF10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auto"/>
              <w:rPr>
                <w:rFonts w:ascii="Times New Roman" w:hAnsi="Times New Roman" w:eastAsia="仿宋_GB2312" w:cs="仿宋_GB2312"/>
                <w:spacing w:val="0"/>
                <w:sz w:val="24"/>
                <w:szCs w:val="21"/>
              </w:rPr>
            </w:pPr>
            <w:r>
              <w:rPr>
                <w:rFonts w:ascii="Times New Roman" w:hAnsi="Times New Roman" w:eastAsia="仿宋_GB2312" w:cs="仿宋_GB2312"/>
                <w:spacing w:val="0"/>
                <w:sz w:val="24"/>
                <w:szCs w:val="21"/>
              </w:rPr>
              <w:t>≤1%</w:t>
            </w:r>
          </w:p>
        </w:tc>
      </w:tr>
    </w:tbl>
    <w:p w14:paraId="507A370F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240" w:lineRule="atLeast"/>
        <w:jc w:val="both"/>
        <w:textAlignment w:val="auto"/>
      </w:pPr>
    </w:p>
    <w:p w14:paraId="7807CBE4"/>
    <w:p w14:paraId="4CB08F95"/>
    <w:p w14:paraId="36777FE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exact"/>
        <w:ind w:left="0" w:right="0" w:firstLine="0"/>
        <w:jc w:val="both"/>
        <w:textAlignment w:val="baseline"/>
        <w:rPr>
          <w:rFonts w:hint="eastAsia" w:eastAsia="宋体"/>
          <w:lang w:eastAsia="zh-CN"/>
        </w:rPr>
      </w:pPr>
    </w:p>
    <w:sectPr>
      <w:pgSz w:w="11900" w:h="16830"/>
      <w:pgMar w:top="1701" w:right="1474" w:bottom="1701" w:left="1587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angSong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17EC930">
    <w:pPr>
      <w:spacing w:line="14" w:lineRule="auto"/>
      <w:rPr>
        <w:rFonts w:ascii="Arial"/>
        <w:sz w:val="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FF2F75"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176580D6"/>
    <w:rsid w:val="1E3F28C1"/>
    <w:rsid w:val="1EE7E84C"/>
    <w:rsid w:val="1FDF1D46"/>
    <w:rsid w:val="29DE7334"/>
    <w:rsid w:val="4FDF568C"/>
    <w:rsid w:val="5BFB0953"/>
    <w:rsid w:val="5D13D92D"/>
    <w:rsid w:val="5F7D9C3D"/>
    <w:rsid w:val="6FFE6DCA"/>
    <w:rsid w:val="73ED1320"/>
    <w:rsid w:val="77EEB974"/>
    <w:rsid w:val="792D3D9C"/>
    <w:rsid w:val="7B9FACCD"/>
    <w:rsid w:val="7F7757C5"/>
    <w:rsid w:val="7FA34149"/>
    <w:rsid w:val="897F553B"/>
    <w:rsid w:val="9ADEAC6D"/>
    <w:rsid w:val="BD64C404"/>
    <w:rsid w:val="BDBF08EE"/>
    <w:rsid w:val="BED7464F"/>
    <w:rsid w:val="C86FEDE4"/>
    <w:rsid w:val="D0EFA451"/>
    <w:rsid w:val="D63FF716"/>
    <w:rsid w:val="DADF734A"/>
    <w:rsid w:val="DDFFB886"/>
    <w:rsid w:val="F37E7F7D"/>
    <w:rsid w:val="F693834D"/>
    <w:rsid w:val="FEFAF694"/>
    <w:rsid w:val="FF3F800D"/>
    <w:rsid w:val="FFE570E0"/>
    <w:rsid w:val="FFEF13CE"/>
    <w:rsid w:val="FFF6456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FangSong" w:hAnsi="FangSong" w:eastAsia="FangSong" w:cs="FangSong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TotalTime>0</TotalTime>
  <ScaleCrop>false</ScaleCrop>
  <LinksUpToDate>false</LinksUpToDate>
  <Application>WPS Office_12.8.2.1119_F1E327BC-269C-435d-A152-05C5408002CA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2025-07-11T16:15:00Z</dcterms:created>
  <dc:creator>kylin</dc:creator>
  <cp:lastModifiedBy>momo</cp:lastModifiedBy>
  <cp:lastPrinted>2025-12-12T07:31:00Z</cp:lastPrinted>
  <dcterms:modified xsi:type="dcterms:W3CDTF">2025-12-11T16:48:10Z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2025-07-08T08:16:21Z</vt:filetime>
  </property>
  <property fmtid="{D5CDD505-2E9C-101B-9397-08002B2CF9AE}" pid="4" name="UsrData">
    <vt:lpwstr>686c63119bbe14001fe9f38fwl</vt:lpwstr>
  </property>
  <property fmtid="{D5CDD505-2E9C-101B-9397-08002B2CF9AE}" pid="5" name="KSOProductBuildVer">
    <vt:lpwstr>2052-12.8.2.1119</vt:lpwstr>
  </property>
  <property fmtid="{D5CDD505-2E9C-101B-9397-08002B2CF9AE}" pid="6" name="ICV">
    <vt:lpwstr>1BC9BC433E17D2A721D76C683CA0E15B_42</vt:lpwstr>
  </property>
</Properties>
</file>