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2717C">
      <w:pPr>
        <w:spacing w:line="1120" w:lineRule="exact"/>
        <w:rPr>
          <w:rFonts w:ascii="仿宋_GB2312" w:hAnsi="仿宋_GB2312" w:eastAsia="仿宋_GB2312"/>
          <w:b/>
          <w:w w:val="200"/>
          <w:kern w:val="1"/>
          <w:sz w:val="44"/>
          <w:szCs w:val="44"/>
        </w:rPr>
      </w:pPr>
    </w:p>
    <w:p w14:paraId="634F6D24">
      <w:pPr>
        <w:pStyle w:val="26"/>
        <w:adjustRightInd w:val="0"/>
        <w:snapToGrid w:val="0"/>
        <w:spacing w:line="340" w:lineRule="exact"/>
      </w:pPr>
    </w:p>
    <w:p w14:paraId="7EE2628A">
      <w:pPr>
        <w:spacing w:afterLines="150" w:line="500" w:lineRule="exact"/>
        <w:jc w:val="center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ascii="仿宋_GB2312" w:hAnsi="仿宋_GB2312" w:eastAsia="仿宋_GB2312"/>
          <w:b/>
          <w:kern w:val="1"/>
          <w:sz w:val="44"/>
          <w:szCs w:val="44"/>
        </w:rPr>
        <w:t xml:space="preserve">                  </w:t>
      </w:r>
      <w:r>
        <w:rPr>
          <w:rFonts w:hint="eastAsia" w:ascii="仿宋_GB2312" w:hAnsi="仿宋_GB2312" w:eastAsia="仿宋_GB2312"/>
          <w:b/>
          <w:kern w:val="1"/>
          <w:sz w:val="44"/>
          <w:szCs w:val="44"/>
        </w:rPr>
        <w:t xml:space="preserve"> </w:t>
      </w:r>
      <w:r>
        <w:rPr>
          <w:rFonts w:ascii="仿宋" w:hAnsi="仿宋" w:eastAsia="仿宋" w:cs="仿宋"/>
          <w:kern w:val="1"/>
          <w:sz w:val="32"/>
          <w:szCs w:val="32"/>
        </w:rPr>
        <w:t>潭环审</w:t>
      </w:r>
      <w:r>
        <w:rPr>
          <w:rFonts w:hint="eastAsia" w:ascii="仿宋" w:hAnsi="仿宋" w:eastAsia="仿宋" w:cs="仿宋"/>
          <w:kern w:val="1"/>
          <w:sz w:val="32"/>
          <w:szCs w:val="32"/>
        </w:rPr>
        <w:t>(湘潭县)</w:t>
      </w:r>
      <w:r>
        <w:rPr>
          <w:rFonts w:hint="eastAsia" w:ascii="仿宋" w:hAnsi="仿宋" w:eastAsia="仿宋" w:cs="宋体"/>
          <w:sz w:val="32"/>
          <w:szCs w:val="32"/>
        </w:rPr>
        <w:t>〔</w:t>
      </w:r>
      <w:r>
        <w:rPr>
          <w:rFonts w:ascii="仿宋" w:hAnsi="仿宋" w:eastAsia="仿宋" w:cs="宋体"/>
          <w:sz w:val="32"/>
          <w:szCs w:val="32"/>
        </w:rPr>
        <w:t>20</w:t>
      </w:r>
      <w:r>
        <w:rPr>
          <w:rFonts w:hint="eastAsia" w:ascii="仿宋" w:hAnsi="仿宋" w:eastAsia="仿宋" w:cs="宋体"/>
          <w:sz w:val="32"/>
          <w:szCs w:val="32"/>
        </w:rPr>
        <w:t>25〕37</w:t>
      </w:r>
      <w:r>
        <w:rPr>
          <w:rFonts w:ascii="仿宋" w:hAnsi="仿宋" w:eastAsia="仿宋" w:cs="仿宋"/>
          <w:kern w:val="1"/>
          <w:sz w:val="32"/>
          <w:szCs w:val="32"/>
        </w:rPr>
        <w:t xml:space="preserve">号 </w:t>
      </w:r>
    </w:p>
    <w:p w14:paraId="1DBFB919">
      <w:pPr>
        <w:pStyle w:val="3"/>
        <w:widowControl/>
        <w:adjustRightInd w:val="0"/>
        <w:snapToGrid w:val="0"/>
        <w:spacing w:line="420" w:lineRule="exact"/>
      </w:pPr>
    </w:p>
    <w:p w14:paraId="6312CC00">
      <w:pPr>
        <w:spacing w:line="520" w:lineRule="exact"/>
        <w:ind w:right="-42" w:rightChars="-20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关于《湖南零废时代资源利用有限公司湘潭县</w:t>
      </w:r>
      <w:bookmarkStart w:id="0" w:name="OLE_LINK14"/>
      <w:bookmarkStart w:id="1" w:name="OLE_LINK15"/>
      <w:r>
        <w:rPr>
          <w:rFonts w:hint="eastAsia" w:ascii="宋体" w:hAnsi="宋体"/>
          <w:b/>
          <w:bCs/>
          <w:sz w:val="44"/>
          <w:szCs w:val="44"/>
        </w:rPr>
        <w:t>土壤、底泥</w:t>
      </w:r>
      <w:bookmarkEnd w:id="0"/>
      <w:bookmarkEnd w:id="1"/>
      <w:r>
        <w:rPr>
          <w:rFonts w:hint="eastAsia" w:ascii="宋体" w:hAnsi="宋体"/>
          <w:b/>
          <w:bCs/>
          <w:sz w:val="44"/>
          <w:szCs w:val="44"/>
        </w:rPr>
        <w:t>等资源循环利用中心项目环境影响报告表》的审批意见</w:t>
      </w:r>
    </w:p>
    <w:p w14:paraId="37CC9E96">
      <w:pPr>
        <w:spacing w:line="480" w:lineRule="exact"/>
        <w:ind w:right="-42" w:rightChars="-20"/>
        <w:jc w:val="center"/>
        <w:rPr>
          <w:rFonts w:ascii="仿宋" w:hAnsi="仿宋" w:eastAsia="仿宋"/>
          <w:color w:val="FF0000"/>
          <w:sz w:val="10"/>
          <w:szCs w:val="10"/>
        </w:rPr>
      </w:pPr>
    </w:p>
    <w:p w14:paraId="2FA40A00">
      <w:pPr>
        <w:spacing w:line="48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湖南零废时代资源利用有限公司：</w:t>
      </w:r>
    </w:p>
    <w:p w14:paraId="14BD0240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你公司由湖南三方环境科技有限公司编制的《湖南零废时代资源利用有限公司湘潭县土壤、底泥等资源循环利用中心项目环境影响报告表》(以下简称报告表)及相关材料已收悉。经研究，批复如下：</w:t>
      </w:r>
    </w:p>
    <w:p w14:paraId="2AD17719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bookmarkStart w:id="2" w:name="OLE_LINK26"/>
      <w:bookmarkStart w:id="3" w:name="OLE_LINK25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一、湖南零废时代资源利用有限公司拟投资10000万元，选址于湘潭县杨嘉桥镇九江村泉塘组，建设湘潭县土壤、底泥等资源循环利用中心项目。</w:t>
      </w:r>
      <w:bookmarkEnd w:id="2"/>
      <w:bookmarkEnd w:id="3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项目总占地面积19366m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，主要建设内容包括：生产车间2栋（资源化车间、无害化车间）、科研楼1栋及环保工程等。主要处置内容包括：①设计年处理重金属污染土壤和沟渠底泥25万吨，其中重金属污染土壤（20万t/a）、重金属污染沟渠底泥（5万t/a）；②综合利用：食品产业园废水处理站污泥（1万t/a）、砂场污泥（3万t/a）、工程渣土（6万t/a）；总处理规模35万t/a，主要来源为湘潭市及周边地区。主要产品方案及规模为：免烧砖19.67万t/a、园林绿化用土2万</w:t>
      </w:r>
      <w:bookmarkStart w:id="4" w:name="OLE_LINK52"/>
      <w:bookmarkStart w:id="5" w:name="OLE_LINK53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t/a</w:t>
      </w:r>
      <w:bookmarkEnd w:id="4"/>
      <w:bookmarkEnd w:id="5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、基坑回填用土5.82万t/a、烧结产品原料12.76万t/a。重金属污染土壤、沟渠底泥修复</w:t>
      </w:r>
      <w:bookmarkStart w:id="6" w:name="OLE_LINK48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主要工艺为</w:t>
      </w:r>
      <w:bookmarkEnd w:id="6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：固化稳定化、还原处理、淋洗修复等；免烧砖</w:t>
      </w:r>
      <w:bookmarkStart w:id="7" w:name="OLE_LINK58"/>
      <w:bookmarkStart w:id="8" w:name="OLE_LINK57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主要生产工艺为：</w:t>
      </w:r>
      <w:bookmarkEnd w:id="7"/>
      <w:bookmarkEnd w:id="8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破碎筛分、配料计量、</w:t>
      </w:r>
      <w:bookmarkStart w:id="9" w:name="OLE_LINK59"/>
      <w:bookmarkStart w:id="10" w:name="OLE_LINK60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搅拌混合、</w:t>
      </w:r>
      <w:bookmarkEnd w:id="9"/>
      <w:bookmarkEnd w:id="10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压制成型、自然养护等；园林绿化用土主要生产工艺：配料、搅拌混合、腐熟、检验、成品装袋等</w:t>
      </w:r>
      <w:bookmarkStart w:id="11" w:name="OLE_LINK7"/>
      <w:bookmarkStart w:id="12" w:name="OLE_LINK6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。</w:t>
      </w:r>
    </w:p>
    <w:p w14:paraId="5533A768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该项目符合国家产业政策，选址符合《湘潭市“十四五”生态环境保护规划》要求，同时已取得县人民政府同意,根据环评结论及专家评审意见，项目的建设符合调规后的杨河工业园区（原杨河城镇化核心组团项目）产业准入条件，待杨河工业园调扩区规划环评审批完成后，项目方可进行投产。</w:t>
      </w:r>
    </w:p>
    <w:bookmarkEnd w:id="11"/>
    <w:bookmarkEnd w:id="12"/>
    <w:p w14:paraId="74F4A436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二、项目在建设和营运期间，建设单位必须认真落实环评报告表中提出的各项环保要求，落实环保“三同时”措施，确保各项污染物稳定达标排放，并须着重做好以下工作：</w:t>
      </w:r>
    </w:p>
    <w:p w14:paraId="79FCF6A4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1、施工期污染防治工作。切实做到文明施工、科学施工，施工场地和施工设施要注意“三废”治理和噪声防护。按照湘潭市污染防治攻坚战相关管理要求，严格落实建筑工地扬尘防控措施，落实“八个百分百”要求。施工作业废水经隔油沉淀池处理后回用，不得直排周边水体。使用低噪声施工机械，并采取减震降噪措施，确保施工厂界噪声达到《建筑施工场界环境噪声排放标准》（GB12523-2011）要求。施工过程中产生土石方及时回填，严禁随意堆弃；建筑垃圾、生活垃圾等固体废物，应集中分类收集，及时清运并交由相关部门妥善处理。</w:t>
      </w:r>
    </w:p>
    <w:p w14:paraId="791814A1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、废气污染防治工作。加强车间废气收集和处理，做好生产和储存场所密闭措施，严格控制废气无组织排放。优化运输路线，采用专用车辆密闭运输，防止物料跑、冒、滴、漏；厂内地面及道路应及时进行清扫，生产车间及</w:t>
      </w:r>
      <w:bookmarkStart w:id="13" w:name="OLE_LINK72"/>
      <w:bookmarkStart w:id="14" w:name="OLE_LINK73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原料</w:t>
      </w:r>
      <w:bookmarkEnd w:id="13"/>
      <w:bookmarkEnd w:id="14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（产品）堆场进行全封闭处理，并配备喷雾降尘和除臭装置。资源化车间内上料、破碎筛分、免烧砖投料搅拌工序等产生的粉尘采取布袋除尘器处理后，通过15米高排气筒（DA001）高空排放</w:t>
      </w:r>
      <w:bookmarkStart w:id="15" w:name="OLE_LINK77"/>
      <w:bookmarkStart w:id="16" w:name="OLE_LINK76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，</w:t>
      </w:r>
      <w:bookmarkEnd w:id="15"/>
      <w:bookmarkEnd w:id="16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颗粒物排放确保达到《砖瓦工业大气污染物排放标准》（GB29620-2013）及修改单中表2浓度限值，</w:t>
      </w:r>
      <w:bookmarkStart w:id="17" w:name="OLE_LINK20"/>
      <w:bookmarkStart w:id="18" w:name="OLE_LINK21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镉等重金属因子排放浓度</w:t>
      </w:r>
      <w:bookmarkEnd w:id="17"/>
      <w:bookmarkEnd w:id="18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确保达到《大气污染物综合排放标准》（GB16297-1996）</w:t>
      </w:r>
      <w:bookmarkStart w:id="19" w:name="OLE_LINK23"/>
      <w:bookmarkStart w:id="20" w:name="OLE_LINK22"/>
      <w:bookmarkStart w:id="21" w:name="OLE_LINK24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表2中标准限值</w:t>
      </w:r>
      <w:bookmarkEnd w:id="19"/>
      <w:bookmarkEnd w:id="20"/>
      <w:bookmarkEnd w:id="21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。车间内及暂存区产生的恶臭气体经负压收集，采取生物除臭装置处理后，通过15米高排气筒（DA002）高空排放，氨、硫化氢、臭气浓度确保达到《恶臭污染物排放标准》（GB14554-93）表2中相关标准限值；无害化车间内上料、投加药剂废气采取布袋除尘器处理后，通过15米高排气筒（DA003）高空排放，颗粒物及重金属因子排放浓度确保达到《大气污染物综合排放标准》（GB16297-1996）表2中标准限值。水泥筒仓口粉尘经布袋除尘器处理，确保厂界颗粒物达到《砖瓦工业大气污染物排放标准》（GB29620-2013）及修改单表3中标准限值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。厂界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镉等重金属因子排放达到《大气污染物综合排放标准》（GB16297-1996）表2</w:t>
      </w:r>
      <w:r>
        <w:rPr>
          <w:rFonts w:hint="eastAsia" w:ascii="仿宋" w:hAnsi="仿宋" w:eastAsia="仿宋" w:cs="宋体"/>
          <w:sz w:val="32"/>
          <w:szCs w:val="32"/>
        </w:rPr>
        <w:t>中无组织排放监控浓度限值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，硫化氢、氨、臭气浓度达到《恶臭污染物排放标准》（GB14554-93）表1中二级标准限值。</w:t>
      </w:r>
    </w:p>
    <w:p w14:paraId="46308EDD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3、废水污染防治工作。按照“雨污分流”的原则建设厂区排水管网。初期雨水经絮凝沉淀后回用于筛上物冲洗或淋洗工序；车辆冲洗废水经絮凝沉淀后</w:t>
      </w:r>
      <w:bookmarkStart w:id="22" w:name="OLE_LINK9"/>
      <w:bookmarkStart w:id="23" w:name="OLE_LINK8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循环使用</w:t>
      </w:r>
      <w:bookmarkEnd w:id="22"/>
      <w:bookmarkEnd w:id="23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；筛上物冲洗废水、淋洗废水经厂区一体化</w:t>
      </w:r>
      <w:bookmarkStart w:id="24" w:name="OLE_LINK11"/>
      <w:bookmarkStart w:id="25" w:name="OLE_LINK10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污水处理设施</w:t>
      </w:r>
      <w:bookmarkEnd w:id="24"/>
      <w:bookmarkEnd w:id="25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（500t/d）</w:t>
      </w:r>
      <w:r>
        <w:rPr>
          <w:rFonts w:hint="eastAsia" w:ascii="仿宋" w:hAnsi="仿宋" w:eastAsia="仿宋" w:cs="仿宋"/>
          <w:sz w:val="32"/>
          <w:szCs w:val="32"/>
        </w:rPr>
        <w:t>采取“pH调节+重金属捕集+混凝沉淀+MBR膜+高级氧化+砂滤/碳滤”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处理后回用;以上生产废水均不外排。生活废水经化粪池处理后，回用于厂区农林施肥；待杨河工业园区污水处理站及配套管网建成纳污后，废水排放确保达到《污水综合排放标准》(GB8978-1996)表4中三级标准和污水处理站进水水质接纳标准后排入城镇污水管网。</w:t>
      </w:r>
    </w:p>
    <w:p w14:paraId="6E0E7E3A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4、噪声污染防治工作。优化厂区内设备布局，选用低噪声设备，</w:t>
      </w:r>
      <w:bookmarkStart w:id="26" w:name="OLE_LINK2"/>
      <w:bookmarkStart w:id="27" w:name="OLE_LINK1"/>
      <w:bookmarkStart w:id="28" w:name="OLE_LINK3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并采取隔音、降噪和减震等措施，确保厂界噪声达到《工业企业厂界环境噪声排放标准》（GB12348-2008）中3类标准。</w:t>
      </w:r>
    </w:p>
    <w:bookmarkEnd w:id="26"/>
    <w:bookmarkEnd w:id="27"/>
    <w:bookmarkEnd w:id="28"/>
    <w:p w14:paraId="083FE3F6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5、固体废物污染防治工作。严格按照“无害化、减量化、资源化”原则，将各类固体废物分类收集贮存、转运、综合利用、安全处置。不合格产品、除尘器收集粉尘、初期雨水池沉淀污泥回用于生产工序；制砖产生的废边角料、废模具、废包装材料、石块等一般工业固废收集后外售综合利用；危险废物须按照《危险废物收集、贮存、运输技术规范》（HJ2025-2012）、《危险废物贮存污染控制标准》（GB18597-2023）要求进行收集贮存，交由资质单位进行处理并报县分局备案，危废暂存间须按相关要求设置并建立相关台账，规范设立标识标牌等；生活垃圾分类收集后，定期交由环卫部门妥善处理。</w:t>
      </w:r>
    </w:p>
    <w:p w14:paraId="268A2A8F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6、地下水环境防治工作。按照“源头控制、分区防治、污染监控、应急响应”原则。储存场所按照相关规范要求进行硬化，达到防扬撒、防流失、防腐防渗漏等要求，避免厂区废水污染物下渗，对区域地下水环境产生不利影响。</w:t>
      </w:r>
    </w:p>
    <w:p w14:paraId="13AA6230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7、</w:t>
      </w:r>
      <w:bookmarkStart w:id="29" w:name="OLE_LINK40"/>
      <w:bookmarkStart w:id="30" w:name="OLE_LINK41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环境风险防范工作。设置废水应急缓冲池、事故应急池和截流沟等环境风险防范措施，避免废水事故性排放。严格履行建设单位环保主体责任，加强生产和环保管理，安排环保专员负责环保设施运转维护。建立定期监测制度，按要求制定突发环境事件应急预案，切实防范各类环境风险事故。</w:t>
      </w:r>
    </w:p>
    <w:p w14:paraId="3C55CCD7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8、建立“源头管控-过程监测-合规溯源”防控体系。原料入场前，必须符合报告表中提出各项准入要求，</w:t>
      </w:r>
      <w:bookmarkEnd w:id="29"/>
      <w:bookmarkEnd w:id="30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不得涉及有机污染土壤、放射性污染</w:t>
      </w:r>
      <w:bookmarkStart w:id="31" w:name="OLE_LINK43"/>
      <w:bookmarkStart w:id="32" w:name="OLE_LINK42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土壤</w:t>
      </w:r>
      <w:bookmarkEnd w:id="31"/>
      <w:bookmarkEnd w:id="32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、危险废物等土壤收集和处置。重金属污染土壤经修复后，可用于基坑回填；污染沟渠底泥经处理后，用作烧结产品；食品产业园废水处理站污泥经处理后，用作生产园林绿化用土；砂场污泥、工程渣土经处理后，用作免烧砖；所有原料经处理达到相应标准且满足相关管控要求后，方可用于回填或再生利用。</w:t>
      </w:r>
    </w:p>
    <w:p w14:paraId="3309FF24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bookmarkStart w:id="33" w:name="OLE_LINK4"/>
      <w:bookmarkStart w:id="34" w:name="OLE_LINK5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三、建设单位须严格落实重金属污染物排放总量控制要求，</w:t>
      </w:r>
      <w:r>
        <w:rPr>
          <w:rFonts w:hint="eastAsia" w:ascii="仿宋" w:hAnsi="仿宋" w:eastAsia="仿宋" w:cs="仿宋"/>
          <w:sz w:val="32"/>
          <w:szCs w:val="32"/>
        </w:rPr>
        <w:t>严控重金属污染物排放，确保涉重金属环境污染和风险可控。该项目实施后，</w:t>
      </w:r>
      <w:r>
        <w:rPr>
          <w:rFonts w:ascii="仿宋" w:hAnsi="仿宋" w:eastAsia="仿宋"/>
          <w:sz w:val="32"/>
          <w:szCs w:val="32"/>
        </w:rPr>
        <w:t>主要污染物排放总量</w:t>
      </w:r>
      <w:r>
        <w:rPr>
          <w:rFonts w:hint="eastAsia" w:ascii="仿宋" w:hAnsi="仿宋" w:eastAsia="仿宋"/>
          <w:sz w:val="32"/>
          <w:szCs w:val="32"/>
        </w:rPr>
        <w:t>为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</w:rPr>
        <w:t>砷及其化合物3.40×10</w:t>
      </w:r>
      <w:r>
        <w:rPr>
          <w:rFonts w:ascii="仿宋" w:hAnsi="仿宋" w:eastAsia="仿宋"/>
          <w:sz w:val="32"/>
          <w:szCs w:val="32"/>
          <w:vertAlign w:val="superscript"/>
        </w:rPr>
        <w:t>-3</w:t>
      </w:r>
      <w:r>
        <w:rPr>
          <w:rFonts w:hint="eastAsia" w:ascii="仿宋" w:hAnsi="仿宋" w:eastAsia="仿宋"/>
          <w:sz w:val="32"/>
          <w:szCs w:val="32"/>
        </w:rPr>
        <w:t>kg/a、镉及其化合物9.73×10</w:t>
      </w:r>
      <w:r>
        <w:rPr>
          <w:rFonts w:ascii="仿宋" w:hAnsi="仿宋" w:eastAsia="仿宋"/>
          <w:sz w:val="32"/>
          <w:szCs w:val="32"/>
          <w:vertAlign w:val="superscript"/>
        </w:rPr>
        <w:t>-6</w:t>
      </w:r>
      <w:r>
        <w:rPr>
          <w:rFonts w:hint="eastAsia" w:ascii="仿宋" w:hAnsi="仿宋" w:eastAsia="仿宋"/>
          <w:sz w:val="32"/>
          <w:szCs w:val="32"/>
        </w:rPr>
        <w:t>kg/a、铬（六价铬）1.24×10</w:t>
      </w:r>
      <w:r>
        <w:rPr>
          <w:rFonts w:ascii="仿宋" w:hAnsi="仿宋" w:eastAsia="仿宋"/>
          <w:sz w:val="32"/>
          <w:szCs w:val="32"/>
          <w:vertAlign w:val="superscript"/>
        </w:rPr>
        <w:t>-4</w:t>
      </w:r>
      <w:r>
        <w:rPr>
          <w:rFonts w:hint="eastAsia" w:ascii="仿宋" w:hAnsi="仿宋" w:eastAsia="仿宋"/>
          <w:sz w:val="32"/>
          <w:szCs w:val="32"/>
        </w:rPr>
        <w:t>kg/a。</w:t>
      </w:r>
    </w:p>
    <w:bookmarkEnd w:id="33"/>
    <w:bookmarkEnd w:id="34"/>
    <w:p w14:paraId="70628251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四、建设单位须严格执行“排污许可”“三同时”管理规定及相关环境管理制度，项目启动生产设施或实际排污之前，须取得排污许可手续，并按照规定依法开展竣工环境保护验收工作。</w:t>
      </w:r>
    </w:p>
    <w:p w14:paraId="69CED653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五、项目建设的性质、规模、地点、采用的生产工艺或者防治污染、防止生态破坏的措施发生重大变动的，建设单位应当重新报批建设项目环境影响评价文件。建设项目的环境影响评价文件自批准之日起超过5年，才开工建设的，其环境影响评价文件应当报原审批部</w:t>
      </w:r>
      <w:bookmarkStart w:id="35" w:name="_GoBack"/>
      <w:bookmarkEnd w:id="35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门重新审核。</w:t>
      </w:r>
    </w:p>
    <w:p w14:paraId="5F08D6AC">
      <w:pPr>
        <w:spacing w:line="48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</w:p>
    <w:p w14:paraId="1548FF70">
      <w:pPr>
        <w:spacing w:line="48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</w:p>
    <w:p w14:paraId="03D09CC7">
      <w:pPr>
        <w:spacing w:line="48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</w:p>
    <w:p w14:paraId="55BEBE4C">
      <w:pPr>
        <w:spacing w:line="48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</w:p>
    <w:p w14:paraId="5977838C">
      <w:pPr>
        <w:spacing w:line="480" w:lineRule="exact"/>
        <w:ind w:firstLine="5760" w:firstLineChars="18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（盖 章）</w:t>
      </w:r>
    </w:p>
    <w:p w14:paraId="762C3787">
      <w:pPr>
        <w:spacing w:line="48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                                 2025年11月1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日</w:t>
      </w: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644" w:right="1474" w:bottom="1474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48BAAD">
    <w:pPr>
      <w:pStyle w:val="17"/>
      <w:tabs>
        <w:tab w:val="clear" w:pos="4153"/>
        <w:tab w:val="clear" w:pos="8306"/>
      </w:tabs>
      <w:jc w:val="both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21C53E">
    <w:pPr>
      <w:pStyle w:val="17"/>
      <w:framePr w:wrap="around" w:vAnchor="text" w:hAnchor="margin" w:xAlign="center" w:y="1"/>
      <w:tabs>
        <w:tab w:val="clear" w:pos="4153"/>
        <w:tab w:val="clear" w:pos="8306"/>
      </w:tabs>
    </w:pPr>
    <w:r>
      <w:fldChar w:fldCharType="begin"/>
    </w:r>
    <w:r>
      <w:rPr>
        <w:rStyle w:val="25"/>
      </w:rPr>
      <w:instrText xml:space="preserve">PAGE  </w:instrText>
    </w:r>
    <w:r>
      <w:fldChar w:fldCharType="end"/>
    </w:r>
  </w:p>
  <w:p w14:paraId="0BF5F8FC">
    <w:pPr>
      <w:pStyle w:val="17"/>
      <w:tabs>
        <w:tab w:val="clear" w:pos="4153"/>
        <w:tab w:val="clear" w:pos="8306"/>
      </w:tabs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C83328">
    <w:pPr>
      <w:pStyle w:val="17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35916D">
    <w:pPr>
      <w:pStyle w:val="19"/>
      <w:pBdr>
        <w:bottom w:val="none" w:color="auto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031"/>
    <w:rsid w:val="000126F3"/>
    <w:rsid w:val="0002123C"/>
    <w:rsid w:val="00022388"/>
    <w:rsid w:val="000363AE"/>
    <w:rsid w:val="00041E32"/>
    <w:rsid w:val="00042445"/>
    <w:rsid w:val="000466E7"/>
    <w:rsid w:val="00051952"/>
    <w:rsid w:val="00051AD5"/>
    <w:rsid w:val="00075BF7"/>
    <w:rsid w:val="00075F19"/>
    <w:rsid w:val="00077AFE"/>
    <w:rsid w:val="000809E7"/>
    <w:rsid w:val="00080F84"/>
    <w:rsid w:val="00081E45"/>
    <w:rsid w:val="000A0F7A"/>
    <w:rsid w:val="000C6ABA"/>
    <w:rsid w:val="000F0103"/>
    <w:rsid w:val="000F33DA"/>
    <w:rsid w:val="000F648C"/>
    <w:rsid w:val="000F72FA"/>
    <w:rsid w:val="00123C4C"/>
    <w:rsid w:val="0013424C"/>
    <w:rsid w:val="00140957"/>
    <w:rsid w:val="00152429"/>
    <w:rsid w:val="001648FF"/>
    <w:rsid w:val="00172A27"/>
    <w:rsid w:val="00173C74"/>
    <w:rsid w:val="00195BBF"/>
    <w:rsid w:val="001C77CD"/>
    <w:rsid w:val="001D0C7B"/>
    <w:rsid w:val="00202EA9"/>
    <w:rsid w:val="0023679F"/>
    <w:rsid w:val="00237AD9"/>
    <w:rsid w:val="00237F99"/>
    <w:rsid w:val="00245D33"/>
    <w:rsid w:val="00250B97"/>
    <w:rsid w:val="0026300B"/>
    <w:rsid w:val="00265B6A"/>
    <w:rsid w:val="002766C3"/>
    <w:rsid w:val="00282D54"/>
    <w:rsid w:val="002876F2"/>
    <w:rsid w:val="002D43F1"/>
    <w:rsid w:val="002E4393"/>
    <w:rsid w:val="00303D67"/>
    <w:rsid w:val="003070E5"/>
    <w:rsid w:val="00307D60"/>
    <w:rsid w:val="00311238"/>
    <w:rsid w:val="003236F2"/>
    <w:rsid w:val="00325D16"/>
    <w:rsid w:val="003A194B"/>
    <w:rsid w:val="003A4475"/>
    <w:rsid w:val="003A476B"/>
    <w:rsid w:val="003A50CA"/>
    <w:rsid w:val="003B2057"/>
    <w:rsid w:val="003C00BE"/>
    <w:rsid w:val="003C3C75"/>
    <w:rsid w:val="003E34C1"/>
    <w:rsid w:val="003F0CF6"/>
    <w:rsid w:val="00402F79"/>
    <w:rsid w:val="00414810"/>
    <w:rsid w:val="00417581"/>
    <w:rsid w:val="004333CA"/>
    <w:rsid w:val="004363C5"/>
    <w:rsid w:val="00464D02"/>
    <w:rsid w:val="00495892"/>
    <w:rsid w:val="00495967"/>
    <w:rsid w:val="004A4279"/>
    <w:rsid w:val="004B1E5C"/>
    <w:rsid w:val="004B7D7A"/>
    <w:rsid w:val="004D0187"/>
    <w:rsid w:val="0050173E"/>
    <w:rsid w:val="005069F1"/>
    <w:rsid w:val="00514D1D"/>
    <w:rsid w:val="00517CF8"/>
    <w:rsid w:val="00520A98"/>
    <w:rsid w:val="00546369"/>
    <w:rsid w:val="005538C4"/>
    <w:rsid w:val="005606F2"/>
    <w:rsid w:val="005906D6"/>
    <w:rsid w:val="005923D4"/>
    <w:rsid w:val="005C1390"/>
    <w:rsid w:val="006011DF"/>
    <w:rsid w:val="0064117E"/>
    <w:rsid w:val="00672BF6"/>
    <w:rsid w:val="0069053D"/>
    <w:rsid w:val="006A2E5C"/>
    <w:rsid w:val="006B0523"/>
    <w:rsid w:val="006B50DA"/>
    <w:rsid w:val="006C503A"/>
    <w:rsid w:val="006F4326"/>
    <w:rsid w:val="00700983"/>
    <w:rsid w:val="00706C93"/>
    <w:rsid w:val="007133D1"/>
    <w:rsid w:val="007503AC"/>
    <w:rsid w:val="00754895"/>
    <w:rsid w:val="00760DAF"/>
    <w:rsid w:val="00784FB5"/>
    <w:rsid w:val="00790787"/>
    <w:rsid w:val="007A2E5F"/>
    <w:rsid w:val="007B1A68"/>
    <w:rsid w:val="007C5D09"/>
    <w:rsid w:val="007D2620"/>
    <w:rsid w:val="008378AE"/>
    <w:rsid w:val="008450D2"/>
    <w:rsid w:val="00862B9A"/>
    <w:rsid w:val="00862E76"/>
    <w:rsid w:val="00881C57"/>
    <w:rsid w:val="008A7152"/>
    <w:rsid w:val="008B4E1A"/>
    <w:rsid w:val="008C424E"/>
    <w:rsid w:val="008D70AB"/>
    <w:rsid w:val="009012E2"/>
    <w:rsid w:val="00906663"/>
    <w:rsid w:val="00915376"/>
    <w:rsid w:val="009153F0"/>
    <w:rsid w:val="009170B7"/>
    <w:rsid w:val="0091767B"/>
    <w:rsid w:val="00923628"/>
    <w:rsid w:val="00930D99"/>
    <w:rsid w:val="0093153E"/>
    <w:rsid w:val="0093750A"/>
    <w:rsid w:val="00946EC9"/>
    <w:rsid w:val="00950561"/>
    <w:rsid w:val="00975726"/>
    <w:rsid w:val="0099426F"/>
    <w:rsid w:val="009A4633"/>
    <w:rsid w:val="009B0A53"/>
    <w:rsid w:val="009C220E"/>
    <w:rsid w:val="00A000A5"/>
    <w:rsid w:val="00A06489"/>
    <w:rsid w:val="00A15BB4"/>
    <w:rsid w:val="00A21889"/>
    <w:rsid w:val="00A23015"/>
    <w:rsid w:val="00A3698C"/>
    <w:rsid w:val="00A44AE3"/>
    <w:rsid w:val="00A55267"/>
    <w:rsid w:val="00A5576E"/>
    <w:rsid w:val="00A677A1"/>
    <w:rsid w:val="00A72E57"/>
    <w:rsid w:val="00A7704B"/>
    <w:rsid w:val="00A80CE5"/>
    <w:rsid w:val="00A94013"/>
    <w:rsid w:val="00AD1993"/>
    <w:rsid w:val="00AD42A7"/>
    <w:rsid w:val="00AE1116"/>
    <w:rsid w:val="00AE292C"/>
    <w:rsid w:val="00AF24AE"/>
    <w:rsid w:val="00AF5896"/>
    <w:rsid w:val="00B10CFF"/>
    <w:rsid w:val="00B14223"/>
    <w:rsid w:val="00B24A20"/>
    <w:rsid w:val="00B34D33"/>
    <w:rsid w:val="00B52A50"/>
    <w:rsid w:val="00B82EF0"/>
    <w:rsid w:val="00B94A02"/>
    <w:rsid w:val="00BA1C6F"/>
    <w:rsid w:val="00BD5DC3"/>
    <w:rsid w:val="00BF0A1B"/>
    <w:rsid w:val="00BF5DA5"/>
    <w:rsid w:val="00C12B57"/>
    <w:rsid w:val="00C14850"/>
    <w:rsid w:val="00C14968"/>
    <w:rsid w:val="00C22B12"/>
    <w:rsid w:val="00C238A1"/>
    <w:rsid w:val="00C3094F"/>
    <w:rsid w:val="00C315CD"/>
    <w:rsid w:val="00C377FF"/>
    <w:rsid w:val="00C43A77"/>
    <w:rsid w:val="00C43F74"/>
    <w:rsid w:val="00C633D1"/>
    <w:rsid w:val="00C679C5"/>
    <w:rsid w:val="00C9061C"/>
    <w:rsid w:val="00CD627A"/>
    <w:rsid w:val="00CE3FF0"/>
    <w:rsid w:val="00CF3516"/>
    <w:rsid w:val="00CF3D99"/>
    <w:rsid w:val="00D02730"/>
    <w:rsid w:val="00D1729B"/>
    <w:rsid w:val="00D56187"/>
    <w:rsid w:val="00D761E9"/>
    <w:rsid w:val="00DD28B6"/>
    <w:rsid w:val="00DD59D5"/>
    <w:rsid w:val="00DD5DEA"/>
    <w:rsid w:val="00DE16CF"/>
    <w:rsid w:val="00DF03D9"/>
    <w:rsid w:val="00E41B9C"/>
    <w:rsid w:val="00E51370"/>
    <w:rsid w:val="00E56554"/>
    <w:rsid w:val="00E574F2"/>
    <w:rsid w:val="00E62223"/>
    <w:rsid w:val="00E72722"/>
    <w:rsid w:val="00EA79F4"/>
    <w:rsid w:val="00EB41A5"/>
    <w:rsid w:val="00EB5973"/>
    <w:rsid w:val="00EE2435"/>
    <w:rsid w:val="00EF55C1"/>
    <w:rsid w:val="00EF57A9"/>
    <w:rsid w:val="00F13D85"/>
    <w:rsid w:val="00F2117D"/>
    <w:rsid w:val="00F21E00"/>
    <w:rsid w:val="00F243BE"/>
    <w:rsid w:val="00F3177F"/>
    <w:rsid w:val="00F321F3"/>
    <w:rsid w:val="00F55A2C"/>
    <w:rsid w:val="00F64BBC"/>
    <w:rsid w:val="00F709A3"/>
    <w:rsid w:val="00F80E72"/>
    <w:rsid w:val="00FA0A47"/>
    <w:rsid w:val="00FA5A16"/>
    <w:rsid w:val="00FB1AE2"/>
    <w:rsid w:val="00FB632E"/>
    <w:rsid w:val="00FD2E04"/>
    <w:rsid w:val="00FD3907"/>
    <w:rsid w:val="00FE0595"/>
    <w:rsid w:val="00FE42C2"/>
    <w:rsid w:val="00FF3F54"/>
    <w:rsid w:val="01120ED3"/>
    <w:rsid w:val="02F019DF"/>
    <w:rsid w:val="04554EEF"/>
    <w:rsid w:val="0AC26C98"/>
    <w:rsid w:val="0ACB09F1"/>
    <w:rsid w:val="0AD14069"/>
    <w:rsid w:val="10B40E8C"/>
    <w:rsid w:val="12D965F6"/>
    <w:rsid w:val="13877103"/>
    <w:rsid w:val="13F24102"/>
    <w:rsid w:val="17B44FF8"/>
    <w:rsid w:val="225D0766"/>
    <w:rsid w:val="23052FE5"/>
    <w:rsid w:val="23360FB7"/>
    <w:rsid w:val="234907C8"/>
    <w:rsid w:val="247942D8"/>
    <w:rsid w:val="26C650FD"/>
    <w:rsid w:val="2700223F"/>
    <w:rsid w:val="31605B7D"/>
    <w:rsid w:val="34260F9E"/>
    <w:rsid w:val="46381AFD"/>
    <w:rsid w:val="4EA027D3"/>
    <w:rsid w:val="53C573A9"/>
    <w:rsid w:val="55546EF7"/>
    <w:rsid w:val="559372B9"/>
    <w:rsid w:val="59F86EE9"/>
    <w:rsid w:val="5BD561CB"/>
    <w:rsid w:val="613A5DE1"/>
    <w:rsid w:val="61B725A1"/>
    <w:rsid w:val="69296E29"/>
    <w:rsid w:val="6C3C5ECB"/>
    <w:rsid w:val="6D965EA7"/>
    <w:rsid w:val="6EBF31DC"/>
    <w:rsid w:val="70051865"/>
    <w:rsid w:val="72EE6C9D"/>
    <w:rsid w:val="73183407"/>
    <w:rsid w:val="76EA7054"/>
    <w:rsid w:val="78D35D05"/>
    <w:rsid w:val="7A0E39CD"/>
    <w:rsid w:val="7B526CD1"/>
    <w:rsid w:val="7BE06FE6"/>
    <w:rsid w:val="7EC6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qFormat/>
    <w:uiPriority w:val="0"/>
    <w:pPr>
      <w:widowControl w:val="0"/>
      <w:spacing w:line="0" w:lineRule="atLeast"/>
      <w:ind w:firstLine="42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3">
    <w:name w:val="Body Text Indent 2"/>
    <w:basedOn w:val="1"/>
    <w:qFormat/>
    <w:uiPriority w:val="0"/>
    <w:pPr>
      <w:spacing w:line="560" w:lineRule="exact"/>
      <w:ind w:firstLine="482"/>
    </w:pPr>
    <w:rPr>
      <w:spacing w:val="-20"/>
      <w:sz w:val="28"/>
    </w:rPr>
  </w:style>
  <w:style w:type="paragraph" w:styleId="4">
    <w:name w:val="Balloon Text"/>
    <w:basedOn w:val="1"/>
    <w:link w:val="30"/>
    <w:qFormat/>
    <w:uiPriority w:val="0"/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8">
    <w:name w:val="正文文字"/>
    <w:basedOn w:val="9"/>
    <w:next w:val="1"/>
    <w:qFormat/>
    <w:uiPriority w:val="0"/>
    <w:pPr>
      <w:snapToGrid w:val="0"/>
      <w:spacing w:line="480" w:lineRule="exact"/>
      <w:ind w:firstLine="200" w:firstLineChars="200"/>
    </w:pPr>
    <w:rPr>
      <w:sz w:val="24"/>
      <w:szCs w:val="24"/>
    </w:rPr>
  </w:style>
  <w:style w:type="paragraph" w:customStyle="1" w:styleId="9">
    <w:name w:val="正文缩进1"/>
    <w:basedOn w:val="1"/>
    <w:qFormat/>
    <w:uiPriority w:val="0"/>
    <w:pPr>
      <w:spacing w:line="0" w:lineRule="atLeast"/>
      <w:ind w:firstLine="420"/>
    </w:pPr>
    <w:rPr>
      <w:szCs w:val="20"/>
    </w:rPr>
  </w:style>
  <w:style w:type="character" w:customStyle="1" w:styleId="10">
    <w:name w:val="默认段落字体1"/>
    <w:semiHidden/>
    <w:qFormat/>
    <w:uiPriority w:val="0"/>
  </w:style>
  <w:style w:type="table" w:customStyle="1" w:styleId="11">
    <w:name w:val="普通表格1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正文文本1"/>
    <w:qFormat/>
    <w:uiPriority w:val="0"/>
    <w:pPr>
      <w:widowControl w:val="0"/>
      <w:spacing w:line="460" w:lineRule="exact"/>
      <w:jc w:val="center"/>
    </w:pPr>
    <w:rPr>
      <w:rFonts w:ascii="宋体" w:hAnsi="Calibri" w:eastAsia="宋体" w:cs="Times New Roman"/>
      <w:spacing w:val="6"/>
      <w:kern w:val="2"/>
      <w:sz w:val="28"/>
      <w:lang w:val="en-US" w:eastAsia="zh-CN" w:bidi="ar-SA"/>
    </w:rPr>
  </w:style>
  <w:style w:type="paragraph" w:customStyle="1" w:styleId="13">
    <w:name w:val="xl27"/>
    <w:qFormat/>
    <w:uiPriority w:val="0"/>
    <w:pPr>
      <w:pBdr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Arial Unicode MS" w:cs="Times New Roman"/>
      <w:sz w:val="21"/>
      <w:szCs w:val="21"/>
      <w:lang w:val="en-US" w:eastAsia="zh-CN" w:bidi="ar-SA"/>
    </w:rPr>
  </w:style>
  <w:style w:type="paragraph" w:customStyle="1" w:styleId="14">
    <w:name w:val="正文文本缩进1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批注框文本1"/>
    <w:basedOn w:val="1"/>
    <w:link w:val="16"/>
    <w:qFormat/>
    <w:uiPriority w:val="0"/>
    <w:rPr>
      <w:sz w:val="18"/>
      <w:szCs w:val="18"/>
    </w:rPr>
  </w:style>
  <w:style w:type="character" w:customStyle="1" w:styleId="16">
    <w:name w:val="批注框文本 Char"/>
    <w:link w:val="15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7">
    <w:name w:val="页脚1"/>
    <w:link w:val="18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18">
    <w:name w:val="页脚 Char"/>
    <w:link w:val="17"/>
    <w:qFormat/>
    <w:uiPriority w:val="0"/>
    <w:rPr>
      <w:rFonts w:ascii="Calibri" w:hAnsi="Calibri"/>
      <w:kern w:val="2"/>
      <w:sz w:val="18"/>
      <w:szCs w:val="18"/>
      <w:lang w:bidi="ar-SA"/>
    </w:rPr>
  </w:style>
  <w:style w:type="paragraph" w:customStyle="1" w:styleId="19">
    <w:name w:val="页眉1"/>
    <w:link w:val="20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20">
    <w:name w:val="页眉 Char"/>
    <w:link w:val="19"/>
    <w:qFormat/>
    <w:uiPriority w:val="0"/>
    <w:rPr>
      <w:rFonts w:ascii="Calibri" w:hAnsi="Calibri"/>
      <w:kern w:val="2"/>
      <w:sz w:val="18"/>
      <w:szCs w:val="18"/>
      <w:lang w:bidi="ar-SA"/>
    </w:rPr>
  </w:style>
  <w:style w:type="paragraph" w:customStyle="1" w:styleId="21">
    <w:name w:val="普通(网站)1"/>
    <w:basedOn w:val="1"/>
    <w:link w:val="22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普通(网站) Char"/>
    <w:link w:val="21"/>
    <w:qFormat/>
    <w:uiPriority w:val="0"/>
    <w:rPr>
      <w:rFonts w:ascii="宋体" w:hAnsi="宋体"/>
      <w:sz w:val="24"/>
      <w:szCs w:val="24"/>
    </w:rPr>
  </w:style>
  <w:style w:type="paragraph" w:customStyle="1" w:styleId="23">
    <w:name w:val="正文首行缩进1"/>
    <w:qFormat/>
    <w:uiPriority w:val="0"/>
    <w:pPr>
      <w:widowControl w:val="0"/>
      <w:overflowPunct w:val="0"/>
      <w:autoSpaceDE w:val="0"/>
      <w:autoSpaceDN w:val="0"/>
      <w:spacing w:line="360" w:lineRule="auto"/>
      <w:ind w:firstLine="539"/>
      <w:jc w:val="center"/>
    </w:pPr>
    <w:rPr>
      <w:rFonts w:ascii="宋体" w:hAnsi="Calibri" w:eastAsia="宋体" w:cs="Times New Roman"/>
      <w:spacing w:val="6"/>
      <w:sz w:val="28"/>
      <w:lang w:val="en-US" w:eastAsia="zh-CN" w:bidi="ar-SA"/>
    </w:rPr>
  </w:style>
  <w:style w:type="paragraph" w:customStyle="1" w:styleId="24">
    <w:name w:val="正文首行缩进 21"/>
    <w:qFormat/>
    <w:uiPriority w:val="0"/>
    <w:pPr>
      <w:widowControl w:val="0"/>
      <w:spacing w:after="120" w:line="360" w:lineRule="auto"/>
      <w:ind w:left="200" w:leftChars="200" w:firstLine="1446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5">
    <w:name w:val="页码1"/>
    <w:qFormat/>
    <w:uiPriority w:val="0"/>
  </w:style>
  <w:style w:type="paragraph" w:customStyle="1" w:styleId="26">
    <w:name w:val="Default"/>
    <w:basedOn w:val="27"/>
    <w:qFormat/>
    <w:uiPriority w:val="0"/>
    <w:pPr>
      <w:autoSpaceDE w:val="0"/>
      <w:autoSpaceDN w:val="0"/>
      <w:ind w:firstLine="480"/>
    </w:pPr>
    <w:rPr>
      <w:rFonts w:ascii="Calibri" w:hAnsi="Calibri" w:cs="Times New Roman"/>
      <w:color w:val="000000"/>
      <w:sz w:val="24"/>
      <w:szCs w:val="24"/>
    </w:rPr>
  </w:style>
  <w:style w:type="paragraph" w:customStyle="1" w:styleId="27">
    <w:name w:val="纯文本1"/>
    <w:basedOn w:val="1"/>
    <w:qFormat/>
    <w:uiPriority w:val="0"/>
    <w:pPr>
      <w:spacing w:line="360" w:lineRule="auto"/>
    </w:pPr>
    <w:rPr>
      <w:rFonts w:ascii="宋体" w:hAnsi="Courier New" w:cs="Courier New"/>
      <w:szCs w:val="21"/>
    </w:rPr>
  </w:style>
  <w:style w:type="paragraph" w:customStyle="1" w:styleId="28">
    <w:name w:val="文本"/>
    <w:qFormat/>
    <w:uiPriority w:val="0"/>
    <w:pPr>
      <w:widowControl w:val="0"/>
      <w:autoSpaceDE w:val="0"/>
      <w:autoSpaceDN w:val="0"/>
      <w:ind w:firstLine="480"/>
      <w:jc w:val="both"/>
    </w:pPr>
    <w:rPr>
      <w:rFonts w:ascii="Calibri" w:hAnsi="Calibri" w:eastAsia="宋体" w:cs="Times New Roman"/>
      <w:kern w:val="2"/>
      <w:sz w:val="21"/>
      <w:szCs w:val="24"/>
      <w:lang w:val="zh-CN" w:eastAsia="zh-CN" w:bidi="ar-SA"/>
    </w:rPr>
  </w:style>
  <w:style w:type="paragraph" w:styleId="2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0">
    <w:name w:val="批注框文本 Char1"/>
    <w:basedOn w:val="7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2146</Words>
  <Characters>2346</Characters>
  <Lines>22</Lines>
  <Paragraphs>6</Paragraphs>
  <TotalTime>6</TotalTime>
  <ScaleCrop>false</ScaleCrop>
  <LinksUpToDate>false</LinksUpToDate>
  <CharactersWithSpaces>2366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2025-11-13T12:28:00Z</dcterms:created>
  <dc:creator>Tang</dc:creator>
  <cp:lastModifiedBy>Tang</cp:lastModifiedBy>
  <cp:lastPrinted>2025-11-17T02:17:10Z</cp:lastPrinted>
  <dcterms:modified xsi:type="dcterms:W3CDTF">2025-11-17T02:17:45Z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eyJoZGlkIjoiNmQxNDU1MGViZjAxZDMxYzUyZmM1YTc3NmYxMDY2NjgiLCJ1c2VySWQiOiIxMjk3NjkzMjgwIn0=</vt:lpwstr>
  </property>
  <property fmtid="{D5CDD505-2E9C-101B-9397-08002B2CF9AE}" pid="3" name="KSOProductBuildVer">
    <vt:lpwstr>2052-12.1.0.23542</vt:lpwstr>
  </property>
  <property fmtid="{D5CDD505-2E9C-101B-9397-08002B2CF9AE}" pid="4" name="ICV">
    <vt:lpwstr>510C5E4D1CCF4E8B971BA8B735AA4EA4_13</vt:lpwstr>
  </property>
</Properties>
</file>