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A01D9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黑体" w:hAnsi="黑体" w:eastAsia="黑体" w:cs="黑体"/>
          <w:b w:val="0"/>
          <w:bCs w:val="0"/>
          <w:sz w:val="32"/>
          <w:szCs w:val="32"/>
        </w:rPr>
        <w:t>XTDR</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00003</w:t>
      </w:r>
    </w:p>
    <w:p w14:paraId="105D5C77">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32"/>
        </w:rPr>
      </w:pPr>
    </w:p>
    <w:p w14:paraId="24969224">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32"/>
        </w:rPr>
      </w:pPr>
    </w:p>
    <w:p w14:paraId="02759159">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28"/>
        </w:rPr>
      </w:pPr>
    </w:p>
    <w:p w14:paraId="20CD6458">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21"/>
        </w:rPr>
      </w:pPr>
    </w:p>
    <w:p w14:paraId="7D392407">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eastAsia" w:eastAsia="仿宋_GB2312" w:cs="Times New Roman"/>
          <w:sz w:val="21"/>
        </w:rPr>
      </w:pPr>
    </w:p>
    <w:p w14:paraId="382EC616">
      <w:pPr>
        <w:pStyle w:val="10"/>
        <w:keepNext w:val="0"/>
        <w:keepLines w:val="0"/>
        <w:pageBreakBefore w:val="0"/>
        <w:widowControl w:val="0"/>
        <w:tabs>
          <w:tab w:val="left" w:pos="630"/>
        </w:tabs>
        <w:kinsoku/>
        <w:wordWrap/>
        <w:overflowPunct/>
        <w:topLinePunct w:val="0"/>
        <w:autoSpaceDE/>
        <w:autoSpaceDN/>
        <w:bidi w:val="0"/>
        <w:adjustRightInd/>
        <w:snapToGrid/>
        <w:spacing w:beforeAutospacing="0" w:line="560" w:lineRule="exact"/>
        <w:ind w:left="0" w:leftChars="0" w:firstLine="0" w:firstLineChars="0"/>
        <w:textAlignment w:val="auto"/>
        <w:rPr>
          <w:rFonts w:hint="default" w:cs="Times New Roman"/>
          <w:lang w:val="en"/>
        </w:rPr>
      </w:pPr>
    </w:p>
    <w:p w14:paraId="45C370D7">
      <w:pPr>
        <w:widowControl w:val="0"/>
        <w:spacing w:line="586" w:lineRule="atLeast"/>
        <w:jc w:val="center"/>
        <w:rPr>
          <w:rFonts w:hint="default" w:eastAsia="仿宋_GB2312" w:cs="Times New Roman"/>
          <w:sz w:val="32"/>
          <w:lang w:val="en-US" w:eastAsia="zh-CN"/>
        </w:rPr>
      </w:pPr>
      <w:r>
        <w:rPr>
          <w:rFonts w:hint="eastAsia" w:eastAsia="仿宋_GB2312" w:cs="Times New Roman"/>
          <w:sz w:val="32"/>
        </w:rPr>
        <w:t>潭县政</w:t>
      </w:r>
      <w:r>
        <w:rPr>
          <w:rFonts w:hint="eastAsia" w:eastAsia="仿宋_GB2312" w:cs="Times New Roman"/>
          <w:sz w:val="32"/>
          <w:lang w:eastAsia="zh-CN"/>
        </w:rPr>
        <w:t>发</w:t>
      </w:r>
      <w:r>
        <w:rPr>
          <w:rFonts w:hint="eastAsia" w:ascii="Times New Roman" w:hAnsi="Times New Roman" w:eastAsia="仿宋_GB2312" w:cs="Times New Roman"/>
          <w:sz w:val="32"/>
          <w:lang w:val="en-US" w:eastAsia="zh-CN"/>
        </w:rPr>
        <w:t>〔202</w:t>
      </w:r>
      <w:r>
        <w:rPr>
          <w:rFonts w:hint="default" w:ascii="Times New Roman" w:hAnsi="Times New Roman" w:eastAsia="仿宋_GB2312" w:cs="Times New Roman"/>
          <w:sz w:val="32"/>
          <w:lang w:val="en-US" w:eastAsia="zh-CN"/>
        </w:rPr>
        <w:t>5</w:t>
      </w:r>
      <w:r>
        <w:rPr>
          <w:rFonts w:hint="eastAsia" w:ascii="Times New Roman" w:hAnsi="Times New Roman" w:eastAsia="仿宋_GB2312" w:cs="Times New Roman"/>
          <w:sz w:val="32"/>
          <w:lang w:val="en-US" w:eastAsia="zh-CN"/>
        </w:rPr>
        <w:t>〕</w:t>
      </w:r>
      <w:r>
        <w:rPr>
          <w:rFonts w:hint="default" w:ascii="Times New Roman" w:eastAsia="仿宋_GB2312" w:cs="Times New Roman"/>
          <w:sz w:val="32"/>
          <w:lang w:val="en-US" w:eastAsia="zh-CN"/>
        </w:rPr>
        <w:t>3</w:t>
      </w:r>
      <w:r>
        <w:rPr>
          <w:rFonts w:hint="eastAsia" w:eastAsia="仿宋_GB2312" w:cs="Times New Roman"/>
          <w:sz w:val="32"/>
        </w:rPr>
        <w:t>号</w:t>
      </w:r>
    </w:p>
    <w:p w14:paraId="4534ABB3">
      <w:pPr>
        <w:keepNext w:val="0"/>
        <w:keepLines w:val="0"/>
        <w:pageBreakBefore w:val="0"/>
        <w:widowControl w:val="0"/>
        <w:kinsoku/>
        <w:wordWrap/>
        <w:overflowPunct/>
        <w:topLinePunct w:val="0"/>
        <w:autoSpaceDE/>
        <w:autoSpaceDN/>
        <w:bidi w:val="0"/>
        <w:adjustRightInd/>
        <w:snapToGrid/>
        <w:spacing w:line="576" w:lineRule="exact"/>
        <w:textAlignment w:val="bottom"/>
        <w:rPr>
          <w:rFonts w:hint="eastAsia" w:eastAsia="方正小标宋简体" w:cs="Times New Roman"/>
          <w:sz w:val="32"/>
        </w:rPr>
      </w:pPr>
    </w:p>
    <w:p w14:paraId="5D295F64">
      <w:pPr>
        <w:spacing w:line="640" w:lineRule="exact"/>
        <w:jc w:val="both"/>
        <w:rPr>
          <w:rFonts w:hint="eastAsia" w:ascii="方正小标宋_GBK" w:hAnsi="黑体" w:eastAsia="方正小标宋_GBK"/>
          <w:sz w:val="44"/>
          <w:szCs w:val="44"/>
        </w:rPr>
      </w:pPr>
    </w:p>
    <w:p w14:paraId="140F2453">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600"/>
        <w:jc w:val="center"/>
        <w:textAlignment w:val="center"/>
        <w:rPr>
          <w:rFonts w:hint="eastAsia" w:ascii="方正小标宋_GBK" w:hAnsi="方正小标宋_GBK" w:eastAsia="方正小标宋_GBK" w:cs="方正小标宋_GBK"/>
          <w:bCs/>
          <w:sz w:val="44"/>
          <w:szCs w:val="44"/>
        </w:rPr>
      </w:pP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lang w:val="en-US" w:eastAsia="zh-CN"/>
        </w:rPr>
        <w:t>湘潭县</w:t>
      </w: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rPr>
        <w:t>人民政府</w:t>
      </w:r>
    </w:p>
    <w:p w14:paraId="07479FD3">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600"/>
        <w:jc w:val="center"/>
        <w:textAlignment w:val="center"/>
        <w:rPr>
          <w:rStyle w:val="14"/>
          <w:rFonts w:hint="eastAsia" w:ascii="方正小标宋_GBK" w:hAnsi="方正小标宋_GBK" w:eastAsia="方正小标宋_GBK" w:cs="方正小标宋_GBK"/>
          <w:b w:val="0"/>
          <w:bCs/>
          <w:i w:val="0"/>
          <w:iCs w:val="0"/>
          <w:caps w:val="0"/>
          <w:color w:val="333333"/>
          <w:spacing w:val="0"/>
          <w:sz w:val="44"/>
          <w:szCs w:val="44"/>
          <w:shd w:val="clear" w:fill="FFFFFF"/>
        </w:rPr>
      </w:pP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rPr>
        <w:t>关于公布</w:t>
      </w:r>
      <w:r>
        <w:rPr>
          <w:rStyle w:val="14"/>
          <w:rFonts w:hint="default" w:ascii="Times New Roman" w:hAnsi="Times New Roman" w:eastAsia="方正小标宋_GBK" w:cs="Times New Roman"/>
          <w:b w:val="0"/>
          <w:bCs/>
          <w:i w:val="0"/>
          <w:iCs w:val="0"/>
          <w:caps w:val="0"/>
          <w:color w:val="333333"/>
          <w:spacing w:val="0"/>
          <w:sz w:val="44"/>
          <w:szCs w:val="44"/>
          <w:shd w:val="clear" w:fill="FFFFFF"/>
        </w:rPr>
        <w:t>202</w:t>
      </w:r>
      <w:r>
        <w:rPr>
          <w:rStyle w:val="14"/>
          <w:rFonts w:hint="default" w:ascii="Times New Roman" w:hAnsi="Times New Roman" w:eastAsia="方正小标宋_GBK" w:cs="Times New Roman"/>
          <w:b w:val="0"/>
          <w:bCs/>
          <w:i w:val="0"/>
          <w:iCs w:val="0"/>
          <w:caps w:val="0"/>
          <w:color w:val="333333"/>
          <w:spacing w:val="0"/>
          <w:sz w:val="44"/>
          <w:szCs w:val="44"/>
          <w:shd w:val="clear" w:fill="FFFFFF"/>
          <w:lang w:val="en-US" w:eastAsia="zh-CN"/>
        </w:rPr>
        <w:t>5</w:t>
      </w: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rPr>
        <w:t>年</w:t>
      </w: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lang w:val="en-US" w:eastAsia="zh-CN"/>
        </w:rPr>
        <w:t>度</w:t>
      </w: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lang w:val="en-US" w:eastAsia="zh-CN"/>
        </w:rPr>
        <w:t>行政</w:t>
      </w: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rPr>
        <w:t>规范性文件</w:t>
      </w:r>
    </w:p>
    <w:p w14:paraId="1D0CC584">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600"/>
        <w:jc w:val="center"/>
        <w:textAlignment w:val="center"/>
        <w:rPr>
          <w:rStyle w:val="13"/>
          <w:rFonts w:hint="eastAsia" w:ascii="方正小标宋_GBK" w:hAnsi="方正小标宋_GBK" w:eastAsia="方正小标宋_GBK" w:cs="方正小标宋_GBK"/>
          <w:bCs/>
          <w:i w:val="0"/>
          <w:iCs w:val="0"/>
          <w:caps w:val="0"/>
          <w:color w:val="333333"/>
          <w:spacing w:val="0"/>
          <w:sz w:val="44"/>
          <w:szCs w:val="44"/>
          <w:shd w:val="clear" w:fill="FFFFFF"/>
          <w:lang w:eastAsia="zh-CN"/>
        </w:rPr>
      </w:pP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rPr>
        <w:t>清理结果的</w:t>
      </w:r>
      <w:r>
        <w:rPr>
          <w:rStyle w:val="14"/>
          <w:rFonts w:hint="eastAsia" w:ascii="方正小标宋_GBK" w:hAnsi="方正小标宋_GBK" w:eastAsia="方正小标宋_GBK" w:cs="方正小标宋_GBK"/>
          <w:b w:val="0"/>
          <w:bCs/>
          <w:i w:val="0"/>
          <w:iCs w:val="0"/>
          <w:caps w:val="0"/>
          <w:color w:val="333333"/>
          <w:spacing w:val="0"/>
          <w:sz w:val="44"/>
          <w:szCs w:val="44"/>
          <w:shd w:val="clear" w:fill="FFFFFF"/>
          <w:lang w:eastAsia="zh-CN"/>
        </w:rPr>
        <w:t>决定</w:t>
      </w:r>
    </w:p>
    <w:p w14:paraId="0999A74E">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0"/>
        <w:jc w:val="center"/>
        <w:textAlignment w:val="center"/>
        <w:rPr>
          <w:rFonts w:hint="eastAsia" w:ascii="仿宋" w:hAnsi="仿宋" w:eastAsia="仿宋" w:cs="仿宋"/>
          <w:color w:val="333333"/>
          <w:sz w:val="32"/>
          <w:szCs w:val="32"/>
          <w:shd w:val="clear" w:fill="FFFFFF"/>
        </w:rPr>
      </w:pPr>
    </w:p>
    <w:p w14:paraId="6B7F8331">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0"/>
        <w:jc w:val="left"/>
        <w:textAlignment w:val="center"/>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rPr>
        <w:t>各</w:t>
      </w:r>
      <w:r>
        <w:rPr>
          <w:rFonts w:hint="eastAsia" w:ascii="仿宋_GB2312" w:hAnsi="仿宋_GB2312" w:eastAsia="仿宋_GB2312" w:cs="仿宋_GB2312"/>
          <w:i w:val="0"/>
          <w:iCs w:val="0"/>
          <w:caps w:val="0"/>
          <w:color w:val="333333"/>
          <w:spacing w:val="0"/>
          <w:sz w:val="32"/>
          <w:szCs w:val="32"/>
          <w:shd w:val="clear" w:fill="FFFFFF"/>
          <w:lang w:val="en-US" w:eastAsia="zh-CN"/>
        </w:rPr>
        <w:t>乡</w:t>
      </w:r>
      <w:r>
        <w:rPr>
          <w:rFonts w:hint="eastAsia" w:ascii="仿宋_GB2312" w:hAnsi="仿宋_GB2312" w:eastAsia="仿宋_GB2312" w:cs="仿宋_GB2312"/>
          <w:i w:val="0"/>
          <w:iCs w:val="0"/>
          <w:caps w:val="0"/>
          <w:color w:val="333333"/>
          <w:spacing w:val="0"/>
          <w:sz w:val="32"/>
          <w:szCs w:val="32"/>
          <w:shd w:val="clear" w:fill="FFFFFF"/>
        </w:rPr>
        <w:t>镇人民政府</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县直机关各单位，天易经开区各局室，县属和驻县各企事业单位</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各人民团体</w:t>
      </w:r>
      <w:r>
        <w:rPr>
          <w:rFonts w:hint="eastAsia" w:ascii="仿宋_GB2312" w:hAnsi="仿宋_GB2312" w:eastAsia="仿宋_GB2312" w:cs="仿宋_GB2312"/>
          <w:i w:val="0"/>
          <w:iCs w:val="0"/>
          <w:caps w:val="0"/>
          <w:color w:val="333333"/>
          <w:spacing w:val="0"/>
          <w:sz w:val="32"/>
          <w:szCs w:val="32"/>
          <w:shd w:val="clear" w:fill="FFFFFF"/>
        </w:rPr>
        <w:t>：</w:t>
      </w:r>
    </w:p>
    <w:p w14:paraId="1F3AEE9D">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640" w:firstLineChars="200"/>
        <w:jc w:val="left"/>
        <w:textAlignment w:val="center"/>
        <w:rPr>
          <w:rFonts w:hint="eastAsia" w:ascii="Times New Roman" w:hAnsi="Times New Roman" w:eastAsia="仿宋_GB2312" w:cs="仿宋_GB2312"/>
          <w:sz w:val="32"/>
          <w:szCs w:val="32"/>
        </w:rPr>
      </w:pPr>
      <w:r>
        <w:rPr>
          <w:rFonts w:hint="eastAsia" w:ascii="Times New Roman" w:hAnsi="Times New Roman" w:eastAsia="仿宋_GB2312" w:cs="仿宋_GB2312"/>
          <w:i w:val="0"/>
          <w:iCs w:val="0"/>
          <w:caps w:val="0"/>
          <w:color w:val="333333"/>
          <w:spacing w:val="0"/>
          <w:sz w:val="32"/>
          <w:szCs w:val="32"/>
          <w:shd w:val="clear" w:fill="FFFFFF"/>
        </w:rPr>
        <w:t>为全面推进依法行政，加快建设法治政府，根据《湖南省行政程序规定》《湖南省规范性文件管理办法》相关规定，</w:t>
      </w:r>
      <w:r>
        <w:rPr>
          <w:rFonts w:hint="eastAsia" w:ascii="Times New Roman" w:hAnsi="Times New Roman" w:eastAsia="仿宋_GB2312" w:cs="仿宋_GB2312"/>
          <w:i w:val="0"/>
          <w:iCs w:val="0"/>
          <w:caps w:val="0"/>
          <w:color w:val="333333"/>
          <w:spacing w:val="0"/>
          <w:sz w:val="32"/>
          <w:szCs w:val="32"/>
          <w:shd w:val="clear" w:fill="FFFFFF"/>
          <w:lang w:val="en-US" w:eastAsia="zh-CN"/>
        </w:rPr>
        <w:t>县人民政府</w:t>
      </w:r>
      <w:r>
        <w:rPr>
          <w:rFonts w:hint="eastAsia" w:ascii="Times New Roman" w:hAnsi="Times New Roman" w:eastAsia="仿宋_GB2312" w:cs="仿宋_GB2312"/>
          <w:i w:val="0"/>
          <w:iCs w:val="0"/>
          <w:caps w:val="0"/>
          <w:color w:val="333333"/>
          <w:spacing w:val="0"/>
          <w:sz w:val="32"/>
          <w:szCs w:val="32"/>
          <w:shd w:val="clear" w:fill="FFFFFF"/>
        </w:rPr>
        <w:t>对</w:t>
      </w:r>
      <w:r>
        <w:rPr>
          <w:rFonts w:hint="eastAsia" w:ascii="Times New Roman" w:hAnsi="Times New Roman" w:eastAsia="仿宋_GB2312" w:cs="仿宋_GB2312"/>
          <w:i w:val="0"/>
          <w:iCs w:val="0"/>
          <w:caps w:val="0"/>
          <w:color w:val="333333"/>
          <w:spacing w:val="0"/>
          <w:sz w:val="32"/>
          <w:szCs w:val="32"/>
          <w:shd w:val="clear" w:fill="FFFFFF"/>
          <w:lang w:val="en-US" w:eastAsia="zh-CN"/>
        </w:rPr>
        <w:t>2024年12月3</w:t>
      </w:r>
      <w:r>
        <w:rPr>
          <w:rFonts w:hint="eastAsia" w:ascii="Times New Roman" w:hAnsi="Times New Roman" w:eastAsia="仿宋_GB2312" w:cs="仿宋_GB2312"/>
          <w:i w:val="0"/>
          <w:iCs w:val="0"/>
          <w:caps w:val="0"/>
          <w:color w:val="333333"/>
          <w:spacing w:val="0"/>
          <w:sz w:val="32"/>
          <w:szCs w:val="32"/>
          <w:shd w:val="clear" w:fill="FFFFFF"/>
          <w:lang w:val="en-US" w:eastAsia="zh-CN"/>
        </w:rPr>
        <w:t>1</w:t>
      </w:r>
      <w:r>
        <w:rPr>
          <w:rFonts w:hint="eastAsia" w:ascii="Times New Roman" w:hAnsi="Times New Roman" w:eastAsia="仿宋_GB2312" w:cs="仿宋_GB2312"/>
          <w:i w:val="0"/>
          <w:iCs w:val="0"/>
          <w:caps w:val="0"/>
          <w:color w:val="333333"/>
          <w:spacing w:val="0"/>
          <w:sz w:val="32"/>
          <w:szCs w:val="32"/>
          <w:shd w:val="clear" w:fill="FFFFFF"/>
          <w:lang w:val="en-US" w:eastAsia="zh-CN"/>
        </w:rPr>
        <w:t>日</w:t>
      </w:r>
      <w:r>
        <w:rPr>
          <w:rFonts w:hint="eastAsia" w:ascii="Times New Roman" w:hAnsi="Times New Roman" w:eastAsia="仿宋_GB2312" w:cs="仿宋_GB2312"/>
          <w:i w:val="0"/>
          <w:iCs w:val="0"/>
          <w:caps w:val="0"/>
          <w:color w:val="333333"/>
          <w:spacing w:val="0"/>
          <w:sz w:val="32"/>
          <w:szCs w:val="32"/>
          <w:shd w:val="clear" w:fill="FFFFFF"/>
          <w:lang w:val="en-US" w:eastAsia="zh-CN"/>
        </w:rPr>
        <w:t>之</w:t>
      </w:r>
      <w:r>
        <w:rPr>
          <w:rFonts w:hint="eastAsia" w:ascii="Times New Roman" w:hAnsi="Times New Roman" w:eastAsia="仿宋_GB2312" w:cs="仿宋_GB2312"/>
          <w:i w:val="0"/>
          <w:iCs w:val="0"/>
          <w:caps w:val="0"/>
          <w:color w:val="333333"/>
          <w:spacing w:val="0"/>
          <w:sz w:val="32"/>
          <w:szCs w:val="32"/>
          <w:shd w:val="clear" w:fill="FFFFFF"/>
          <w:lang w:val="en-US" w:eastAsia="zh-CN"/>
        </w:rPr>
        <w:t>前</w:t>
      </w:r>
      <w:r>
        <w:rPr>
          <w:rFonts w:hint="eastAsia" w:ascii="Times New Roman" w:hAnsi="Times New Roman" w:eastAsia="仿宋_GB2312" w:cs="仿宋_GB2312"/>
          <w:i w:val="0"/>
          <w:iCs w:val="0"/>
          <w:caps w:val="0"/>
          <w:color w:val="333333"/>
          <w:spacing w:val="0"/>
          <w:sz w:val="32"/>
          <w:szCs w:val="32"/>
          <w:shd w:val="clear" w:fill="FFFFFF"/>
          <w:lang w:val="en-US" w:eastAsia="zh-CN"/>
        </w:rPr>
        <w:t>以县人民政府和县人民政府办公室名义</w:t>
      </w:r>
      <w:r>
        <w:rPr>
          <w:rFonts w:hint="eastAsia" w:ascii="Times New Roman" w:hAnsi="Times New Roman" w:eastAsia="仿宋_GB2312" w:cs="仿宋_GB2312"/>
          <w:i w:val="0"/>
          <w:iCs w:val="0"/>
          <w:caps w:val="0"/>
          <w:color w:val="333333"/>
          <w:spacing w:val="0"/>
          <w:sz w:val="32"/>
          <w:szCs w:val="32"/>
          <w:shd w:val="clear" w:fill="FFFFFF"/>
          <w:lang w:val="en-US" w:eastAsia="zh-CN"/>
        </w:rPr>
        <w:t>印发</w:t>
      </w:r>
      <w:r>
        <w:rPr>
          <w:rFonts w:hint="eastAsia" w:ascii="Times New Roman" w:hAnsi="Times New Roman" w:eastAsia="仿宋_GB2312" w:cs="仿宋_GB2312"/>
          <w:i w:val="0"/>
          <w:iCs w:val="0"/>
          <w:caps w:val="0"/>
          <w:color w:val="333333"/>
          <w:spacing w:val="0"/>
          <w:sz w:val="32"/>
          <w:szCs w:val="32"/>
          <w:shd w:val="clear" w:fill="FFFFFF"/>
          <w:lang w:val="en-US" w:eastAsia="zh-CN"/>
        </w:rPr>
        <w:t>且现行有效的47件行政</w:t>
      </w:r>
      <w:r>
        <w:rPr>
          <w:rFonts w:hint="eastAsia" w:ascii="Times New Roman" w:hAnsi="Times New Roman" w:eastAsia="仿宋_GB2312" w:cs="仿宋_GB2312"/>
          <w:i w:val="0"/>
          <w:iCs w:val="0"/>
          <w:caps w:val="0"/>
          <w:color w:val="333333"/>
          <w:spacing w:val="0"/>
          <w:sz w:val="32"/>
          <w:szCs w:val="32"/>
          <w:shd w:val="clear" w:fill="FFFFFF"/>
          <w:lang w:val="en-US" w:eastAsia="zh-CN"/>
        </w:rPr>
        <w:t>规范性文件</w:t>
      </w:r>
      <w:r>
        <w:rPr>
          <w:rFonts w:hint="eastAsia" w:ascii="Times New Roman" w:hAnsi="Times New Roman" w:eastAsia="仿宋_GB2312" w:cs="仿宋_GB2312"/>
          <w:i w:val="0"/>
          <w:iCs w:val="0"/>
          <w:caps w:val="0"/>
          <w:color w:val="333333"/>
          <w:spacing w:val="0"/>
          <w:sz w:val="32"/>
          <w:szCs w:val="32"/>
          <w:shd w:val="clear" w:fill="FFFFFF"/>
        </w:rPr>
        <w:t>进行了清理</w:t>
      </w:r>
      <w:r>
        <w:rPr>
          <w:rFonts w:hint="eastAsia" w:ascii="Times New Roman" w:hAnsi="Times New Roman" w:eastAsia="仿宋_GB2312" w:cs="仿宋_GB2312"/>
          <w:i w:val="0"/>
          <w:iCs w:val="0"/>
          <w:caps w:val="0"/>
          <w:color w:val="333333"/>
          <w:spacing w:val="0"/>
          <w:sz w:val="32"/>
          <w:szCs w:val="32"/>
          <w:shd w:val="clear" w:fill="FFFFFF"/>
          <w:lang w:eastAsia="zh-CN"/>
        </w:rPr>
        <w:t>（详见附件）</w:t>
      </w:r>
      <w:r>
        <w:rPr>
          <w:rFonts w:hint="eastAsia" w:ascii="Times New Roman" w:hAnsi="Times New Roman" w:eastAsia="仿宋_GB2312" w:cs="仿宋_GB2312"/>
          <w:i w:val="0"/>
          <w:iCs w:val="0"/>
          <w:caps w:val="0"/>
          <w:color w:val="333333"/>
          <w:spacing w:val="0"/>
          <w:sz w:val="32"/>
          <w:szCs w:val="32"/>
          <w:shd w:val="clear" w:fill="FFFFFF"/>
        </w:rPr>
        <w:t>。</w:t>
      </w:r>
      <w:r>
        <w:rPr>
          <w:rFonts w:hint="eastAsia" w:ascii="Times New Roman" w:hAnsi="Times New Roman" w:eastAsia="仿宋_GB2312" w:cs="仿宋_GB2312"/>
          <w:i w:val="0"/>
          <w:iCs w:val="0"/>
          <w:caps w:val="0"/>
          <w:color w:val="333333"/>
          <w:spacing w:val="0"/>
          <w:sz w:val="32"/>
          <w:szCs w:val="32"/>
          <w:shd w:val="clear" w:fill="FFFFFF"/>
          <w:lang w:eastAsia="zh-CN"/>
        </w:rPr>
        <w:t>现将</w:t>
      </w:r>
      <w:r>
        <w:rPr>
          <w:rFonts w:hint="eastAsia" w:ascii="Times New Roman" w:hAnsi="Times New Roman" w:eastAsia="仿宋_GB2312" w:cs="仿宋_GB2312"/>
          <w:i w:val="0"/>
          <w:iCs w:val="0"/>
          <w:caps w:val="0"/>
          <w:color w:val="333333"/>
          <w:spacing w:val="0"/>
          <w:sz w:val="32"/>
          <w:szCs w:val="32"/>
          <w:shd w:val="clear" w:fill="FFFFFF"/>
        </w:rPr>
        <w:t>清理结果</w:t>
      </w:r>
      <w:r>
        <w:rPr>
          <w:rFonts w:hint="eastAsia" w:ascii="Times New Roman" w:hAnsi="Times New Roman" w:eastAsia="仿宋_GB2312" w:cs="仿宋_GB2312"/>
          <w:i w:val="0"/>
          <w:iCs w:val="0"/>
          <w:caps w:val="0"/>
          <w:color w:val="333333"/>
          <w:spacing w:val="0"/>
          <w:sz w:val="32"/>
          <w:szCs w:val="32"/>
          <w:shd w:val="clear" w:fill="FFFFFF"/>
          <w:lang w:eastAsia="zh-CN"/>
        </w:rPr>
        <w:t>公布</w:t>
      </w:r>
      <w:r>
        <w:rPr>
          <w:rFonts w:hint="eastAsia" w:ascii="Times New Roman" w:hAnsi="Times New Roman" w:eastAsia="仿宋_GB2312" w:cs="仿宋_GB2312"/>
          <w:i w:val="0"/>
          <w:iCs w:val="0"/>
          <w:caps w:val="0"/>
          <w:color w:val="333333"/>
          <w:spacing w:val="0"/>
          <w:sz w:val="32"/>
          <w:szCs w:val="32"/>
          <w:shd w:val="clear" w:fill="FFFFFF"/>
        </w:rPr>
        <w:t>如下：</w:t>
      </w:r>
    </w:p>
    <w:p w14:paraId="23C9238F">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640" w:firstLineChars="200"/>
        <w:jc w:val="left"/>
        <w:textAlignment w:val="center"/>
        <w:rPr>
          <w:rFonts w:hint="eastAsia" w:ascii="Times New Roman" w:hAnsi="Times New Roman" w:eastAsia="仿宋_GB2312" w:cs="仿宋_GB2312"/>
          <w:i w:val="0"/>
          <w:iCs w:val="0"/>
          <w:caps w:val="0"/>
          <w:color w:val="333333"/>
          <w:spacing w:val="0"/>
          <w:sz w:val="32"/>
          <w:szCs w:val="32"/>
          <w:shd w:val="clear" w:fill="FFFFFF"/>
          <w:lang w:val="en-US" w:eastAsia="zh-CN"/>
        </w:rPr>
      </w:pPr>
      <w:r>
        <w:rPr>
          <w:rFonts w:hint="eastAsia" w:ascii="Times New Roman" w:hAnsi="Times New Roman" w:eastAsia="仿宋_GB2312" w:cs="仿宋_GB2312"/>
          <w:i w:val="0"/>
          <w:iCs w:val="0"/>
          <w:caps w:val="0"/>
          <w:color w:val="333333"/>
          <w:spacing w:val="0"/>
          <w:sz w:val="32"/>
          <w:szCs w:val="32"/>
          <w:shd w:val="clear" w:fill="FFFFFF"/>
        </w:rPr>
        <w:t>宣布失效</w:t>
      </w:r>
      <w:r>
        <w:rPr>
          <w:rFonts w:hint="eastAsia" w:ascii="Times New Roman" w:hAnsi="Times New Roman" w:eastAsia="仿宋_GB2312" w:cs="仿宋_GB2312"/>
          <w:i w:val="0"/>
          <w:iCs w:val="0"/>
          <w:caps w:val="0"/>
          <w:color w:val="333333"/>
          <w:spacing w:val="0"/>
          <w:sz w:val="32"/>
          <w:szCs w:val="32"/>
          <w:shd w:val="clear" w:fill="FFFFFF"/>
          <w:lang w:val="en-US" w:eastAsia="zh-CN"/>
        </w:rPr>
        <w:t>政府</w:t>
      </w:r>
      <w:r>
        <w:rPr>
          <w:rFonts w:hint="eastAsia" w:ascii="Times New Roman" w:hAnsi="Times New Roman" w:eastAsia="仿宋_GB2312" w:cs="仿宋_GB2312"/>
          <w:i w:val="0"/>
          <w:iCs w:val="0"/>
          <w:caps w:val="0"/>
          <w:color w:val="333333"/>
          <w:spacing w:val="0"/>
          <w:sz w:val="32"/>
          <w:szCs w:val="32"/>
          <w:shd w:val="clear" w:fill="FFFFFF"/>
        </w:rPr>
        <w:t>规范性文件</w:t>
      </w:r>
      <w:r>
        <w:rPr>
          <w:rFonts w:hint="eastAsia" w:ascii="Times New Roman" w:hAnsi="Times New Roman" w:eastAsia="仿宋_GB2312" w:cs="仿宋_GB2312"/>
          <w:i w:val="0"/>
          <w:iCs w:val="0"/>
          <w:caps w:val="0"/>
          <w:color w:val="333333"/>
          <w:spacing w:val="0"/>
          <w:sz w:val="32"/>
          <w:szCs w:val="32"/>
          <w:shd w:val="clear" w:fill="FFFFFF"/>
          <w:lang w:val="en-US" w:eastAsia="zh-CN"/>
        </w:rPr>
        <w:t>11</w:t>
      </w:r>
      <w:r>
        <w:rPr>
          <w:rFonts w:hint="eastAsia" w:ascii="Times New Roman" w:hAnsi="Times New Roman" w:eastAsia="仿宋_GB2312" w:cs="仿宋_GB2312"/>
          <w:i w:val="0"/>
          <w:iCs w:val="0"/>
          <w:caps w:val="0"/>
          <w:color w:val="333333"/>
          <w:spacing w:val="0"/>
          <w:sz w:val="32"/>
          <w:szCs w:val="32"/>
          <w:shd w:val="clear" w:fill="FFFFFF"/>
        </w:rPr>
        <w:t>件</w:t>
      </w:r>
      <w:r>
        <w:rPr>
          <w:rFonts w:hint="eastAsia" w:ascii="Times New Roman" w:hAnsi="Times New Roman" w:eastAsia="仿宋_GB2312" w:cs="仿宋_GB2312"/>
          <w:i w:val="0"/>
          <w:iCs w:val="0"/>
          <w:caps w:val="0"/>
          <w:color w:val="333333"/>
          <w:spacing w:val="0"/>
          <w:sz w:val="32"/>
          <w:szCs w:val="32"/>
          <w:shd w:val="clear" w:fill="FFFFFF"/>
          <w:lang w:eastAsia="zh-CN"/>
        </w:rPr>
        <w:t>，</w:t>
      </w:r>
      <w:r>
        <w:rPr>
          <w:rFonts w:hint="eastAsia" w:ascii="Times New Roman" w:hAnsi="Times New Roman" w:eastAsia="仿宋_GB2312" w:cs="仿宋_GB2312"/>
          <w:i w:val="0"/>
          <w:iCs w:val="0"/>
          <w:caps w:val="0"/>
          <w:color w:val="333333"/>
          <w:spacing w:val="0"/>
          <w:sz w:val="32"/>
          <w:szCs w:val="32"/>
          <w:shd w:val="clear" w:fill="FFFFFF"/>
          <w:lang w:val="en-US" w:eastAsia="zh-CN"/>
        </w:rPr>
        <w:t>宣布废止规范性文件1件</w:t>
      </w:r>
      <w:r>
        <w:rPr>
          <w:rFonts w:hint="eastAsia" w:ascii="Times New Roman" w:hAnsi="Times New Roman" w:eastAsia="仿宋_GB2312" w:cs="仿宋_GB2312"/>
          <w:i w:val="0"/>
          <w:iCs w:val="0"/>
          <w:caps w:val="0"/>
          <w:color w:val="333333"/>
          <w:spacing w:val="0"/>
          <w:sz w:val="32"/>
          <w:szCs w:val="32"/>
          <w:shd w:val="clear" w:fill="FFFFFF"/>
          <w:lang w:eastAsia="zh-CN"/>
        </w:rPr>
        <w:t>，</w:t>
      </w:r>
      <w:r>
        <w:rPr>
          <w:rFonts w:hint="eastAsia" w:ascii="Times New Roman" w:hAnsi="Times New Roman" w:eastAsia="仿宋_GB2312" w:cs="仿宋_GB2312"/>
          <w:i w:val="0"/>
          <w:iCs w:val="0"/>
          <w:caps w:val="0"/>
          <w:color w:val="333333"/>
          <w:spacing w:val="0"/>
          <w:sz w:val="32"/>
          <w:szCs w:val="32"/>
          <w:shd w:val="clear" w:fill="FFFFFF"/>
          <w:lang w:val="en-US" w:eastAsia="zh-CN"/>
        </w:rPr>
        <w:t>继续有效</w:t>
      </w:r>
      <w:r>
        <w:rPr>
          <w:rFonts w:hint="eastAsia" w:ascii="Times New Roman" w:hAnsi="Times New Roman" w:eastAsia="仿宋_GB2312" w:cs="仿宋_GB2312"/>
          <w:i w:val="0"/>
          <w:iCs w:val="0"/>
          <w:caps w:val="0"/>
          <w:color w:val="333333"/>
          <w:spacing w:val="0"/>
          <w:sz w:val="32"/>
          <w:szCs w:val="32"/>
          <w:shd w:val="clear" w:fill="FFFFFF"/>
        </w:rPr>
        <w:t>规范性文件</w:t>
      </w:r>
      <w:r>
        <w:rPr>
          <w:rFonts w:hint="eastAsia" w:ascii="Times New Roman" w:hAnsi="Times New Roman" w:eastAsia="仿宋_GB2312" w:cs="仿宋_GB2312"/>
          <w:i w:val="0"/>
          <w:iCs w:val="0"/>
          <w:caps w:val="0"/>
          <w:color w:val="333333"/>
          <w:spacing w:val="0"/>
          <w:sz w:val="32"/>
          <w:szCs w:val="32"/>
          <w:shd w:val="clear" w:fill="FFFFFF"/>
          <w:lang w:val="en-US" w:eastAsia="zh-CN"/>
        </w:rPr>
        <w:t>35</w:t>
      </w:r>
      <w:r>
        <w:rPr>
          <w:rFonts w:hint="eastAsia" w:ascii="Times New Roman" w:hAnsi="Times New Roman" w:eastAsia="仿宋_GB2312" w:cs="仿宋_GB2312"/>
          <w:i w:val="0"/>
          <w:iCs w:val="0"/>
          <w:caps w:val="0"/>
          <w:color w:val="333333"/>
          <w:spacing w:val="0"/>
          <w:sz w:val="32"/>
          <w:szCs w:val="32"/>
          <w:shd w:val="clear" w:fill="FFFFFF"/>
        </w:rPr>
        <w:t>件</w:t>
      </w:r>
      <w:r>
        <w:rPr>
          <w:rFonts w:hint="eastAsia" w:ascii="Times New Roman" w:hAnsi="Times New Roman" w:eastAsia="仿宋_GB2312" w:cs="仿宋_GB2312"/>
          <w:i w:val="0"/>
          <w:iCs w:val="0"/>
          <w:caps w:val="0"/>
          <w:color w:val="333333"/>
          <w:spacing w:val="0"/>
          <w:sz w:val="32"/>
          <w:szCs w:val="32"/>
          <w:shd w:val="clear" w:fill="FFFFFF"/>
          <w:lang w:val="en-US" w:eastAsia="zh-CN"/>
        </w:rPr>
        <w:t>。</w:t>
      </w:r>
      <w:r>
        <w:rPr>
          <w:rFonts w:hint="eastAsia" w:ascii="Times New Roman" w:hAnsi="Times New Roman" w:eastAsia="仿宋_GB2312" w:cs="仿宋_GB2312"/>
          <w:i w:val="0"/>
          <w:iCs w:val="0"/>
          <w:caps w:val="0"/>
          <w:color w:val="333333"/>
          <w:spacing w:val="0"/>
          <w:sz w:val="32"/>
          <w:szCs w:val="32"/>
          <w:shd w:val="clear" w:fill="FFFFFF"/>
        </w:rPr>
        <w:t>宣布失效</w:t>
      </w:r>
      <w:r>
        <w:rPr>
          <w:rFonts w:hint="eastAsia" w:ascii="Times New Roman" w:hAnsi="Times New Roman" w:eastAsia="仿宋_GB2312" w:cs="仿宋_GB2312"/>
          <w:i w:val="0"/>
          <w:iCs w:val="0"/>
          <w:caps w:val="0"/>
          <w:color w:val="333333"/>
          <w:spacing w:val="0"/>
          <w:sz w:val="32"/>
          <w:szCs w:val="32"/>
          <w:shd w:val="clear" w:fill="FFFFFF"/>
          <w:lang w:eastAsia="zh-CN"/>
        </w:rPr>
        <w:t>的</w:t>
      </w:r>
      <w:r>
        <w:rPr>
          <w:rFonts w:hint="eastAsia" w:ascii="Times New Roman" w:hAnsi="Times New Roman" w:eastAsia="仿宋_GB2312" w:cs="仿宋_GB2312"/>
          <w:i w:val="0"/>
          <w:iCs w:val="0"/>
          <w:caps w:val="0"/>
          <w:color w:val="333333"/>
          <w:spacing w:val="0"/>
          <w:sz w:val="32"/>
          <w:szCs w:val="32"/>
          <w:shd w:val="clear" w:fill="FFFFFF"/>
        </w:rPr>
        <w:t>规范性文件，有效期满</w:t>
      </w:r>
      <w:r>
        <w:rPr>
          <w:rFonts w:hint="eastAsia" w:ascii="Times New Roman" w:hAnsi="Times New Roman" w:eastAsia="仿宋_GB2312" w:cs="仿宋_GB2312"/>
          <w:i w:val="0"/>
          <w:iCs w:val="0"/>
          <w:caps w:val="0"/>
          <w:color w:val="333333"/>
          <w:spacing w:val="0"/>
          <w:sz w:val="32"/>
          <w:szCs w:val="32"/>
          <w:shd w:val="clear" w:fill="FFFFFF"/>
          <w:lang w:eastAsia="zh-CN"/>
        </w:rPr>
        <w:t>之日</w:t>
      </w:r>
      <w:r>
        <w:rPr>
          <w:rFonts w:hint="eastAsia" w:ascii="Times New Roman" w:hAnsi="Times New Roman" w:eastAsia="仿宋_GB2312" w:cs="仿宋_GB2312"/>
          <w:i w:val="0"/>
          <w:iCs w:val="0"/>
          <w:caps w:val="0"/>
          <w:color w:val="auto"/>
          <w:spacing w:val="0"/>
          <w:sz w:val="32"/>
          <w:szCs w:val="32"/>
          <w:shd w:val="clear" w:fill="FFFFFF"/>
          <w:lang w:eastAsia="zh-CN"/>
        </w:rPr>
        <w:t>自动</w:t>
      </w:r>
      <w:r>
        <w:rPr>
          <w:rFonts w:hint="eastAsia" w:ascii="Times New Roman" w:hAnsi="Times New Roman" w:eastAsia="仿宋_GB2312" w:cs="仿宋_GB2312"/>
          <w:i w:val="0"/>
          <w:iCs w:val="0"/>
          <w:caps w:val="0"/>
          <w:color w:val="333333"/>
          <w:spacing w:val="0"/>
          <w:sz w:val="32"/>
          <w:szCs w:val="32"/>
          <w:shd w:val="clear" w:fill="FFFFFF"/>
          <w:lang w:eastAsia="zh-CN"/>
        </w:rPr>
        <w:t>失效；</w:t>
      </w:r>
      <w:r>
        <w:rPr>
          <w:rFonts w:hint="eastAsia" w:ascii="Times New Roman" w:hAnsi="Times New Roman" w:eastAsia="仿宋_GB2312" w:cs="仿宋_GB2312"/>
          <w:i w:val="0"/>
          <w:iCs w:val="0"/>
          <w:caps w:val="0"/>
          <w:color w:val="333333"/>
          <w:spacing w:val="0"/>
          <w:sz w:val="32"/>
          <w:szCs w:val="32"/>
          <w:shd w:val="clear" w:fill="FFFFFF"/>
          <w:lang w:val="en-US" w:eastAsia="zh-CN"/>
        </w:rPr>
        <w:t>宣布废止的规范性文件，除有关文件已明确废止外，自本决定</w:t>
      </w:r>
      <w:r>
        <w:rPr>
          <w:rFonts w:hint="eastAsia" w:ascii="Times New Roman" w:hAnsi="Times New Roman" w:eastAsia="仿宋_GB2312" w:cs="仿宋_GB2312"/>
          <w:i w:val="0"/>
          <w:iCs w:val="0"/>
          <w:caps w:val="0"/>
          <w:color w:val="333333"/>
          <w:spacing w:val="0"/>
          <w:sz w:val="32"/>
          <w:szCs w:val="32"/>
          <w:shd w:val="clear" w:fill="FFFFFF"/>
          <w:lang w:val="en-US" w:eastAsia="zh-CN"/>
        </w:rPr>
        <w:t>印发</w:t>
      </w:r>
      <w:r>
        <w:rPr>
          <w:rFonts w:hint="eastAsia" w:ascii="Times New Roman" w:hAnsi="Times New Roman" w:eastAsia="仿宋_GB2312" w:cs="仿宋_GB2312"/>
          <w:i w:val="0"/>
          <w:iCs w:val="0"/>
          <w:caps w:val="0"/>
          <w:color w:val="333333"/>
          <w:spacing w:val="0"/>
          <w:sz w:val="32"/>
          <w:szCs w:val="32"/>
          <w:shd w:val="clear" w:fill="FFFFFF"/>
          <w:lang w:val="en-US" w:eastAsia="zh-CN"/>
        </w:rPr>
        <w:t>之日起不再执行；继续有效的</w:t>
      </w:r>
      <w:r>
        <w:rPr>
          <w:rFonts w:hint="eastAsia" w:ascii="Times New Roman" w:hAnsi="Times New Roman" w:eastAsia="仿宋_GB2312" w:cs="仿宋_GB2312"/>
          <w:i w:val="0"/>
          <w:iCs w:val="0"/>
          <w:caps w:val="0"/>
          <w:color w:val="333333"/>
          <w:spacing w:val="0"/>
          <w:sz w:val="32"/>
          <w:szCs w:val="32"/>
          <w:shd w:val="clear" w:fill="FFFFFF"/>
        </w:rPr>
        <w:t>规范性文件</w:t>
      </w:r>
      <w:r>
        <w:rPr>
          <w:rFonts w:hint="eastAsia" w:ascii="Times New Roman" w:hAnsi="Times New Roman" w:eastAsia="仿宋_GB2312" w:cs="仿宋_GB2312"/>
          <w:i w:val="0"/>
          <w:iCs w:val="0"/>
          <w:caps w:val="0"/>
          <w:color w:val="333333"/>
          <w:spacing w:val="0"/>
          <w:sz w:val="32"/>
          <w:szCs w:val="32"/>
          <w:shd w:val="clear" w:fill="FFFFFF"/>
          <w:lang w:eastAsia="zh-CN"/>
        </w:rPr>
        <w:t>，</w:t>
      </w:r>
      <w:r>
        <w:rPr>
          <w:rFonts w:hint="eastAsia" w:ascii="Times New Roman" w:hAnsi="Times New Roman" w:eastAsia="仿宋_GB2312" w:cs="仿宋_GB2312"/>
          <w:i w:val="0"/>
          <w:iCs w:val="0"/>
          <w:caps w:val="0"/>
          <w:color w:val="auto"/>
          <w:spacing w:val="0"/>
          <w:sz w:val="32"/>
          <w:szCs w:val="32"/>
          <w:shd w:val="clear" w:fill="FFFFFF"/>
          <w:lang w:eastAsia="zh-CN"/>
        </w:rPr>
        <w:t>有效期自其印发之日起计算，有效期满之日自动失效</w:t>
      </w:r>
      <w:r>
        <w:rPr>
          <w:rFonts w:hint="eastAsia" w:ascii="Times New Roman" w:hAnsi="Times New Roman" w:eastAsia="仿宋_GB2312" w:cs="仿宋_GB2312"/>
          <w:i w:val="0"/>
          <w:iCs w:val="0"/>
          <w:caps w:val="0"/>
          <w:color w:val="333333"/>
          <w:spacing w:val="0"/>
          <w:sz w:val="32"/>
          <w:szCs w:val="32"/>
          <w:shd w:val="clear" w:fill="FFFFFF"/>
          <w:lang w:val="en-US" w:eastAsia="zh-CN"/>
        </w:rPr>
        <w:t>。</w:t>
      </w:r>
    </w:p>
    <w:p w14:paraId="16B32FC8">
      <w:pPr>
        <w:pStyle w:val="9"/>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638" w:leftChars="304" w:right="0" w:firstLine="0" w:firstLineChars="0"/>
        <w:jc w:val="left"/>
        <w:textAlignment w:val="center"/>
        <w:rPr>
          <w:rFonts w:hint="eastAsia" w:ascii="仿宋_GB2312" w:hAnsi="仿宋_GB2312" w:eastAsia="仿宋_GB2312" w:cs="仿宋_GB2312"/>
          <w:i w:val="0"/>
          <w:iCs w:val="0"/>
          <w:caps w:val="0"/>
          <w:color w:val="333333"/>
          <w:spacing w:val="0"/>
          <w:sz w:val="32"/>
          <w:szCs w:val="32"/>
          <w:shd w:val="clear" w:fill="FFFFFF"/>
          <w:lang w:val="en-US" w:eastAsia="zh-CN"/>
        </w:rPr>
      </w:pPr>
    </w:p>
    <w:p w14:paraId="087CB226">
      <w:pPr>
        <w:pStyle w:val="9"/>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638" w:leftChars="304" w:right="0" w:firstLine="0" w:firstLineChars="0"/>
        <w:jc w:val="left"/>
        <w:textAlignment w:val="center"/>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附件</w:t>
      </w:r>
      <w:r>
        <w:rPr>
          <w:rFonts w:hint="default" w:ascii="Times New Roman" w:hAnsi="Times New Roman" w:eastAsia="仿宋_GB2312" w:cs="Times New Roman"/>
          <w:i w:val="0"/>
          <w:iCs w:val="0"/>
          <w:caps w:val="0"/>
          <w:color w:val="333333"/>
          <w:spacing w:val="0"/>
          <w:sz w:val="32"/>
          <w:szCs w:val="32"/>
          <w:shd w:val="clear" w:fill="FFFFFF"/>
          <w:lang w:val="en-US" w:eastAsia="zh-CN"/>
        </w:rPr>
        <w:t>：1</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rPr>
        <w:t>宣布失效</w:t>
      </w:r>
      <w:r>
        <w:rPr>
          <w:rFonts w:hint="eastAsia" w:ascii="仿宋_GB2312" w:hAnsi="仿宋_GB2312" w:eastAsia="仿宋_GB2312" w:cs="仿宋_GB2312"/>
          <w:i w:val="0"/>
          <w:iCs w:val="0"/>
          <w:caps w:val="0"/>
          <w:color w:val="333333"/>
          <w:spacing w:val="0"/>
          <w:sz w:val="32"/>
          <w:szCs w:val="32"/>
          <w:shd w:val="clear" w:fill="FFFFFF"/>
          <w:lang w:eastAsia="zh-CN"/>
        </w:rPr>
        <w:t>的</w:t>
      </w:r>
      <w:r>
        <w:rPr>
          <w:rFonts w:hint="eastAsia" w:ascii="仿宋_GB2312" w:hAnsi="仿宋_GB2312" w:eastAsia="仿宋_GB2312" w:cs="仿宋_GB2312"/>
          <w:i w:val="0"/>
          <w:iCs w:val="0"/>
          <w:caps w:val="0"/>
          <w:color w:val="333333"/>
          <w:spacing w:val="0"/>
          <w:sz w:val="32"/>
          <w:szCs w:val="32"/>
          <w:shd w:val="clear" w:fill="FFFFFF"/>
        </w:rPr>
        <w:t>规范性文件</w:t>
      </w:r>
      <w:r>
        <w:rPr>
          <w:rFonts w:hint="eastAsia" w:ascii="仿宋_GB2312" w:hAnsi="仿宋_GB2312" w:eastAsia="仿宋_GB2312" w:cs="仿宋_GB2312"/>
          <w:i w:val="0"/>
          <w:iCs w:val="0"/>
          <w:caps w:val="0"/>
          <w:color w:val="333333"/>
          <w:spacing w:val="0"/>
          <w:sz w:val="32"/>
          <w:szCs w:val="32"/>
          <w:shd w:val="clear" w:fill="FFFFFF"/>
          <w:lang w:val="en-US" w:eastAsia="zh-CN"/>
        </w:rPr>
        <w:t>目录</w:t>
      </w:r>
    </w:p>
    <w:p w14:paraId="0814227D">
      <w:pPr>
        <w:pStyle w:val="9"/>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638" w:leftChars="304" w:right="0" w:firstLine="960" w:firstLineChars="300"/>
        <w:jc w:val="left"/>
        <w:textAlignment w:val="center"/>
        <w:rPr>
          <w:rFonts w:hint="eastAsia" w:ascii="仿宋_GB2312" w:hAnsi="仿宋_GB2312" w:eastAsia="仿宋_GB2312" w:cs="仿宋_GB2312"/>
          <w:i w:val="0"/>
          <w:iCs w:val="0"/>
          <w:caps w:val="0"/>
          <w:color w:val="333333"/>
          <w:spacing w:val="0"/>
          <w:sz w:val="32"/>
          <w:szCs w:val="32"/>
          <w:shd w:val="clear" w:fill="FFFFFF"/>
          <w:lang w:eastAsia="zh-CN"/>
        </w:rPr>
      </w:pPr>
      <w:r>
        <w:rPr>
          <w:rFonts w:hint="default" w:ascii="Times New Roman" w:hAnsi="Times New Roman" w:eastAsia="仿宋_GB2312" w:cs="Times New Roman"/>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lang w:val="en-US" w:eastAsia="zh-CN"/>
        </w:rPr>
        <w:t>.宣布废止的规范性文件目录</w:t>
      </w:r>
    </w:p>
    <w:p w14:paraId="6D1A2299">
      <w:pPr>
        <w:pStyle w:val="9"/>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638" w:leftChars="304" w:right="0" w:firstLine="960" w:firstLineChars="300"/>
        <w:jc w:val="left"/>
        <w:textAlignment w:val="center"/>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default" w:ascii="Times New Roman" w:hAnsi="Times New Roman" w:eastAsia="仿宋_GB2312" w:cs="Times New Roman"/>
          <w:i w:val="0"/>
          <w:iCs w:val="0"/>
          <w:caps w:val="0"/>
          <w:color w:val="333333"/>
          <w:spacing w:val="0"/>
          <w:sz w:val="32"/>
          <w:szCs w:val="32"/>
          <w:shd w:val="clear" w:fill="FFFFFF"/>
          <w:lang w:val="en-US" w:eastAsia="zh-CN"/>
        </w:rPr>
        <w:t>3</w:t>
      </w:r>
      <w:r>
        <w:rPr>
          <w:rFonts w:hint="eastAsia" w:ascii="仿宋_GB2312" w:hAnsi="仿宋_GB2312" w:eastAsia="仿宋_GB2312" w:cs="仿宋_GB2312"/>
          <w:i w:val="0"/>
          <w:iCs w:val="0"/>
          <w:caps w:val="0"/>
          <w:color w:val="333333"/>
          <w:spacing w:val="0"/>
          <w:sz w:val="32"/>
          <w:szCs w:val="32"/>
          <w:shd w:val="clear" w:fill="FFFFFF"/>
          <w:lang w:val="en-US" w:eastAsia="zh-CN"/>
        </w:rPr>
        <w:t>.继续有效</w:t>
      </w:r>
      <w:r>
        <w:rPr>
          <w:rFonts w:hint="eastAsia" w:ascii="仿宋_GB2312" w:hAnsi="仿宋_GB2312" w:eastAsia="仿宋_GB2312" w:cs="仿宋_GB2312"/>
          <w:i w:val="0"/>
          <w:iCs w:val="0"/>
          <w:caps w:val="0"/>
          <w:color w:val="333333"/>
          <w:spacing w:val="0"/>
          <w:sz w:val="32"/>
          <w:szCs w:val="32"/>
          <w:shd w:val="clear" w:fill="FFFFFF"/>
          <w:lang w:eastAsia="zh-CN"/>
        </w:rPr>
        <w:t>的</w:t>
      </w:r>
      <w:r>
        <w:rPr>
          <w:rFonts w:hint="eastAsia" w:ascii="仿宋_GB2312" w:hAnsi="仿宋_GB2312" w:eastAsia="仿宋_GB2312" w:cs="仿宋_GB2312"/>
          <w:i w:val="0"/>
          <w:iCs w:val="0"/>
          <w:caps w:val="0"/>
          <w:color w:val="333333"/>
          <w:spacing w:val="0"/>
          <w:sz w:val="32"/>
          <w:szCs w:val="32"/>
          <w:shd w:val="clear" w:fill="FFFFFF"/>
        </w:rPr>
        <w:t>规范性文件</w:t>
      </w:r>
      <w:r>
        <w:rPr>
          <w:rFonts w:hint="eastAsia" w:ascii="仿宋_GB2312" w:hAnsi="仿宋_GB2312" w:eastAsia="仿宋_GB2312" w:cs="仿宋_GB2312"/>
          <w:i w:val="0"/>
          <w:iCs w:val="0"/>
          <w:caps w:val="0"/>
          <w:color w:val="333333"/>
          <w:spacing w:val="0"/>
          <w:sz w:val="32"/>
          <w:szCs w:val="32"/>
          <w:shd w:val="clear" w:fill="FFFFFF"/>
          <w:lang w:val="en-US" w:eastAsia="zh-CN"/>
        </w:rPr>
        <w:t>目录</w:t>
      </w:r>
    </w:p>
    <w:p w14:paraId="018FFC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310E062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6954210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78A122AC">
      <w:pPr>
        <w:keepNext w:val="0"/>
        <w:keepLines w:val="0"/>
        <w:pageBreakBefore w:val="0"/>
        <w:widowControl w:val="0"/>
        <w:kinsoku/>
        <w:wordWrap/>
        <w:overflowPunct/>
        <w:topLinePunct w:val="0"/>
        <w:autoSpaceDE/>
        <w:autoSpaceDN/>
        <w:bidi w:val="0"/>
        <w:adjustRightInd/>
        <w:snapToGrid/>
        <w:spacing w:line="560" w:lineRule="exact"/>
        <w:ind w:right="1523" w:rightChars="725"/>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湘潭县</w:t>
      </w:r>
      <w:r>
        <w:rPr>
          <w:rFonts w:hint="eastAsia" w:ascii="仿宋_GB2312" w:hAnsi="仿宋_GB2312" w:eastAsia="仿宋_GB2312" w:cs="仿宋_GB2312"/>
          <w:sz w:val="32"/>
          <w:szCs w:val="32"/>
          <w:lang w:val="en-US" w:eastAsia="zh-CN"/>
        </w:rPr>
        <w:t>人民政府</w:t>
      </w:r>
    </w:p>
    <w:p w14:paraId="3EEDC325">
      <w:pPr>
        <w:keepNext w:val="0"/>
        <w:keepLines w:val="0"/>
        <w:pageBreakBefore w:val="0"/>
        <w:widowControl w:val="0"/>
        <w:kinsoku/>
        <w:wordWrap/>
        <w:overflowPunct/>
        <w:topLinePunct w:val="0"/>
        <w:autoSpaceDE/>
        <w:autoSpaceDN/>
        <w:bidi w:val="0"/>
        <w:adjustRightInd/>
        <w:snapToGrid/>
        <w:spacing w:line="560" w:lineRule="exact"/>
        <w:ind w:right="1260" w:rightChars="600"/>
        <w:jc w:val="right"/>
        <w:textAlignment w:val="auto"/>
        <w:rPr>
          <w:rFonts w:hint="eastAsia" w:ascii="仿宋_GB2312" w:hAnsi="宋体" w:eastAsia="仿宋_GB2312"/>
          <w:sz w:val="32"/>
          <w:szCs w:val="32"/>
          <w:lang w:val="en-US" w:eastAsia="zh-CN"/>
        </w:rPr>
      </w:pPr>
      <w:r>
        <w:rPr>
          <w:rFonts w:hint="eastAsia" w:ascii="Times New Roman" w:hAnsi="Times New Roman" w:eastAsia="仿宋_GB2312" w:cs="Times New Roman"/>
          <w:sz w:val="32"/>
          <w:lang w:val="en-US" w:eastAsia="zh-CN"/>
        </w:rPr>
        <w:t>202</w:t>
      </w:r>
      <w:r>
        <w:rPr>
          <w:rFonts w:hint="default" w:ascii="Times New Roman" w:hAnsi="Times New Roman" w:eastAsia="仿宋_GB2312" w:cs="Times New Roman"/>
          <w:sz w:val="32"/>
          <w:lang w:val="en-US" w:eastAsia="zh-CN"/>
        </w:rPr>
        <w:t>5</w:t>
      </w:r>
      <w:r>
        <w:rPr>
          <w:rFonts w:hint="eastAsia" w:ascii="仿宋_GB2312" w:hAnsi="仿宋_GB2312" w:eastAsia="仿宋_GB2312" w:cs="仿宋_GB2312"/>
          <w:sz w:val="32"/>
          <w:szCs w:val="32"/>
          <w:lang w:val="en-US" w:eastAsia="zh-CN"/>
        </w:rPr>
        <w:t>年</w:t>
      </w:r>
      <w:r>
        <w:rPr>
          <w:rFonts w:hint="default" w:ascii="Times New Roman" w:hAnsi="Times New Roman" w:eastAsia="仿宋_GB2312" w:cs="Times New Roman"/>
          <w:sz w:val="32"/>
          <w:lang w:val="en-US" w:eastAsia="zh-CN"/>
        </w:rPr>
        <w:t>10</w:t>
      </w:r>
      <w:r>
        <w:rPr>
          <w:rFonts w:hint="eastAsia" w:ascii="Times New Roman" w:hAnsi="Times New Roman" w:eastAsia="仿宋_GB2312" w:cs="Times New Roman"/>
          <w:sz w:val="32"/>
          <w:lang w:val="en-US" w:eastAsia="zh-CN"/>
        </w:rPr>
        <w:t>月</w:t>
      </w:r>
      <w:r>
        <w:rPr>
          <w:rFonts w:hint="default" w:ascii="Times New Roman" w:hAnsi="Times New Roman" w:eastAsia="仿宋_GB2312" w:cs="Times New Roman"/>
          <w:sz w:val="32"/>
          <w:lang w:val="en-US" w:eastAsia="zh-CN"/>
        </w:rPr>
        <w:t>11</w:t>
      </w:r>
      <w:r>
        <w:rPr>
          <w:rFonts w:hint="eastAsia" w:ascii="仿宋_GB2312" w:hAnsi="宋体" w:eastAsia="仿宋_GB2312"/>
          <w:sz w:val="32"/>
          <w:szCs w:val="32"/>
          <w:lang w:val="en-US" w:eastAsia="zh-CN"/>
        </w:rPr>
        <w:t>日</w:t>
      </w:r>
    </w:p>
    <w:p w14:paraId="2E22DB1D">
      <w:pPr>
        <w:keepNext w:val="0"/>
        <w:keepLines w:val="0"/>
        <w:widowControl/>
        <w:suppressLineNumbers w:val="0"/>
        <w:pBdr>
          <w:top w:val="none" w:color="auto" w:sz="0" w:space="0"/>
          <w:left w:val="none" w:color="auto" w:sz="0" w:space="0"/>
          <w:bottom w:val="none" w:color="auto" w:sz="0" w:space="0"/>
          <w:right w:val="none" w:color="auto" w:sz="0" w:space="0"/>
        </w:pBdr>
        <w:spacing w:before="8" w:beforeAutospacing="0" w:after="8" w:afterAutospacing="0" w:line="560" w:lineRule="exact"/>
        <w:ind w:left="0" w:right="0" w:firstLine="420"/>
        <w:jc w:val="center"/>
        <w:textAlignment w:val="center"/>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br w:type="page"/>
      </w:r>
    </w:p>
    <w:p w14:paraId="7B0730D5">
      <w:pPr>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r>
        <w:rPr>
          <w:rFonts w:hint="default" w:ascii="Times New Roman" w:hAnsi="Times New Roman" w:eastAsia="黑体" w:cs="Times New Roman"/>
          <w:sz w:val="32"/>
          <w:szCs w:val="32"/>
          <w:lang w:val="en-US" w:eastAsia="zh-CN"/>
        </w:rPr>
        <w:t>1</w:t>
      </w:r>
    </w:p>
    <w:p w14:paraId="25FFB0A6">
      <w:pPr>
        <w:spacing w:line="560" w:lineRule="exact"/>
        <w:ind w:firstLine="2640" w:firstLineChars="600"/>
        <w:jc w:val="both"/>
        <w:rPr>
          <w:rFonts w:hint="eastAsia" w:ascii="方正小标宋_GBK" w:hAnsi="方正小标宋_GBK" w:eastAsia="方正小标宋_GBK" w:cs="方正小标宋_GBK"/>
          <w:sz w:val="44"/>
          <w:szCs w:val="44"/>
          <w:lang w:val="en-US" w:eastAsia="zh-CN"/>
        </w:rPr>
      </w:pPr>
    </w:p>
    <w:p w14:paraId="32E5BD7C">
      <w:pPr>
        <w:spacing w:line="560" w:lineRule="exact"/>
        <w:ind w:firstLine="0" w:firstLineChars="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宣布失效的规范性文件目录</w:t>
      </w:r>
    </w:p>
    <w:p w14:paraId="2DE2E6A7">
      <w:pPr>
        <w:spacing w:line="560" w:lineRule="exact"/>
        <w:ind w:firstLine="2640" w:firstLineChars="600"/>
        <w:jc w:val="both"/>
        <w:rPr>
          <w:rFonts w:hint="eastAsia" w:ascii="方正小标宋_GBK" w:hAnsi="方正小标宋_GBK" w:eastAsia="方正小标宋_GBK" w:cs="方正小标宋_GBK"/>
          <w:sz w:val="44"/>
          <w:szCs w:val="44"/>
          <w:lang w:val="en-US" w:eastAsia="zh-CN"/>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5146"/>
        <w:gridCol w:w="2948"/>
      </w:tblGrid>
      <w:tr w14:paraId="563ED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vAlign w:val="center"/>
          </w:tcPr>
          <w:p w14:paraId="73A7AF90">
            <w:pPr>
              <w:spacing w:line="560" w:lineRule="exact"/>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序号</w:t>
            </w:r>
          </w:p>
        </w:tc>
        <w:tc>
          <w:tcPr>
            <w:tcW w:w="5146" w:type="dxa"/>
            <w:vAlign w:val="center"/>
          </w:tcPr>
          <w:p w14:paraId="00BFB7BC">
            <w:pPr>
              <w:spacing w:line="560" w:lineRule="exact"/>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文件名称</w:t>
            </w:r>
          </w:p>
        </w:tc>
        <w:tc>
          <w:tcPr>
            <w:tcW w:w="2948" w:type="dxa"/>
            <w:vAlign w:val="center"/>
          </w:tcPr>
          <w:p w14:paraId="60BB777E">
            <w:pPr>
              <w:spacing w:line="560" w:lineRule="exact"/>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文号</w:t>
            </w:r>
          </w:p>
        </w:tc>
      </w:tr>
      <w:tr w14:paraId="54B41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312BD38E">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1</w:t>
            </w:r>
          </w:p>
        </w:tc>
        <w:tc>
          <w:tcPr>
            <w:tcW w:w="5146" w:type="dxa"/>
            <w:shd w:val="clear" w:color="auto" w:fill="auto"/>
            <w:vAlign w:val="center"/>
          </w:tcPr>
          <w:p w14:paraId="6BC6CEBC">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关于开展农村宅基地和集体建设用地房地一体不动产确权登记颁证工作的通告</w:t>
            </w:r>
          </w:p>
        </w:tc>
        <w:tc>
          <w:tcPr>
            <w:tcW w:w="2948" w:type="dxa"/>
            <w:shd w:val="clear" w:color="auto" w:fill="auto"/>
            <w:vAlign w:val="center"/>
          </w:tcPr>
          <w:p w14:paraId="567F3DA2">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潭县政函〔2020〕6号</w:t>
            </w:r>
          </w:p>
        </w:tc>
      </w:tr>
      <w:tr w14:paraId="3D731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35E07D1D">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2</w:t>
            </w:r>
          </w:p>
        </w:tc>
        <w:tc>
          <w:tcPr>
            <w:tcW w:w="5146" w:type="dxa"/>
            <w:shd w:val="clear" w:color="auto" w:fill="auto"/>
            <w:vAlign w:val="center"/>
          </w:tcPr>
          <w:p w14:paraId="381535CA">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关于加强城镇燃气管网设施保护的通告</w:t>
            </w:r>
          </w:p>
        </w:tc>
        <w:tc>
          <w:tcPr>
            <w:tcW w:w="2948" w:type="dxa"/>
            <w:shd w:val="clear" w:color="auto" w:fill="auto"/>
            <w:vAlign w:val="center"/>
          </w:tcPr>
          <w:p w14:paraId="395066A4">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潭县政函〔2020〕9号</w:t>
            </w:r>
          </w:p>
        </w:tc>
      </w:tr>
      <w:tr w14:paraId="448AE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6CFF5A42">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3</w:t>
            </w:r>
          </w:p>
        </w:tc>
        <w:tc>
          <w:tcPr>
            <w:tcW w:w="5146" w:type="dxa"/>
            <w:shd w:val="clear" w:color="auto" w:fill="auto"/>
            <w:vAlign w:val="center"/>
          </w:tcPr>
          <w:p w14:paraId="1DDFB308">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关于加强城市二环路（湘潭县界内）沿线建设管控的通告</w:t>
            </w:r>
          </w:p>
        </w:tc>
        <w:tc>
          <w:tcPr>
            <w:tcW w:w="2948" w:type="dxa"/>
            <w:shd w:val="clear" w:color="auto" w:fill="auto"/>
            <w:vAlign w:val="center"/>
          </w:tcPr>
          <w:p w14:paraId="12A949DA">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潭县政函〔2020〕32号</w:t>
            </w:r>
          </w:p>
        </w:tc>
      </w:tr>
      <w:tr w14:paraId="12DF7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48744EA1">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4</w:t>
            </w:r>
          </w:p>
        </w:tc>
        <w:tc>
          <w:tcPr>
            <w:tcW w:w="5146" w:type="dxa"/>
            <w:shd w:val="clear" w:color="auto" w:fill="auto"/>
            <w:vAlign w:val="center"/>
          </w:tcPr>
          <w:p w14:paraId="6727EBE4">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关于公布实施湘潭县城镇基准地价更新成果和2020年度国有建设用地标定价成果的通知</w:t>
            </w:r>
          </w:p>
        </w:tc>
        <w:tc>
          <w:tcPr>
            <w:tcW w:w="2948" w:type="dxa"/>
            <w:shd w:val="clear" w:color="auto" w:fill="auto"/>
            <w:vAlign w:val="center"/>
          </w:tcPr>
          <w:p w14:paraId="404E6CC0">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潭县政发〔2020〕5号</w:t>
            </w:r>
          </w:p>
        </w:tc>
      </w:tr>
      <w:tr w14:paraId="3688C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72FC67C6">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5</w:t>
            </w:r>
          </w:p>
        </w:tc>
        <w:tc>
          <w:tcPr>
            <w:tcW w:w="5146" w:type="dxa"/>
            <w:shd w:val="clear" w:color="auto" w:fill="auto"/>
            <w:vAlign w:val="center"/>
          </w:tcPr>
          <w:p w14:paraId="24545E77">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关于印发《湘潭县长江流域重点水域禁捕退捕工作实施方案》的通知</w:t>
            </w:r>
          </w:p>
        </w:tc>
        <w:tc>
          <w:tcPr>
            <w:tcW w:w="2948" w:type="dxa"/>
            <w:shd w:val="clear" w:color="auto" w:fill="auto"/>
            <w:vAlign w:val="center"/>
          </w:tcPr>
          <w:p w14:paraId="253697E1">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潭县政办函〔2019〕83号</w:t>
            </w:r>
          </w:p>
        </w:tc>
      </w:tr>
      <w:tr w14:paraId="1FE06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21617B13">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6</w:t>
            </w:r>
          </w:p>
        </w:tc>
        <w:tc>
          <w:tcPr>
            <w:tcW w:w="5146" w:type="dxa"/>
            <w:shd w:val="clear" w:color="auto" w:fill="auto"/>
            <w:vAlign w:val="center"/>
          </w:tcPr>
          <w:p w14:paraId="3967F187">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关于全面开展工程建设项目审批制度改革的实施意见</w:t>
            </w:r>
          </w:p>
        </w:tc>
        <w:tc>
          <w:tcPr>
            <w:tcW w:w="2948" w:type="dxa"/>
            <w:shd w:val="clear" w:color="auto" w:fill="auto"/>
            <w:vAlign w:val="center"/>
          </w:tcPr>
          <w:p w14:paraId="21DDA520">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潭县政办发〔2019〕4号</w:t>
            </w:r>
          </w:p>
        </w:tc>
      </w:tr>
      <w:tr w14:paraId="49668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3927DAC9">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7</w:t>
            </w:r>
          </w:p>
        </w:tc>
        <w:tc>
          <w:tcPr>
            <w:tcW w:w="5146" w:type="dxa"/>
            <w:shd w:val="clear" w:color="auto" w:fill="auto"/>
            <w:vAlign w:val="center"/>
          </w:tcPr>
          <w:p w14:paraId="52C55A5B">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关于印发《湘潭县农村饮水安全集中供水工程运行管理办法》的通知</w:t>
            </w:r>
          </w:p>
        </w:tc>
        <w:tc>
          <w:tcPr>
            <w:tcW w:w="2948" w:type="dxa"/>
            <w:shd w:val="clear" w:color="auto" w:fill="auto"/>
            <w:vAlign w:val="center"/>
          </w:tcPr>
          <w:p w14:paraId="6863EDA0">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潭县政办发〔2020〕3号</w:t>
            </w:r>
          </w:p>
        </w:tc>
      </w:tr>
      <w:tr w14:paraId="4CE23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1401555F">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8</w:t>
            </w:r>
          </w:p>
        </w:tc>
        <w:tc>
          <w:tcPr>
            <w:tcW w:w="5146" w:type="dxa"/>
            <w:shd w:val="clear" w:color="auto" w:fill="auto"/>
            <w:vAlign w:val="center"/>
          </w:tcPr>
          <w:p w14:paraId="3A67A6D2">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关于印发《湘潭县农村应急供水预案》的通知</w:t>
            </w:r>
          </w:p>
        </w:tc>
        <w:tc>
          <w:tcPr>
            <w:tcW w:w="2948" w:type="dxa"/>
            <w:shd w:val="clear" w:color="auto" w:fill="auto"/>
            <w:vAlign w:val="center"/>
          </w:tcPr>
          <w:p w14:paraId="18025AD6">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潭县政办发〔2020〕4号</w:t>
            </w:r>
          </w:p>
        </w:tc>
      </w:tr>
      <w:tr w14:paraId="222CD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6CFC4410">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9</w:t>
            </w:r>
          </w:p>
        </w:tc>
        <w:tc>
          <w:tcPr>
            <w:tcW w:w="5146" w:type="dxa"/>
            <w:shd w:val="clear" w:color="auto" w:fill="auto"/>
            <w:vAlign w:val="center"/>
          </w:tcPr>
          <w:p w14:paraId="267E219E">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湘潭县推进湘莲产业发展的意见</w:t>
            </w:r>
          </w:p>
        </w:tc>
        <w:tc>
          <w:tcPr>
            <w:tcW w:w="2948" w:type="dxa"/>
            <w:shd w:val="clear" w:color="auto" w:fill="auto"/>
            <w:vAlign w:val="center"/>
          </w:tcPr>
          <w:p w14:paraId="04B5F0F3">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潭县政办发〔2020〕8号</w:t>
            </w:r>
          </w:p>
        </w:tc>
      </w:tr>
      <w:tr w14:paraId="140BD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0B76C02B">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10</w:t>
            </w:r>
          </w:p>
        </w:tc>
        <w:tc>
          <w:tcPr>
            <w:tcW w:w="5146" w:type="dxa"/>
            <w:shd w:val="clear" w:color="auto" w:fill="auto"/>
            <w:vAlign w:val="center"/>
          </w:tcPr>
          <w:p w14:paraId="637C2D21">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关于推行放管服“四个一”改革工作的通知</w:t>
            </w:r>
          </w:p>
        </w:tc>
        <w:tc>
          <w:tcPr>
            <w:tcW w:w="2948" w:type="dxa"/>
            <w:shd w:val="clear" w:color="auto" w:fill="auto"/>
            <w:vAlign w:val="center"/>
          </w:tcPr>
          <w:p w14:paraId="618CB673">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潭县政办发〔2020〕9号</w:t>
            </w:r>
          </w:p>
        </w:tc>
      </w:tr>
      <w:tr w14:paraId="29CD9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41" w:type="dxa"/>
            <w:shd w:val="clear" w:color="auto" w:fill="auto"/>
            <w:vAlign w:val="center"/>
          </w:tcPr>
          <w:p w14:paraId="4BB70B42">
            <w:pPr>
              <w:spacing w:line="38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kern w:val="2"/>
                <w:sz w:val="24"/>
                <w:szCs w:val="24"/>
                <w:vertAlign w:val="baseline"/>
                <w:lang w:val="en-US" w:eastAsia="zh-CN" w:bidi="ar-SA"/>
              </w:rPr>
              <w:t>11</w:t>
            </w:r>
          </w:p>
        </w:tc>
        <w:tc>
          <w:tcPr>
            <w:tcW w:w="5146" w:type="dxa"/>
            <w:shd w:val="clear" w:color="auto" w:fill="auto"/>
            <w:vAlign w:val="center"/>
          </w:tcPr>
          <w:p w14:paraId="31B48145">
            <w:pPr>
              <w:widowControl/>
              <w:jc w:val="left"/>
              <w:textAlignment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关于印发《湘潭县农村集体经营性建设用地入市管理办法（试行）》的通知</w:t>
            </w:r>
          </w:p>
        </w:tc>
        <w:tc>
          <w:tcPr>
            <w:tcW w:w="2948" w:type="dxa"/>
            <w:shd w:val="clear" w:color="auto" w:fill="auto"/>
            <w:vAlign w:val="center"/>
          </w:tcPr>
          <w:p w14:paraId="4DBD2654">
            <w:pPr>
              <w:widowControl/>
              <w:jc w:val="center"/>
              <w:textAlignment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i w:val="0"/>
                <w:iCs w:val="0"/>
                <w:color w:val="000000"/>
                <w:kern w:val="0"/>
                <w:sz w:val="24"/>
                <w:szCs w:val="24"/>
                <w:u w:val="none"/>
                <w:lang w:val="en-US" w:eastAsia="zh-CN" w:bidi="ar"/>
              </w:rPr>
              <w:t>潭县政办发〔2023〕7号</w:t>
            </w:r>
          </w:p>
        </w:tc>
      </w:tr>
    </w:tbl>
    <w:p w14:paraId="349DB873">
      <w:pPr>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137EFC30">
      <w:pPr>
        <w:spacing w:line="560" w:lineRule="exact"/>
        <w:jc w:val="both"/>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附件2</w:t>
      </w:r>
    </w:p>
    <w:p w14:paraId="48DED8F4">
      <w:pPr>
        <w:spacing w:line="560" w:lineRule="exact"/>
        <w:jc w:val="both"/>
        <w:rPr>
          <w:rFonts w:hint="eastAsia" w:ascii="仿宋_GB2312" w:hAnsi="仿宋_GB2312" w:eastAsia="仿宋_GB2312" w:cs="仿宋_GB2312"/>
          <w:sz w:val="36"/>
          <w:szCs w:val="36"/>
          <w:lang w:val="en-US" w:eastAsia="zh-CN"/>
        </w:rPr>
      </w:pPr>
    </w:p>
    <w:p w14:paraId="12D0B21F">
      <w:pPr>
        <w:spacing w:line="560" w:lineRule="exact"/>
        <w:ind w:firstLine="0" w:firstLineChars="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确认废止的规范性文件目录</w:t>
      </w:r>
    </w:p>
    <w:p w14:paraId="3EEEFAC3">
      <w:pPr>
        <w:spacing w:line="560" w:lineRule="exact"/>
        <w:ind w:firstLine="2160" w:firstLineChars="600"/>
        <w:jc w:val="both"/>
        <w:rPr>
          <w:rFonts w:hint="eastAsia" w:ascii="仿宋_GB2312" w:hAnsi="仿宋_GB2312" w:eastAsia="仿宋_GB2312" w:cs="仿宋_GB2312"/>
          <w:sz w:val="36"/>
          <w:szCs w:val="36"/>
          <w:lang w:val="en-US"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5216"/>
        <w:gridCol w:w="2992"/>
      </w:tblGrid>
      <w:tr w14:paraId="20E8B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21" w:type="dxa"/>
            <w:vAlign w:val="center"/>
          </w:tcPr>
          <w:p w14:paraId="0D76A110">
            <w:pPr>
              <w:spacing w:line="560" w:lineRule="exact"/>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序号</w:t>
            </w:r>
          </w:p>
        </w:tc>
        <w:tc>
          <w:tcPr>
            <w:tcW w:w="5216" w:type="dxa"/>
            <w:vAlign w:val="center"/>
          </w:tcPr>
          <w:p w14:paraId="65966A48">
            <w:pPr>
              <w:spacing w:line="560" w:lineRule="exact"/>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文件名称</w:t>
            </w:r>
          </w:p>
        </w:tc>
        <w:tc>
          <w:tcPr>
            <w:tcW w:w="2992" w:type="dxa"/>
            <w:vAlign w:val="center"/>
          </w:tcPr>
          <w:p w14:paraId="0CCF16E8">
            <w:pPr>
              <w:spacing w:line="560" w:lineRule="exact"/>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文号</w:t>
            </w:r>
          </w:p>
        </w:tc>
      </w:tr>
      <w:tr w14:paraId="78A63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21" w:type="dxa"/>
            <w:vAlign w:val="center"/>
          </w:tcPr>
          <w:p w14:paraId="52428EB3">
            <w:pPr>
              <w:spacing w:line="560" w:lineRule="exact"/>
              <w:jc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sz w:val="24"/>
                <w:szCs w:val="24"/>
                <w:vertAlign w:val="baseline"/>
                <w:lang w:val="en-US" w:eastAsia="zh-CN"/>
              </w:rPr>
              <w:t>1</w:t>
            </w:r>
          </w:p>
        </w:tc>
        <w:tc>
          <w:tcPr>
            <w:tcW w:w="5216" w:type="dxa"/>
            <w:shd w:val="clear" w:color="auto" w:fill="auto"/>
            <w:vAlign w:val="center"/>
          </w:tcPr>
          <w:p w14:paraId="564E33C3">
            <w:pPr>
              <w:spacing w:line="560" w:lineRule="exact"/>
              <w:jc w:val="left"/>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关于扩大调整县城高污染燃料禁燃区的通告</w:t>
            </w:r>
          </w:p>
        </w:tc>
        <w:tc>
          <w:tcPr>
            <w:tcW w:w="2992" w:type="dxa"/>
            <w:shd w:val="clear" w:color="auto" w:fill="auto"/>
            <w:vAlign w:val="center"/>
          </w:tcPr>
          <w:p w14:paraId="10BF8044">
            <w:pPr>
              <w:spacing w:line="560" w:lineRule="exact"/>
              <w:jc w:val="center"/>
              <w:rPr>
                <w:rFonts w:hint="default" w:ascii="Times New Roman" w:hAnsi="Times New Roman" w:eastAsia="仿宋_GB2312" w:cs="Times New Roman"/>
                <w:kern w:val="2"/>
                <w:sz w:val="24"/>
                <w:szCs w:val="24"/>
                <w:vertAlign w:val="baseline"/>
                <w:lang w:val="en-US" w:eastAsia="zh-CN" w:bidi="ar-SA"/>
              </w:rPr>
            </w:pPr>
            <w:r>
              <w:rPr>
                <w:rFonts w:hint="default" w:ascii="Times New Roman" w:hAnsi="Times New Roman" w:eastAsia="仿宋_GB2312" w:cs="Times New Roman"/>
                <w:sz w:val="24"/>
                <w:szCs w:val="24"/>
                <w:vertAlign w:val="baseline"/>
                <w:lang w:val="en-US" w:eastAsia="zh-CN"/>
              </w:rPr>
              <w:t>潭县政函〔2019〕70号</w:t>
            </w:r>
          </w:p>
        </w:tc>
      </w:tr>
    </w:tbl>
    <w:p w14:paraId="32337F2F">
      <w:pPr>
        <w:jc w:val="left"/>
        <w:rPr>
          <w:rFonts w:hint="eastAsia" w:ascii="仿宋_GB2312" w:hAnsi="仿宋_GB2312" w:eastAsia="仿宋_GB2312" w:cs="仿宋_GB2312"/>
          <w:sz w:val="30"/>
          <w:szCs w:val="30"/>
          <w:lang w:val="en" w:eastAsia="zh-CN"/>
        </w:rPr>
      </w:pPr>
      <w:r>
        <w:rPr>
          <w:rFonts w:hint="eastAsia" w:ascii="仿宋_GB2312" w:hAnsi="仿宋_GB2312" w:eastAsia="仿宋_GB2312" w:cs="仿宋_GB2312"/>
          <w:sz w:val="30"/>
          <w:szCs w:val="30"/>
          <w:lang w:val="en" w:eastAsia="zh-CN"/>
        </w:rPr>
        <w:br w:type="page"/>
      </w:r>
    </w:p>
    <w:p w14:paraId="7F1BA2A6">
      <w:pPr>
        <w:spacing w:line="560" w:lineRule="exact"/>
        <w:jc w:val="both"/>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附件3</w:t>
      </w:r>
    </w:p>
    <w:p w14:paraId="7042E5CD">
      <w:pPr>
        <w:spacing w:line="560" w:lineRule="exact"/>
        <w:jc w:val="both"/>
        <w:rPr>
          <w:rFonts w:hint="eastAsia" w:ascii="仿宋_GB2312" w:hAnsi="仿宋_GB2312" w:eastAsia="仿宋_GB2312" w:cs="仿宋_GB2312"/>
          <w:sz w:val="36"/>
          <w:szCs w:val="36"/>
          <w:lang w:val="en-US" w:eastAsia="zh-CN"/>
        </w:rPr>
      </w:pPr>
    </w:p>
    <w:p w14:paraId="135E211C">
      <w:pPr>
        <w:spacing w:line="560" w:lineRule="exact"/>
        <w:ind w:firstLine="0" w:firstLineChars="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继续有效的规范性文件目录</w:t>
      </w:r>
    </w:p>
    <w:p w14:paraId="385708B3">
      <w:pPr>
        <w:spacing w:line="560" w:lineRule="exact"/>
        <w:ind w:firstLine="2160" w:firstLineChars="600"/>
        <w:jc w:val="both"/>
        <w:rPr>
          <w:rFonts w:hint="eastAsia" w:ascii="仿宋_GB2312" w:hAnsi="仿宋_GB2312" w:eastAsia="仿宋_GB2312" w:cs="仿宋_GB2312"/>
          <w:sz w:val="36"/>
          <w:szCs w:val="36"/>
          <w:lang w:val="en-US" w:eastAsia="zh-CN"/>
        </w:rPr>
      </w:pPr>
    </w:p>
    <w:tbl>
      <w:tblPr>
        <w:tblStyle w:val="12"/>
        <w:tblW w:w="9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6030"/>
        <w:gridCol w:w="3045"/>
      </w:tblGrid>
      <w:tr w14:paraId="11C01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0DCA0A65">
            <w:pPr>
              <w:spacing w:line="380" w:lineRule="exact"/>
              <w:jc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黑体" w:hAnsi="黑体" w:eastAsia="黑体" w:cs="黑体"/>
                <w:sz w:val="28"/>
                <w:szCs w:val="28"/>
                <w:vertAlign w:val="baseline"/>
                <w:lang w:val="en-US" w:eastAsia="zh-CN"/>
              </w:rPr>
              <w:t>序号</w:t>
            </w:r>
          </w:p>
        </w:tc>
        <w:tc>
          <w:tcPr>
            <w:tcW w:w="6030" w:type="dxa"/>
            <w:vAlign w:val="center"/>
          </w:tcPr>
          <w:p w14:paraId="1A119469">
            <w:pPr>
              <w:widowControl/>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黑体" w:hAnsi="黑体" w:eastAsia="黑体" w:cs="黑体"/>
                <w:sz w:val="28"/>
                <w:szCs w:val="28"/>
                <w:vertAlign w:val="baseline"/>
                <w:lang w:val="en-US" w:eastAsia="zh-CN"/>
              </w:rPr>
              <w:t>文件名称</w:t>
            </w:r>
          </w:p>
        </w:tc>
        <w:tc>
          <w:tcPr>
            <w:tcW w:w="3045" w:type="dxa"/>
            <w:vAlign w:val="center"/>
          </w:tcPr>
          <w:p w14:paraId="7F139B21">
            <w:pPr>
              <w:widowControl/>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黑体" w:hAnsi="黑体" w:eastAsia="黑体" w:cs="黑体"/>
                <w:sz w:val="28"/>
                <w:szCs w:val="28"/>
                <w:vertAlign w:val="baseline"/>
                <w:lang w:val="en-US" w:eastAsia="zh-CN"/>
              </w:rPr>
              <w:t>文号</w:t>
            </w:r>
          </w:p>
        </w:tc>
      </w:tr>
      <w:tr w14:paraId="61F1B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07CD3A24">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sz w:val="24"/>
                <w:szCs w:val="24"/>
                <w:vertAlign w:val="baseline"/>
                <w:lang w:val="en-US" w:eastAsia="zh-CN"/>
              </w:rPr>
              <w:t>1</w:t>
            </w:r>
          </w:p>
        </w:tc>
        <w:tc>
          <w:tcPr>
            <w:tcW w:w="6030" w:type="dxa"/>
            <w:vAlign w:val="center"/>
          </w:tcPr>
          <w:p w14:paraId="3313304C">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关于印发《湘潭县养殖水域滩涂规划（</w:t>
            </w:r>
            <w:r>
              <w:rPr>
                <w:rFonts w:hint="default" w:ascii="Times New Roman" w:hAnsi="Times New Roman" w:eastAsia="仿宋_GB2312" w:cs="Times New Roman"/>
                <w:i w:val="0"/>
                <w:iCs w:val="0"/>
                <w:color w:val="000000"/>
                <w:kern w:val="0"/>
                <w:sz w:val="24"/>
                <w:szCs w:val="24"/>
                <w:u w:val="none"/>
                <w:lang w:val="en-US" w:eastAsia="zh-CN" w:bidi="ar"/>
              </w:rPr>
              <w:t>2018－2030</w:t>
            </w:r>
            <w:r>
              <w:rPr>
                <w:rFonts w:hint="eastAsia" w:ascii="仿宋_GB2312" w:hAnsi="仿宋_GB2312" w:eastAsia="仿宋_GB2312" w:cs="仿宋_GB2312"/>
                <w:i w:val="0"/>
                <w:iCs w:val="0"/>
                <w:color w:val="000000"/>
                <w:kern w:val="0"/>
                <w:sz w:val="24"/>
                <w:szCs w:val="24"/>
                <w:u w:val="none"/>
                <w:lang w:val="en-US" w:eastAsia="zh-CN" w:bidi="ar"/>
              </w:rPr>
              <w:t>）》的通知</w:t>
            </w:r>
          </w:p>
        </w:tc>
        <w:tc>
          <w:tcPr>
            <w:tcW w:w="3045" w:type="dxa"/>
            <w:vAlign w:val="center"/>
          </w:tcPr>
          <w:p w14:paraId="1F904BF2">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潭县政办发〔2018〕21号</w:t>
            </w:r>
          </w:p>
        </w:tc>
      </w:tr>
      <w:tr w14:paraId="769A3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37010814">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sz w:val="24"/>
                <w:szCs w:val="24"/>
                <w:vertAlign w:val="baseline"/>
                <w:lang w:val="en-US" w:eastAsia="zh-CN"/>
              </w:rPr>
              <w:t>2</w:t>
            </w:r>
          </w:p>
        </w:tc>
        <w:tc>
          <w:tcPr>
            <w:tcW w:w="6030" w:type="dxa"/>
            <w:vAlign w:val="center"/>
          </w:tcPr>
          <w:p w14:paraId="09AB71E9">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关于印发《湘潭县特种设备安全事故应急预案》的通知</w:t>
            </w:r>
          </w:p>
        </w:tc>
        <w:tc>
          <w:tcPr>
            <w:tcW w:w="3045" w:type="dxa"/>
            <w:vAlign w:val="center"/>
          </w:tcPr>
          <w:p w14:paraId="2B0C65BF">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潭县政办发〔2021〕13号</w:t>
            </w:r>
          </w:p>
        </w:tc>
      </w:tr>
      <w:tr w14:paraId="1ECED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7C31363B">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sz w:val="24"/>
                <w:szCs w:val="24"/>
                <w:vertAlign w:val="baseline"/>
                <w:lang w:val="en-US" w:eastAsia="zh-CN"/>
              </w:rPr>
              <w:t>3</w:t>
            </w:r>
          </w:p>
        </w:tc>
        <w:tc>
          <w:tcPr>
            <w:tcW w:w="6030" w:type="dxa"/>
            <w:vAlign w:val="center"/>
          </w:tcPr>
          <w:p w14:paraId="48813908">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关于印发《湘潭县食品安全事故应急预案》的通知</w:t>
            </w:r>
          </w:p>
        </w:tc>
        <w:tc>
          <w:tcPr>
            <w:tcW w:w="3045" w:type="dxa"/>
            <w:vAlign w:val="center"/>
          </w:tcPr>
          <w:p w14:paraId="1963EC1F">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潭县政办发〔2021〕14号</w:t>
            </w:r>
          </w:p>
        </w:tc>
      </w:tr>
      <w:tr w14:paraId="3A57D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3E4A2AAD">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4</w:t>
            </w:r>
          </w:p>
        </w:tc>
        <w:tc>
          <w:tcPr>
            <w:tcW w:w="6030" w:type="dxa"/>
            <w:vAlign w:val="center"/>
          </w:tcPr>
          <w:p w14:paraId="494FFAC4">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关于印发《湘潭县突发环境事件应急预案》的通知</w:t>
            </w:r>
          </w:p>
        </w:tc>
        <w:tc>
          <w:tcPr>
            <w:tcW w:w="3045" w:type="dxa"/>
            <w:vAlign w:val="center"/>
          </w:tcPr>
          <w:p w14:paraId="29A62409">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潭县政办发〔2021〕15号</w:t>
            </w:r>
          </w:p>
        </w:tc>
      </w:tr>
      <w:tr w14:paraId="6B9F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286DE1F9">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5</w:t>
            </w:r>
          </w:p>
        </w:tc>
        <w:tc>
          <w:tcPr>
            <w:tcW w:w="6030" w:type="dxa"/>
            <w:vAlign w:val="center"/>
          </w:tcPr>
          <w:p w14:paraId="14CC1ADC">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关于印发《湘潭县林业生物灾害应急预案》的通知</w:t>
            </w:r>
          </w:p>
        </w:tc>
        <w:tc>
          <w:tcPr>
            <w:tcW w:w="3045" w:type="dxa"/>
            <w:vAlign w:val="center"/>
          </w:tcPr>
          <w:p w14:paraId="6131EF94">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潭县政办发〔2021〕17号</w:t>
            </w:r>
          </w:p>
        </w:tc>
      </w:tr>
      <w:tr w14:paraId="5A4AC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32E2BAD7">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6</w:t>
            </w:r>
          </w:p>
        </w:tc>
        <w:tc>
          <w:tcPr>
            <w:tcW w:w="6030" w:type="dxa"/>
            <w:vAlign w:val="center"/>
          </w:tcPr>
          <w:p w14:paraId="27D1F884">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湘潭县加快推进新建商品房“交房即交证”改革实施方案</w:t>
            </w:r>
          </w:p>
        </w:tc>
        <w:tc>
          <w:tcPr>
            <w:tcW w:w="3045" w:type="dxa"/>
            <w:vAlign w:val="center"/>
          </w:tcPr>
          <w:p w14:paraId="70911292">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潭县政办发〔2021〕9号</w:t>
            </w:r>
          </w:p>
        </w:tc>
      </w:tr>
      <w:tr w14:paraId="6C264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08277CE6">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7</w:t>
            </w:r>
          </w:p>
        </w:tc>
        <w:tc>
          <w:tcPr>
            <w:tcW w:w="6030" w:type="dxa"/>
            <w:vAlign w:val="center"/>
          </w:tcPr>
          <w:p w14:paraId="57E57313">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关于印发《湘潭县产业强县“百十亿”工程激励措施》的通知</w:t>
            </w:r>
          </w:p>
        </w:tc>
        <w:tc>
          <w:tcPr>
            <w:tcW w:w="3045" w:type="dxa"/>
            <w:vAlign w:val="center"/>
          </w:tcPr>
          <w:p w14:paraId="5A6AF346">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潭县政办发〔2022〕10号</w:t>
            </w:r>
          </w:p>
        </w:tc>
      </w:tr>
      <w:tr w14:paraId="21D29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7A592020">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8</w:t>
            </w:r>
          </w:p>
        </w:tc>
        <w:tc>
          <w:tcPr>
            <w:tcW w:w="6030" w:type="dxa"/>
            <w:vAlign w:val="center"/>
          </w:tcPr>
          <w:p w14:paraId="5A20B7ED">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关于印发《湘潭县人民政府聘任法律顾问管理办法》的通知</w:t>
            </w:r>
          </w:p>
        </w:tc>
        <w:tc>
          <w:tcPr>
            <w:tcW w:w="3045" w:type="dxa"/>
            <w:vAlign w:val="center"/>
          </w:tcPr>
          <w:p w14:paraId="3D5DC91F">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潭县政办发〔2022〕12号</w:t>
            </w:r>
          </w:p>
        </w:tc>
      </w:tr>
      <w:tr w14:paraId="667AA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2" w:hRule="atLeast"/>
          <w:jc w:val="center"/>
        </w:trPr>
        <w:tc>
          <w:tcPr>
            <w:tcW w:w="822" w:type="dxa"/>
            <w:vAlign w:val="center"/>
          </w:tcPr>
          <w:p w14:paraId="1048FA61">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9</w:t>
            </w:r>
          </w:p>
        </w:tc>
        <w:tc>
          <w:tcPr>
            <w:tcW w:w="6030" w:type="dxa"/>
            <w:vAlign w:val="center"/>
          </w:tcPr>
          <w:p w14:paraId="72736B20">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关于印发《湘潭县优势产业链“强链”计划</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w:t>
            </w:r>
            <w:r>
              <w:rPr>
                <w:rFonts w:hint="eastAsia" w:ascii="仿宋_GB2312" w:hAnsi="仿宋_GB2312" w:eastAsia="仿宋_GB2312" w:cs="仿宋_GB2312"/>
                <w:i w:val="0"/>
                <w:iCs w:val="0"/>
                <w:color w:val="000000"/>
                <w:kern w:val="0"/>
                <w:sz w:val="24"/>
                <w:szCs w:val="24"/>
                <w:u w:val="none"/>
                <w:lang w:val="en-US" w:eastAsia="zh-CN" w:bidi="ar"/>
              </w:rPr>
              <w:t>年）》《湘潭县规工企业“扩张”计划（</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2025年</w:t>
            </w:r>
            <w:r>
              <w:rPr>
                <w:rFonts w:hint="eastAsia" w:ascii="仿宋_GB2312" w:hAnsi="仿宋_GB2312" w:eastAsia="仿宋_GB2312" w:cs="仿宋_GB2312"/>
                <w:i w:val="0"/>
                <w:iCs w:val="0"/>
                <w:color w:val="000000"/>
                <w:kern w:val="0"/>
                <w:sz w:val="24"/>
                <w:szCs w:val="24"/>
                <w:u w:val="none"/>
                <w:lang w:val="en-US" w:eastAsia="zh-CN" w:bidi="ar"/>
              </w:rPr>
              <w:t>）》《湘潭县“专精特新”中小企业“裂变”计划</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w:t>
            </w:r>
            <w:r>
              <w:rPr>
                <w:rFonts w:hint="eastAsia" w:ascii="仿宋_GB2312" w:hAnsi="仿宋_GB2312" w:eastAsia="仿宋_GB2312" w:cs="仿宋_GB2312"/>
                <w:i w:val="0"/>
                <w:iCs w:val="0"/>
                <w:color w:val="000000"/>
                <w:kern w:val="0"/>
                <w:sz w:val="24"/>
                <w:szCs w:val="24"/>
                <w:u w:val="none"/>
                <w:lang w:val="en-US" w:eastAsia="zh-CN" w:bidi="ar"/>
              </w:rPr>
              <w:t>年）》《湘潭县十亿企业“聚变”计划（</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2025年</w:t>
            </w:r>
            <w:r>
              <w:rPr>
                <w:rFonts w:hint="eastAsia" w:ascii="仿宋_GB2312" w:hAnsi="仿宋_GB2312" w:eastAsia="仿宋_GB2312" w:cs="仿宋_GB2312"/>
                <w:i w:val="0"/>
                <w:iCs w:val="0"/>
                <w:color w:val="000000"/>
                <w:kern w:val="0"/>
                <w:sz w:val="24"/>
                <w:szCs w:val="24"/>
                <w:u w:val="none"/>
                <w:lang w:val="en-US" w:eastAsia="zh-CN" w:bidi="ar"/>
              </w:rPr>
              <w:t>）》《湘潭县企业上市“金芙蓉”跃升计划</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2025年</w:t>
            </w:r>
            <w:r>
              <w:rPr>
                <w:rFonts w:hint="eastAsia" w:ascii="仿宋_GB2312" w:hAnsi="仿宋_GB2312" w:eastAsia="仿宋_GB2312" w:cs="仿宋_GB2312"/>
                <w:i w:val="0"/>
                <w:iCs w:val="0"/>
                <w:color w:val="000000"/>
                <w:kern w:val="0"/>
                <w:sz w:val="24"/>
                <w:szCs w:val="24"/>
                <w:u w:val="none"/>
                <w:lang w:val="en-US" w:eastAsia="zh-CN" w:bidi="ar"/>
              </w:rPr>
              <w:t>）》的通知</w:t>
            </w:r>
          </w:p>
        </w:tc>
        <w:tc>
          <w:tcPr>
            <w:tcW w:w="3045" w:type="dxa"/>
            <w:vAlign w:val="center"/>
          </w:tcPr>
          <w:p w14:paraId="10B4F079">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潭县政办发〔2022〕9号</w:t>
            </w:r>
          </w:p>
        </w:tc>
      </w:tr>
      <w:tr w14:paraId="70832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75DFF5F2">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10</w:t>
            </w:r>
          </w:p>
        </w:tc>
        <w:tc>
          <w:tcPr>
            <w:tcW w:w="6030" w:type="dxa"/>
            <w:vAlign w:val="center"/>
          </w:tcPr>
          <w:p w14:paraId="2DD301AD">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关于公布《湘潭县行政许可事项清单（</w:t>
            </w:r>
            <w:r>
              <w:rPr>
                <w:rFonts w:hint="default" w:ascii="Times New Roman" w:hAnsi="Times New Roman" w:eastAsia="仿宋_GB2312" w:cs="Times New Roman"/>
                <w:i w:val="0"/>
                <w:iCs w:val="0"/>
                <w:color w:val="000000"/>
                <w:kern w:val="0"/>
                <w:sz w:val="24"/>
                <w:szCs w:val="24"/>
                <w:u w:val="none"/>
                <w:lang w:val="en-US" w:eastAsia="zh-CN" w:bidi="ar"/>
              </w:rPr>
              <w:t>2023年</w:t>
            </w:r>
            <w:r>
              <w:rPr>
                <w:rFonts w:hint="eastAsia" w:ascii="仿宋_GB2312" w:hAnsi="仿宋_GB2312" w:eastAsia="仿宋_GB2312" w:cs="仿宋_GB2312"/>
                <w:i w:val="0"/>
                <w:iCs w:val="0"/>
                <w:color w:val="000000"/>
                <w:kern w:val="0"/>
                <w:sz w:val="24"/>
                <w:szCs w:val="24"/>
                <w:u w:val="none"/>
                <w:lang w:val="en-US" w:eastAsia="zh-CN" w:bidi="ar"/>
              </w:rPr>
              <w:t>版）》的通知</w:t>
            </w:r>
          </w:p>
        </w:tc>
        <w:tc>
          <w:tcPr>
            <w:tcW w:w="3045" w:type="dxa"/>
            <w:vAlign w:val="center"/>
          </w:tcPr>
          <w:p w14:paraId="5FDCB4DA">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潭县政办发〔2023〕11号</w:t>
            </w:r>
          </w:p>
        </w:tc>
      </w:tr>
      <w:tr w14:paraId="6575A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579FAD31">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11</w:t>
            </w:r>
          </w:p>
        </w:tc>
        <w:tc>
          <w:tcPr>
            <w:tcW w:w="6030" w:type="dxa"/>
            <w:vAlign w:val="center"/>
          </w:tcPr>
          <w:p w14:paraId="339FF905">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关于印发《湘潭县“智赋千企”行动方案（</w:t>
            </w:r>
            <w:r>
              <w:rPr>
                <w:rFonts w:hint="default" w:ascii="Times New Roman" w:hAnsi="Times New Roman" w:eastAsia="仿宋_GB2312" w:cs="Times New Roman"/>
                <w:i w:val="0"/>
                <w:iCs w:val="0"/>
                <w:color w:val="000000"/>
                <w:kern w:val="0"/>
                <w:sz w:val="24"/>
                <w:szCs w:val="24"/>
                <w:u w:val="none"/>
                <w:lang w:val="en-US" w:eastAsia="zh-CN" w:bidi="ar"/>
              </w:rPr>
              <w:t>2023</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w:t>
            </w:r>
            <w:r>
              <w:rPr>
                <w:rFonts w:hint="eastAsia" w:ascii="仿宋_GB2312" w:hAnsi="仿宋_GB2312" w:eastAsia="仿宋_GB2312" w:cs="仿宋_GB2312"/>
                <w:i w:val="0"/>
                <w:iCs w:val="0"/>
                <w:color w:val="000000"/>
                <w:kern w:val="0"/>
                <w:sz w:val="24"/>
                <w:szCs w:val="24"/>
                <w:u w:val="none"/>
                <w:lang w:val="en-US" w:eastAsia="zh-CN" w:bidi="ar"/>
              </w:rPr>
              <w:t>年）》的通知</w:t>
            </w:r>
          </w:p>
        </w:tc>
        <w:tc>
          <w:tcPr>
            <w:tcW w:w="3045" w:type="dxa"/>
            <w:vAlign w:val="center"/>
          </w:tcPr>
          <w:p w14:paraId="70B302AB">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潭县政办发〔2023〕12号</w:t>
            </w:r>
          </w:p>
        </w:tc>
      </w:tr>
      <w:tr w14:paraId="5EF86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40E6E20D">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12</w:t>
            </w:r>
          </w:p>
        </w:tc>
        <w:tc>
          <w:tcPr>
            <w:tcW w:w="6030" w:type="dxa"/>
            <w:vAlign w:val="center"/>
          </w:tcPr>
          <w:p w14:paraId="1CC9AB3A">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关于印发《湘潭县推进人工影响天气工作高质量发展的实施方案》的通知</w:t>
            </w:r>
          </w:p>
        </w:tc>
        <w:tc>
          <w:tcPr>
            <w:tcW w:w="3045" w:type="dxa"/>
            <w:vAlign w:val="center"/>
          </w:tcPr>
          <w:p w14:paraId="58509C74">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潭县政办发〔2023〕2号</w:t>
            </w:r>
          </w:p>
        </w:tc>
      </w:tr>
      <w:tr w14:paraId="39F1C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3721B9F7">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13</w:t>
            </w:r>
          </w:p>
        </w:tc>
        <w:tc>
          <w:tcPr>
            <w:tcW w:w="6030" w:type="dxa"/>
            <w:vAlign w:val="center"/>
          </w:tcPr>
          <w:p w14:paraId="247E1D65">
            <w:pPr>
              <w:widowControl/>
              <w:spacing w:line="240" w:lineRule="auto"/>
              <w:jc w:val="both"/>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关于印发《湘潭县全民科学素质行动规划纲要实施方案（</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w:t>
            </w:r>
            <w:r>
              <w:rPr>
                <w:rFonts w:hint="eastAsia" w:ascii="仿宋_GB2312" w:hAnsi="仿宋_GB2312" w:eastAsia="仿宋_GB2312" w:cs="仿宋_GB2312"/>
                <w:i w:val="0"/>
                <w:iCs w:val="0"/>
                <w:color w:val="000000"/>
                <w:kern w:val="0"/>
                <w:sz w:val="24"/>
                <w:szCs w:val="24"/>
                <w:u w:val="none"/>
                <w:lang w:val="en-US" w:eastAsia="zh-CN" w:bidi="ar"/>
              </w:rPr>
              <w:t>年）》的通知</w:t>
            </w:r>
          </w:p>
        </w:tc>
        <w:tc>
          <w:tcPr>
            <w:tcW w:w="3045" w:type="dxa"/>
            <w:vAlign w:val="center"/>
          </w:tcPr>
          <w:p w14:paraId="74CA056D">
            <w:pPr>
              <w:widowControl/>
              <w:spacing w:line="240" w:lineRule="auto"/>
              <w:jc w:val="center"/>
              <w:textAlignment w:val="top"/>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潭县政办发〔2023〕4号</w:t>
            </w:r>
          </w:p>
        </w:tc>
      </w:tr>
      <w:tr w14:paraId="0CBD8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53C7379E">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14</w:t>
            </w:r>
          </w:p>
        </w:tc>
        <w:tc>
          <w:tcPr>
            <w:tcW w:w="6030" w:type="dxa"/>
            <w:vAlign w:val="center"/>
          </w:tcPr>
          <w:p w14:paraId="7111B988">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关于进一步加强政府性融资担保体系建设的实施意见</w:t>
            </w:r>
          </w:p>
        </w:tc>
        <w:tc>
          <w:tcPr>
            <w:tcW w:w="3045" w:type="dxa"/>
            <w:vAlign w:val="center"/>
          </w:tcPr>
          <w:p w14:paraId="6D5CBCFC">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潭县政办发〔2023〕5号</w:t>
            </w:r>
          </w:p>
        </w:tc>
      </w:tr>
      <w:tr w14:paraId="78E2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216D24FA">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15</w:t>
            </w:r>
          </w:p>
        </w:tc>
        <w:tc>
          <w:tcPr>
            <w:tcW w:w="6030" w:type="dxa"/>
            <w:vAlign w:val="center"/>
          </w:tcPr>
          <w:p w14:paraId="0C3098D3">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关于公布实施湘潭县集体建设用地和农用地基准地价成果的通知</w:t>
            </w:r>
          </w:p>
        </w:tc>
        <w:tc>
          <w:tcPr>
            <w:tcW w:w="3045" w:type="dxa"/>
            <w:vAlign w:val="center"/>
          </w:tcPr>
          <w:p w14:paraId="72B60717">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潭县政办发〔2023〕8号</w:t>
            </w:r>
          </w:p>
        </w:tc>
      </w:tr>
      <w:tr w14:paraId="6F400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1B247A4E">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16</w:t>
            </w:r>
          </w:p>
        </w:tc>
        <w:tc>
          <w:tcPr>
            <w:tcW w:w="6030" w:type="dxa"/>
            <w:vAlign w:val="center"/>
          </w:tcPr>
          <w:p w14:paraId="69F96A77">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关于印发《湘潭县耕地保护国土空间专项规划（</w:t>
            </w:r>
            <w:r>
              <w:rPr>
                <w:rFonts w:hint="default" w:ascii="Times New Roman" w:hAnsi="Times New Roman" w:eastAsia="仿宋_GB2312" w:cs="Times New Roman"/>
                <w:i w:val="0"/>
                <w:iCs w:val="0"/>
                <w:color w:val="000000"/>
                <w:kern w:val="0"/>
                <w:sz w:val="24"/>
                <w:szCs w:val="24"/>
                <w:u w:val="none"/>
                <w:lang w:val="en-US" w:eastAsia="zh-CN" w:bidi="ar"/>
              </w:rPr>
              <w:t>2021</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2035</w:t>
            </w:r>
            <w:r>
              <w:rPr>
                <w:rFonts w:hint="eastAsia" w:ascii="仿宋_GB2312" w:hAnsi="仿宋_GB2312" w:eastAsia="仿宋_GB2312" w:cs="仿宋_GB2312"/>
                <w:i w:val="0"/>
                <w:iCs w:val="0"/>
                <w:color w:val="000000"/>
                <w:kern w:val="0"/>
                <w:sz w:val="24"/>
                <w:szCs w:val="24"/>
                <w:u w:val="none"/>
                <w:lang w:val="en-US" w:eastAsia="zh-CN" w:bidi="ar"/>
              </w:rPr>
              <w:t>年）》的通知</w:t>
            </w:r>
          </w:p>
        </w:tc>
        <w:tc>
          <w:tcPr>
            <w:tcW w:w="3045" w:type="dxa"/>
            <w:vAlign w:val="center"/>
          </w:tcPr>
          <w:p w14:paraId="2D0969AC">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潭县政办发〔2024〕1号</w:t>
            </w:r>
          </w:p>
        </w:tc>
      </w:tr>
      <w:tr w14:paraId="0375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615A2D5C">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17</w:t>
            </w:r>
          </w:p>
        </w:tc>
        <w:tc>
          <w:tcPr>
            <w:tcW w:w="6030" w:type="dxa"/>
            <w:vAlign w:val="center"/>
          </w:tcPr>
          <w:p w14:paraId="2D846E74">
            <w:pPr>
              <w:widowControl/>
              <w:spacing w:line="240" w:lineRule="auto"/>
              <w:jc w:val="both"/>
              <w:textAlignment w:val="top"/>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关于印发《湘潭县重污染天气应急预案》的通知</w:t>
            </w:r>
          </w:p>
        </w:tc>
        <w:tc>
          <w:tcPr>
            <w:tcW w:w="3045" w:type="dxa"/>
            <w:vAlign w:val="center"/>
          </w:tcPr>
          <w:p w14:paraId="42E72593">
            <w:pPr>
              <w:widowControl/>
              <w:spacing w:line="240" w:lineRule="auto"/>
              <w:jc w:val="center"/>
              <w:textAlignment w:val="top"/>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潭县政办发〔2024〕4号</w:t>
            </w:r>
          </w:p>
        </w:tc>
      </w:tr>
      <w:tr w14:paraId="79D5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329290F1">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18</w:t>
            </w:r>
          </w:p>
        </w:tc>
        <w:tc>
          <w:tcPr>
            <w:tcW w:w="6030" w:type="dxa"/>
            <w:vAlign w:val="center"/>
          </w:tcPr>
          <w:p w14:paraId="3DBE56BC">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关于取消和调整一批行政权力事项的通知</w:t>
            </w:r>
          </w:p>
        </w:tc>
        <w:tc>
          <w:tcPr>
            <w:tcW w:w="3045" w:type="dxa"/>
            <w:vAlign w:val="center"/>
          </w:tcPr>
          <w:p w14:paraId="11FC2393">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潭县政发〔2018〕4号</w:t>
            </w:r>
          </w:p>
        </w:tc>
      </w:tr>
      <w:tr w14:paraId="5FA1F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1AB1DD15">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19</w:t>
            </w:r>
          </w:p>
        </w:tc>
        <w:tc>
          <w:tcPr>
            <w:tcW w:w="6030" w:type="dxa"/>
            <w:vAlign w:val="center"/>
          </w:tcPr>
          <w:p w14:paraId="04346726">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关于公布规范性文件清理结果的决定</w:t>
            </w:r>
          </w:p>
        </w:tc>
        <w:tc>
          <w:tcPr>
            <w:tcW w:w="3045" w:type="dxa"/>
            <w:vAlign w:val="center"/>
          </w:tcPr>
          <w:p w14:paraId="1681D702">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潭县政发〔2021〕</w:t>
            </w:r>
            <w:r>
              <w:rPr>
                <w:rFonts w:hint="eastAsia" w:ascii="Times New Roman" w:hAnsi="Times New Roman" w:eastAsia="仿宋_GB2312" w:cs="Times New Roman"/>
                <w:i w:val="0"/>
                <w:iCs w:val="0"/>
                <w:color w:val="000000"/>
                <w:kern w:val="0"/>
                <w:sz w:val="24"/>
                <w:szCs w:val="24"/>
                <w:u w:val="none"/>
                <w:lang w:val="en-US" w:eastAsia="zh-CN" w:bidi="ar"/>
              </w:rPr>
              <w:t>3</w:t>
            </w:r>
            <w:r>
              <w:rPr>
                <w:rFonts w:hint="default" w:ascii="Times New Roman" w:hAnsi="Times New Roman" w:eastAsia="仿宋_GB2312" w:cs="Times New Roman"/>
                <w:i w:val="0"/>
                <w:iCs w:val="0"/>
                <w:color w:val="000000"/>
                <w:kern w:val="0"/>
                <w:sz w:val="24"/>
                <w:szCs w:val="24"/>
                <w:u w:val="none"/>
                <w:lang w:val="en-US" w:eastAsia="zh-CN" w:bidi="ar"/>
              </w:rPr>
              <w:t>号</w:t>
            </w:r>
          </w:p>
        </w:tc>
      </w:tr>
      <w:tr w14:paraId="6A6D4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048200B6">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20</w:t>
            </w:r>
          </w:p>
        </w:tc>
        <w:tc>
          <w:tcPr>
            <w:tcW w:w="6030" w:type="dxa"/>
            <w:vAlign w:val="center"/>
          </w:tcPr>
          <w:p w14:paraId="4A1020ED">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关于印发《湘潭县全面推进养老服务高质量发展的实施意见》的通知</w:t>
            </w:r>
          </w:p>
        </w:tc>
        <w:tc>
          <w:tcPr>
            <w:tcW w:w="3045" w:type="dxa"/>
            <w:vAlign w:val="center"/>
          </w:tcPr>
          <w:p w14:paraId="4BCA2C08">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潭县政发〔2021〕4号</w:t>
            </w:r>
          </w:p>
        </w:tc>
      </w:tr>
      <w:tr w14:paraId="07CEC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05046E73">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21</w:t>
            </w:r>
          </w:p>
        </w:tc>
        <w:tc>
          <w:tcPr>
            <w:tcW w:w="6030" w:type="dxa"/>
            <w:vAlign w:val="center"/>
          </w:tcPr>
          <w:p w14:paraId="5EC60D2C">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关于印发《湘潭县突发事件总体应急预案》的通知</w:t>
            </w:r>
          </w:p>
        </w:tc>
        <w:tc>
          <w:tcPr>
            <w:tcW w:w="3045" w:type="dxa"/>
            <w:vAlign w:val="center"/>
          </w:tcPr>
          <w:p w14:paraId="79C49AA4">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潭县政发〔2022〕3号</w:t>
            </w:r>
          </w:p>
        </w:tc>
      </w:tr>
      <w:tr w14:paraId="6477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5499282B">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22</w:t>
            </w:r>
          </w:p>
        </w:tc>
        <w:tc>
          <w:tcPr>
            <w:tcW w:w="6030" w:type="dxa"/>
            <w:vAlign w:val="center"/>
          </w:tcPr>
          <w:p w14:paraId="1EC0D8C4">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关于印发《湘潭县化工行业发展规划</w:t>
            </w:r>
            <w:r>
              <w:rPr>
                <w:rFonts w:hint="default" w:ascii="Times New Roman" w:hAnsi="Times New Roman" w:eastAsia="仿宋_GB2312" w:cs="Times New Roman"/>
                <w:i w:val="0"/>
                <w:iCs w:val="0"/>
                <w:color w:val="000000"/>
                <w:kern w:val="0"/>
                <w:sz w:val="24"/>
                <w:szCs w:val="24"/>
                <w:u w:val="none"/>
                <w:lang w:val="en-US" w:eastAsia="zh-CN" w:bidi="ar"/>
              </w:rPr>
              <w:t>（2022</w:t>
            </w:r>
            <w:r>
              <w:rPr>
                <w:rFonts w:hint="eastAsia" w:ascii="仿宋_GB2312" w:hAnsi="仿宋_GB2312" w:eastAsia="仿宋_GB2312" w:cs="仿宋_GB2312"/>
                <w:i w:val="0"/>
                <w:iCs w:val="0"/>
                <w:color w:val="000000"/>
                <w:kern w:val="0"/>
                <w:sz w:val="24"/>
                <w:szCs w:val="24"/>
                <w:u w:val="none"/>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2025</w:t>
            </w:r>
            <w:r>
              <w:rPr>
                <w:rFonts w:hint="eastAsia" w:ascii="仿宋_GB2312" w:hAnsi="仿宋_GB2312" w:eastAsia="仿宋_GB2312" w:cs="仿宋_GB2312"/>
                <w:i w:val="0"/>
                <w:iCs w:val="0"/>
                <w:color w:val="000000"/>
                <w:kern w:val="0"/>
                <w:sz w:val="24"/>
                <w:szCs w:val="24"/>
                <w:u w:val="none"/>
                <w:lang w:val="en-US" w:eastAsia="zh-CN" w:bidi="ar"/>
              </w:rPr>
              <w:t>年）》的通知</w:t>
            </w:r>
          </w:p>
        </w:tc>
        <w:tc>
          <w:tcPr>
            <w:tcW w:w="3045" w:type="dxa"/>
            <w:vAlign w:val="center"/>
          </w:tcPr>
          <w:p w14:paraId="03B30BAE">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潭县政发〔2022〕5号</w:t>
            </w:r>
          </w:p>
        </w:tc>
      </w:tr>
      <w:tr w14:paraId="22141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2CBFEE2D">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23</w:t>
            </w:r>
          </w:p>
        </w:tc>
        <w:tc>
          <w:tcPr>
            <w:tcW w:w="6030" w:type="dxa"/>
            <w:vAlign w:val="center"/>
          </w:tcPr>
          <w:p w14:paraId="5309DAE2">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关于印发《湘潭县“十四五”生态环境保护规划》的通知</w:t>
            </w:r>
          </w:p>
        </w:tc>
        <w:tc>
          <w:tcPr>
            <w:tcW w:w="3045" w:type="dxa"/>
            <w:vAlign w:val="center"/>
          </w:tcPr>
          <w:p w14:paraId="21990B22">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潭县政发〔2022〕6号</w:t>
            </w:r>
          </w:p>
        </w:tc>
      </w:tr>
      <w:tr w14:paraId="391A3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7BBBB86A">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24</w:t>
            </w:r>
          </w:p>
        </w:tc>
        <w:tc>
          <w:tcPr>
            <w:tcW w:w="6030" w:type="dxa"/>
            <w:vAlign w:val="center"/>
          </w:tcPr>
          <w:p w14:paraId="791D0813">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关于印发《湘潭县“十四五”残疾人保障和发展规划》的通知</w:t>
            </w:r>
          </w:p>
        </w:tc>
        <w:tc>
          <w:tcPr>
            <w:tcW w:w="3045" w:type="dxa"/>
            <w:vAlign w:val="center"/>
          </w:tcPr>
          <w:p w14:paraId="39EA1C00">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潭县政发〔2022〕7号</w:t>
            </w:r>
          </w:p>
        </w:tc>
      </w:tr>
      <w:tr w14:paraId="14096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0718E77D">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25</w:t>
            </w:r>
          </w:p>
        </w:tc>
        <w:tc>
          <w:tcPr>
            <w:tcW w:w="6030" w:type="dxa"/>
            <w:vAlign w:val="center"/>
          </w:tcPr>
          <w:p w14:paraId="6A2DCF19">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关于公布规范性文件清理结果的决定</w:t>
            </w:r>
          </w:p>
        </w:tc>
        <w:tc>
          <w:tcPr>
            <w:tcW w:w="3045" w:type="dxa"/>
            <w:vAlign w:val="center"/>
          </w:tcPr>
          <w:p w14:paraId="42F0FB89">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潭县政发〔2023〕5号</w:t>
            </w:r>
          </w:p>
        </w:tc>
      </w:tr>
      <w:tr w14:paraId="6EFB0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331EDC1B">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26</w:t>
            </w:r>
          </w:p>
        </w:tc>
        <w:tc>
          <w:tcPr>
            <w:tcW w:w="6030" w:type="dxa"/>
            <w:vAlign w:val="center"/>
          </w:tcPr>
          <w:p w14:paraId="3EB0AD25">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关于重新公布湘潭县县级经济社会管理权限赋权天易经开区事项清单的通知</w:t>
            </w:r>
          </w:p>
        </w:tc>
        <w:tc>
          <w:tcPr>
            <w:tcW w:w="3045" w:type="dxa"/>
            <w:vAlign w:val="center"/>
          </w:tcPr>
          <w:p w14:paraId="7AE39E8D">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潭县政发〔2023〕7号</w:t>
            </w:r>
          </w:p>
        </w:tc>
      </w:tr>
      <w:tr w14:paraId="4BC00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4768E156">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27</w:t>
            </w:r>
          </w:p>
        </w:tc>
        <w:tc>
          <w:tcPr>
            <w:tcW w:w="6030" w:type="dxa"/>
            <w:vAlign w:val="center"/>
          </w:tcPr>
          <w:p w14:paraId="0D32B53A">
            <w:pPr>
              <w:widowControl/>
              <w:spacing w:line="240" w:lineRule="auto"/>
              <w:jc w:val="left"/>
              <w:textAlignment w:val="top"/>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关于公布2024年行政规范性文件清理结果的决定</w:t>
            </w:r>
          </w:p>
        </w:tc>
        <w:tc>
          <w:tcPr>
            <w:tcW w:w="3045" w:type="dxa"/>
            <w:vAlign w:val="center"/>
          </w:tcPr>
          <w:p w14:paraId="53F53C23">
            <w:pPr>
              <w:widowControl/>
              <w:spacing w:line="240" w:lineRule="auto"/>
              <w:jc w:val="center"/>
              <w:textAlignment w:val="top"/>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潭县政发〔2024〕3号</w:t>
            </w:r>
          </w:p>
        </w:tc>
      </w:tr>
      <w:tr w14:paraId="2779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56D16AF0">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28</w:t>
            </w:r>
          </w:p>
        </w:tc>
        <w:tc>
          <w:tcPr>
            <w:tcW w:w="6030" w:type="dxa"/>
            <w:vAlign w:val="center"/>
          </w:tcPr>
          <w:p w14:paraId="2D249D75">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关于全县长江流域重点水域实施常年禁捕的通告</w:t>
            </w:r>
          </w:p>
        </w:tc>
        <w:tc>
          <w:tcPr>
            <w:tcW w:w="3045" w:type="dxa"/>
            <w:vAlign w:val="center"/>
          </w:tcPr>
          <w:p w14:paraId="2AAB5D88">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潭县政函〔2019〕71号</w:t>
            </w:r>
          </w:p>
        </w:tc>
      </w:tr>
      <w:tr w14:paraId="0CE83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2173726A">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29</w:t>
            </w:r>
          </w:p>
        </w:tc>
        <w:tc>
          <w:tcPr>
            <w:tcW w:w="6030" w:type="dxa"/>
            <w:vAlign w:val="center"/>
          </w:tcPr>
          <w:p w14:paraId="5A0D5CE9">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关于设立森林防火期和森林防火区的通告</w:t>
            </w:r>
          </w:p>
        </w:tc>
        <w:tc>
          <w:tcPr>
            <w:tcW w:w="3045" w:type="dxa"/>
            <w:vAlign w:val="center"/>
          </w:tcPr>
          <w:p w14:paraId="19773360">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潭县政函〔2020〕29号</w:t>
            </w:r>
          </w:p>
        </w:tc>
      </w:tr>
      <w:tr w14:paraId="18176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4A3F8E1C">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30</w:t>
            </w:r>
          </w:p>
        </w:tc>
        <w:tc>
          <w:tcPr>
            <w:tcW w:w="6030" w:type="dxa"/>
            <w:vAlign w:val="center"/>
          </w:tcPr>
          <w:p w14:paraId="70B1BD3D">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关于涓水、涟水水域实施常年禁捕的通告</w:t>
            </w:r>
          </w:p>
        </w:tc>
        <w:tc>
          <w:tcPr>
            <w:tcW w:w="3045" w:type="dxa"/>
            <w:vAlign w:val="center"/>
          </w:tcPr>
          <w:p w14:paraId="1B90C036">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潭县政函〔2020〕39号</w:t>
            </w:r>
          </w:p>
        </w:tc>
      </w:tr>
      <w:tr w14:paraId="1CBF7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708022D1">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31</w:t>
            </w:r>
          </w:p>
        </w:tc>
        <w:tc>
          <w:tcPr>
            <w:tcW w:w="6030" w:type="dxa"/>
            <w:vAlign w:val="center"/>
          </w:tcPr>
          <w:p w14:paraId="693EC497">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关于中路铺镇中心镇区实行城市化管理的通告</w:t>
            </w:r>
          </w:p>
        </w:tc>
        <w:tc>
          <w:tcPr>
            <w:tcW w:w="3045" w:type="dxa"/>
            <w:vAlign w:val="center"/>
          </w:tcPr>
          <w:p w14:paraId="035FC448">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潭县政函〔2021〕3号</w:t>
            </w:r>
          </w:p>
        </w:tc>
      </w:tr>
      <w:tr w14:paraId="33A01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6736FDE1">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32</w:t>
            </w:r>
          </w:p>
        </w:tc>
        <w:tc>
          <w:tcPr>
            <w:tcW w:w="6030" w:type="dxa"/>
            <w:vAlign w:val="center"/>
          </w:tcPr>
          <w:p w14:paraId="7E85B1B5">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关于实施行政复议体制改革有关事项的通告</w:t>
            </w:r>
          </w:p>
        </w:tc>
        <w:tc>
          <w:tcPr>
            <w:tcW w:w="3045" w:type="dxa"/>
            <w:vAlign w:val="center"/>
          </w:tcPr>
          <w:p w14:paraId="0E8B7800">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潭县政函〔2021〕7号</w:t>
            </w:r>
          </w:p>
        </w:tc>
      </w:tr>
      <w:tr w14:paraId="51D1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1F469A8D">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33</w:t>
            </w:r>
          </w:p>
        </w:tc>
        <w:tc>
          <w:tcPr>
            <w:tcW w:w="6030" w:type="dxa"/>
            <w:vAlign w:val="center"/>
          </w:tcPr>
          <w:p w14:paraId="3B7E7DAF">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关于加强江南工业集团厂区周边安全距离规划建设管控的通告</w:t>
            </w:r>
          </w:p>
        </w:tc>
        <w:tc>
          <w:tcPr>
            <w:tcW w:w="3045" w:type="dxa"/>
            <w:vAlign w:val="center"/>
          </w:tcPr>
          <w:p w14:paraId="1D6BDF18">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潭县政函〔2021〕9号</w:t>
            </w:r>
          </w:p>
        </w:tc>
      </w:tr>
      <w:tr w14:paraId="51AC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3616D24F">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34</w:t>
            </w:r>
          </w:p>
        </w:tc>
        <w:tc>
          <w:tcPr>
            <w:tcW w:w="6030" w:type="dxa"/>
            <w:vAlign w:val="center"/>
          </w:tcPr>
          <w:p w14:paraId="54E353F3">
            <w:pPr>
              <w:widowControl/>
              <w:spacing w:line="240" w:lineRule="auto"/>
              <w:jc w:val="left"/>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关于调整湘潭县畜禽规模养殖区域布局的通告</w:t>
            </w:r>
          </w:p>
        </w:tc>
        <w:tc>
          <w:tcPr>
            <w:tcW w:w="3045" w:type="dxa"/>
            <w:vAlign w:val="center"/>
          </w:tcPr>
          <w:p w14:paraId="4EFED7CB">
            <w:pPr>
              <w:widowControl/>
              <w:spacing w:line="240" w:lineRule="auto"/>
              <w:jc w:val="center"/>
              <w:textAlignment w:val="center"/>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潭县政通〔2024〕1号</w:t>
            </w:r>
          </w:p>
        </w:tc>
      </w:tr>
      <w:tr w14:paraId="221C8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22" w:type="dxa"/>
            <w:vAlign w:val="center"/>
          </w:tcPr>
          <w:p w14:paraId="5B1CBB37">
            <w:pPr>
              <w:spacing w:line="380" w:lineRule="exact"/>
              <w:jc w:val="center"/>
              <w:rPr>
                <w:rFonts w:hint="eastAsia" w:ascii="仿宋_GB2312" w:hAnsi="仿宋_GB2312" w:eastAsia="仿宋_GB2312" w:cs="仿宋_GB2312"/>
                <w:i w:val="0"/>
                <w:iCs w:val="0"/>
                <w:color w:val="000000"/>
                <w:kern w:val="0"/>
                <w:sz w:val="24"/>
                <w:szCs w:val="24"/>
                <w:u w:val="none"/>
                <w:lang w:val="en-US" w:eastAsia="zh-CN" w:bidi="ar"/>
              </w:rPr>
            </w:pPr>
            <w:r>
              <w:rPr>
                <w:rFonts w:hint="default" w:ascii="Times New Roman" w:hAnsi="Times New Roman" w:eastAsia="仿宋_GB2312" w:cs="Times New Roman"/>
                <w:kern w:val="2"/>
                <w:sz w:val="24"/>
                <w:szCs w:val="24"/>
                <w:vertAlign w:val="baseline"/>
                <w:lang w:val="en-US" w:eastAsia="zh-CN" w:bidi="ar-SA"/>
              </w:rPr>
              <w:t>35</w:t>
            </w:r>
          </w:p>
        </w:tc>
        <w:tc>
          <w:tcPr>
            <w:tcW w:w="6030" w:type="dxa"/>
            <w:vAlign w:val="center"/>
          </w:tcPr>
          <w:p w14:paraId="745735B9">
            <w:pPr>
              <w:widowControl/>
              <w:spacing w:line="240" w:lineRule="auto"/>
              <w:jc w:val="left"/>
              <w:textAlignment w:val="top"/>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关于湘潭县城区禁止燃放烟花爆竹的通告</w:t>
            </w:r>
          </w:p>
        </w:tc>
        <w:tc>
          <w:tcPr>
            <w:tcW w:w="3045" w:type="dxa"/>
            <w:vAlign w:val="center"/>
          </w:tcPr>
          <w:p w14:paraId="1BAEAE70">
            <w:pPr>
              <w:widowControl/>
              <w:spacing w:line="240" w:lineRule="auto"/>
              <w:jc w:val="center"/>
              <w:textAlignment w:val="top"/>
              <w:rPr>
                <w:rFonts w:hint="default" w:ascii="Times New Roman" w:hAnsi="Times New Roman" w:eastAsia="仿宋_GB2312" w:cs="Times New Roman"/>
                <w:sz w:val="24"/>
                <w:szCs w:val="24"/>
                <w:vertAlign w:val="baseline"/>
                <w:lang w:val="en-US" w:eastAsia="zh-CN"/>
              </w:rPr>
            </w:pPr>
            <w:r>
              <w:rPr>
                <w:rFonts w:hint="default" w:ascii="Times New Roman" w:hAnsi="Times New Roman" w:eastAsia="仿宋_GB2312" w:cs="Times New Roman"/>
                <w:i w:val="0"/>
                <w:iCs w:val="0"/>
                <w:color w:val="000000"/>
                <w:kern w:val="0"/>
                <w:sz w:val="24"/>
                <w:szCs w:val="24"/>
                <w:u w:val="none"/>
                <w:lang w:val="en-US" w:eastAsia="zh-CN" w:bidi="ar"/>
              </w:rPr>
              <w:t>潭县政通〔2024〕2号</w:t>
            </w:r>
          </w:p>
        </w:tc>
      </w:tr>
    </w:tbl>
    <w:p w14:paraId="07971C8C">
      <w:pPr>
        <w:ind w:firstLine="0" w:firstLineChars="0"/>
        <w:jc w:val="left"/>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br w:type="page"/>
      </w:r>
    </w:p>
    <w:p w14:paraId="027309C5">
      <w:pPr>
        <w:spacing w:line="560" w:lineRule="exact"/>
        <w:ind w:firstLine="2160" w:firstLineChars="600"/>
        <w:jc w:val="both"/>
        <w:rPr>
          <w:rFonts w:hint="eastAsia" w:ascii="仿宋_GB2312" w:hAnsi="仿宋_GB2312" w:eastAsia="仿宋_GB2312" w:cs="仿宋_GB2312"/>
          <w:sz w:val="36"/>
          <w:szCs w:val="36"/>
          <w:lang w:val="en-US" w:eastAsia="zh-CN"/>
        </w:rPr>
      </w:pPr>
    </w:p>
    <w:p w14:paraId="25EA0B22">
      <w:pPr>
        <w:spacing w:line="560" w:lineRule="exact"/>
        <w:ind w:firstLine="2160" w:firstLineChars="600"/>
        <w:jc w:val="both"/>
        <w:rPr>
          <w:rFonts w:hint="eastAsia" w:ascii="仿宋_GB2312" w:hAnsi="仿宋_GB2312" w:eastAsia="仿宋_GB2312" w:cs="仿宋_GB2312"/>
          <w:sz w:val="36"/>
          <w:szCs w:val="36"/>
          <w:lang w:val="en-US" w:eastAsia="zh-CN"/>
        </w:rPr>
      </w:pPr>
    </w:p>
    <w:p w14:paraId="3ADB362A">
      <w:pPr>
        <w:spacing w:line="560" w:lineRule="exact"/>
        <w:ind w:firstLine="2160" w:firstLineChars="600"/>
        <w:jc w:val="both"/>
        <w:rPr>
          <w:rFonts w:hint="eastAsia" w:ascii="仿宋_GB2312" w:hAnsi="仿宋_GB2312" w:eastAsia="仿宋_GB2312" w:cs="仿宋_GB2312"/>
          <w:sz w:val="36"/>
          <w:szCs w:val="36"/>
          <w:lang w:val="en-US" w:eastAsia="zh-CN"/>
        </w:rPr>
      </w:pPr>
    </w:p>
    <w:p w14:paraId="6DE1EDB2">
      <w:pPr>
        <w:spacing w:line="560" w:lineRule="exact"/>
        <w:ind w:firstLine="2160" w:firstLineChars="600"/>
        <w:jc w:val="both"/>
        <w:rPr>
          <w:rFonts w:hint="eastAsia" w:ascii="仿宋_GB2312" w:hAnsi="仿宋_GB2312" w:eastAsia="仿宋_GB2312" w:cs="仿宋_GB2312"/>
          <w:sz w:val="36"/>
          <w:szCs w:val="36"/>
          <w:lang w:val="en-US" w:eastAsia="zh-CN"/>
        </w:rPr>
      </w:pPr>
    </w:p>
    <w:p w14:paraId="46AF2F4F">
      <w:pPr>
        <w:spacing w:line="560" w:lineRule="exact"/>
        <w:ind w:firstLine="2160" w:firstLineChars="600"/>
        <w:jc w:val="both"/>
        <w:rPr>
          <w:rFonts w:hint="eastAsia" w:ascii="仿宋_GB2312" w:hAnsi="仿宋_GB2312" w:eastAsia="仿宋_GB2312" w:cs="仿宋_GB2312"/>
          <w:sz w:val="36"/>
          <w:szCs w:val="36"/>
          <w:lang w:val="en-US" w:eastAsia="zh-CN"/>
        </w:rPr>
      </w:pPr>
    </w:p>
    <w:p w14:paraId="20F48064">
      <w:pPr>
        <w:spacing w:line="560" w:lineRule="exact"/>
        <w:ind w:firstLine="2160" w:firstLineChars="600"/>
        <w:jc w:val="both"/>
        <w:rPr>
          <w:rFonts w:hint="eastAsia" w:ascii="仿宋_GB2312" w:hAnsi="仿宋_GB2312" w:eastAsia="仿宋_GB2312" w:cs="仿宋_GB2312"/>
          <w:sz w:val="36"/>
          <w:szCs w:val="36"/>
          <w:lang w:val="en-US" w:eastAsia="zh-CN"/>
        </w:rPr>
      </w:pPr>
    </w:p>
    <w:p w14:paraId="0AF8F25E">
      <w:pPr>
        <w:spacing w:line="560" w:lineRule="exact"/>
        <w:ind w:firstLine="2160" w:firstLineChars="600"/>
        <w:jc w:val="both"/>
        <w:rPr>
          <w:rFonts w:hint="eastAsia" w:ascii="仿宋_GB2312" w:hAnsi="仿宋_GB2312" w:eastAsia="仿宋_GB2312" w:cs="仿宋_GB2312"/>
          <w:sz w:val="36"/>
          <w:szCs w:val="36"/>
          <w:lang w:val="en-US" w:eastAsia="zh-CN"/>
        </w:rPr>
      </w:pPr>
    </w:p>
    <w:p w14:paraId="0484CB94">
      <w:pPr>
        <w:spacing w:line="560" w:lineRule="exact"/>
        <w:ind w:firstLine="2160" w:firstLineChars="600"/>
        <w:jc w:val="both"/>
        <w:rPr>
          <w:rFonts w:hint="eastAsia" w:ascii="仿宋_GB2312" w:hAnsi="仿宋_GB2312" w:eastAsia="仿宋_GB2312" w:cs="仿宋_GB2312"/>
          <w:sz w:val="36"/>
          <w:szCs w:val="36"/>
          <w:lang w:val="en-US" w:eastAsia="zh-CN"/>
        </w:rPr>
      </w:pPr>
    </w:p>
    <w:p w14:paraId="21FEC053">
      <w:pPr>
        <w:spacing w:line="560" w:lineRule="exact"/>
        <w:ind w:firstLine="2160" w:firstLineChars="600"/>
        <w:jc w:val="both"/>
        <w:rPr>
          <w:rFonts w:hint="eastAsia" w:ascii="仿宋_GB2312" w:hAnsi="仿宋_GB2312" w:eastAsia="仿宋_GB2312" w:cs="仿宋_GB2312"/>
          <w:sz w:val="36"/>
          <w:szCs w:val="36"/>
          <w:lang w:val="en-US" w:eastAsia="zh-CN"/>
        </w:rPr>
      </w:pPr>
    </w:p>
    <w:p w14:paraId="07CC22CF">
      <w:pPr>
        <w:spacing w:line="560" w:lineRule="exact"/>
        <w:ind w:firstLine="2160" w:firstLineChars="600"/>
        <w:jc w:val="both"/>
        <w:rPr>
          <w:rFonts w:hint="eastAsia" w:ascii="仿宋_GB2312" w:hAnsi="仿宋_GB2312" w:eastAsia="仿宋_GB2312" w:cs="仿宋_GB2312"/>
          <w:sz w:val="36"/>
          <w:szCs w:val="36"/>
          <w:lang w:val="en-US" w:eastAsia="zh-CN"/>
        </w:rPr>
      </w:pPr>
    </w:p>
    <w:p w14:paraId="480A76D3">
      <w:pPr>
        <w:spacing w:line="560" w:lineRule="exact"/>
        <w:ind w:firstLine="2160" w:firstLineChars="600"/>
        <w:jc w:val="both"/>
        <w:rPr>
          <w:rFonts w:hint="eastAsia" w:ascii="仿宋_GB2312" w:hAnsi="仿宋_GB2312" w:eastAsia="仿宋_GB2312" w:cs="仿宋_GB2312"/>
          <w:sz w:val="36"/>
          <w:szCs w:val="36"/>
          <w:lang w:val="en-US" w:eastAsia="zh-CN"/>
        </w:rPr>
      </w:pPr>
    </w:p>
    <w:p w14:paraId="3B0ECA11">
      <w:pPr>
        <w:spacing w:line="560" w:lineRule="exact"/>
        <w:ind w:firstLine="2160" w:firstLineChars="600"/>
        <w:jc w:val="both"/>
        <w:rPr>
          <w:rFonts w:hint="eastAsia" w:ascii="仿宋_GB2312" w:hAnsi="仿宋_GB2312" w:eastAsia="仿宋_GB2312" w:cs="仿宋_GB2312"/>
          <w:sz w:val="36"/>
          <w:szCs w:val="36"/>
          <w:lang w:val="en-US" w:eastAsia="zh-CN"/>
        </w:rPr>
      </w:pPr>
    </w:p>
    <w:p w14:paraId="09493CDB">
      <w:pPr>
        <w:spacing w:line="560" w:lineRule="exact"/>
        <w:ind w:firstLine="2160" w:firstLineChars="600"/>
        <w:jc w:val="both"/>
        <w:rPr>
          <w:rFonts w:hint="eastAsia" w:ascii="仿宋_GB2312" w:hAnsi="仿宋_GB2312" w:eastAsia="仿宋_GB2312" w:cs="仿宋_GB2312"/>
          <w:sz w:val="36"/>
          <w:szCs w:val="36"/>
          <w:lang w:val="en-US" w:eastAsia="zh-CN"/>
        </w:rPr>
      </w:pPr>
    </w:p>
    <w:p w14:paraId="40633F79">
      <w:pPr>
        <w:spacing w:line="560" w:lineRule="exact"/>
        <w:ind w:firstLine="2160" w:firstLineChars="600"/>
        <w:jc w:val="both"/>
        <w:rPr>
          <w:rFonts w:hint="eastAsia" w:ascii="仿宋_GB2312" w:hAnsi="仿宋_GB2312" w:eastAsia="仿宋_GB2312" w:cs="仿宋_GB2312"/>
          <w:sz w:val="36"/>
          <w:szCs w:val="36"/>
          <w:lang w:val="en-US" w:eastAsia="zh-CN"/>
        </w:rPr>
      </w:pPr>
    </w:p>
    <w:p w14:paraId="5597AECF">
      <w:pPr>
        <w:spacing w:line="560" w:lineRule="exact"/>
        <w:ind w:firstLine="2160" w:firstLineChars="600"/>
        <w:jc w:val="both"/>
        <w:rPr>
          <w:rFonts w:hint="eastAsia" w:ascii="仿宋_GB2312" w:hAnsi="仿宋_GB2312" w:eastAsia="仿宋_GB2312" w:cs="仿宋_GB2312"/>
          <w:sz w:val="36"/>
          <w:szCs w:val="36"/>
          <w:lang w:val="en-US" w:eastAsia="zh-CN"/>
        </w:rPr>
      </w:pPr>
    </w:p>
    <w:p w14:paraId="360880CC">
      <w:pPr>
        <w:spacing w:line="560" w:lineRule="exact"/>
        <w:ind w:firstLine="2160" w:firstLineChars="600"/>
        <w:jc w:val="both"/>
        <w:rPr>
          <w:rFonts w:hint="eastAsia" w:ascii="仿宋_GB2312" w:hAnsi="仿宋_GB2312" w:eastAsia="仿宋_GB2312" w:cs="仿宋_GB2312"/>
          <w:sz w:val="36"/>
          <w:szCs w:val="36"/>
          <w:lang w:val="en-US" w:eastAsia="zh-CN"/>
        </w:rPr>
      </w:pPr>
    </w:p>
    <w:p w14:paraId="66A5A5D4">
      <w:pPr>
        <w:spacing w:line="560" w:lineRule="exact"/>
        <w:ind w:firstLine="2160" w:firstLineChars="600"/>
        <w:jc w:val="both"/>
        <w:rPr>
          <w:rFonts w:hint="eastAsia" w:ascii="仿宋_GB2312" w:hAnsi="仿宋_GB2312" w:eastAsia="仿宋_GB2312" w:cs="仿宋_GB2312"/>
          <w:sz w:val="36"/>
          <w:szCs w:val="36"/>
          <w:lang w:val="en-US" w:eastAsia="zh-CN"/>
        </w:rPr>
      </w:pPr>
    </w:p>
    <w:p w14:paraId="32A31972">
      <w:pPr>
        <w:spacing w:line="560" w:lineRule="exact"/>
        <w:ind w:firstLine="2160" w:firstLineChars="600"/>
        <w:jc w:val="both"/>
        <w:rPr>
          <w:rFonts w:hint="eastAsia" w:ascii="仿宋_GB2312" w:hAnsi="仿宋_GB2312" w:eastAsia="仿宋_GB2312" w:cs="仿宋_GB2312"/>
          <w:sz w:val="36"/>
          <w:szCs w:val="36"/>
          <w:lang w:val="en-US" w:eastAsia="zh-CN"/>
        </w:rPr>
      </w:pPr>
    </w:p>
    <w:p w14:paraId="4530464A">
      <w:pPr>
        <w:spacing w:line="560" w:lineRule="exact"/>
        <w:rPr>
          <w:rFonts w:hint="eastAsia" w:ascii="仿宋_GB2312" w:hAnsi="仿宋_GB2312" w:eastAsia="仿宋_GB2312" w:cs="仿宋_GB2312"/>
        </w:rPr>
      </w:pPr>
    </w:p>
    <w:p w14:paraId="71A076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6C68BC8E">
      <w:pPr>
        <w:keepNext w:val="0"/>
        <w:keepLines w:val="0"/>
        <w:pageBreakBefore w:val="0"/>
        <w:widowControl w:val="0"/>
        <w:kinsoku/>
        <w:wordWrap/>
        <w:overflowPunct/>
        <w:topLinePunct w:val="0"/>
        <w:autoSpaceDE/>
        <w:autoSpaceDN/>
        <w:bidi w:val="0"/>
        <w:adjustRightInd/>
        <w:snapToGrid/>
        <w:spacing w:line="1040" w:lineRule="exact"/>
        <w:ind w:firstLine="640" w:firstLineChars="200"/>
        <w:textAlignment w:val="auto"/>
        <w:rPr>
          <w:rFonts w:hint="eastAsia" w:ascii="仿宋_GB2312" w:hAnsi="仿宋_GB2312" w:eastAsia="仿宋_GB2312" w:cs="仿宋_GB2312"/>
          <w:sz w:val="32"/>
          <w:szCs w:val="32"/>
          <w:lang w:val="en-US" w:eastAsia="zh-CN"/>
        </w:rPr>
      </w:pPr>
    </w:p>
    <w:p w14:paraId="7D979743">
      <w:pPr>
        <w:pStyle w:val="3"/>
        <w:pBdr>
          <w:top w:val="single" w:color="auto" w:sz="4" w:space="0"/>
          <w:bottom w:val="single" w:color="auto" w:sz="4" w:space="0"/>
        </w:pBdr>
        <w:spacing w:line="476" w:lineRule="exact"/>
        <w:ind w:firstLine="280" w:firstLineChars="100"/>
      </w:pPr>
      <w:r>
        <w:rPr>
          <w:rFonts w:hint="eastAsia" w:ascii="仿宋_GB2312" w:hAnsi="仿宋_GB2312" w:eastAsia="仿宋_GB2312" w:cs="仿宋_GB2312"/>
          <w:color w:val="000000"/>
          <w:sz w:val="28"/>
          <w:szCs w:val="28"/>
          <w:lang w:val="en-US" w:eastAsia="zh-CN"/>
        </w:rPr>
        <w:t xml:space="preserve">湘潭县人民政府办公室           </w:t>
      </w:r>
      <w:r>
        <w:rPr>
          <w:rFonts w:hint="default"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Times New Roman" w:hAnsi="Times New Roman" w:eastAsia="仿宋_GB2312" w:cs="Times New Roman"/>
          <w:kern w:val="2"/>
          <w:sz w:val="28"/>
          <w:szCs w:val="28"/>
          <w:lang w:val="en-US" w:eastAsia="zh-CN" w:bidi="ar-SA"/>
        </w:rPr>
        <w:t>2025</w:t>
      </w:r>
      <w:r>
        <w:rPr>
          <w:rFonts w:hint="eastAsia" w:ascii="仿宋_GB2312" w:hAnsi="仿宋_GB2312" w:eastAsia="仿宋_GB2312" w:cs="仿宋_GB2312"/>
          <w:color w:val="000000"/>
          <w:sz w:val="28"/>
          <w:szCs w:val="28"/>
          <w:lang w:val="en-US" w:eastAsia="zh-CN"/>
        </w:rPr>
        <w:t>年</w:t>
      </w:r>
      <w:r>
        <w:rPr>
          <w:rFonts w:hint="default" w:ascii="Times New Roman" w:hAnsi="Times New Roman" w:eastAsia="仿宋_GB2312" w:cs="Times New Roman"/>
          <w:color w:val="000000"/>
          <w:sz w:val="28"/>
          <w:szCs w:val="28"/>
          <w:lang w:val="en-US" w:eastAsia="zh-CN"/>
        </w:rPr>
        <w:t>10</w:t>
      </w:r>
      <w:r>
        <w:rPr>
          <w:rFonts w:hint="eastAsia" w:ascii="仿宋_GB2312" w:hAnsi="仿宋_GB2312" w:eastAsia="仿宋_GB2312" w:cs="仿宋_GB2312"/>
          <w:color w:val="000000"/>
          <w:sz w:val="28"/>
          <w:szCs w:val="28"/>
          <w:lang w:val="en-US" w:eastAsia="zh-CN"/>
        </w:rPr>
        <w:t>月</w:t>
      </w:r>
      <w:r>
        <w:rPr>
          <w:rFonts w:hint="default"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val="en-US" w:eastAsia="zh-CN"/>
        </w:rPr>
        <w:t>日印发</w:t>
      </w:r>
    </w:p>
    <w:sectPr>
      <w:footerReference r:id="rId3" w:type="default"/>
      <w:pgSz w:w="11906" w:h="16838"/>
      <w:pgMar w:top="2098" w:right="1474" w:bottom="1984" w:left="1587" w:header="851" w:footer="158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00000000000000000"/>
    <w:charset w:val="86"/>
    <w:family w:val="script"/>
    <w:pitch w:val="default"/>
    <w:sig w:usb0="00000000" w:usb1="00000000"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8064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0B4D0E">
                          <w:pPr>
                            <w:pStyle w:val="7"/>
                            <w:rPr>
                              <w:rFonts w:ascii="宋体" w:hAnsi="宋体" w:eastAsia="宋体"/>
                              <w:sz w:val="28"/>
                            </w:rPr>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rPr>
                            <w:t>- 1 -</w:t>
                          </w:r>
                          <w:r>
                            <w:rPr>
                              <w:rFonts w:ascii="宋体" w:hAnsi="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0B4D0E">
                    <w:pPr>
                      <w:pStyle w:val="7"/>
                      <w:rPr>
                        <w:rFonts w:ascii="宋体" w:hAnsi="宋体" w:eastAsia="宋体"/>
                        <w:sz w:val="28"/>
                      </w:rPr>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rPr>
                      <w:t>- 1 -</w:t>
                    </w:r>
                    <w:r>
                      <w:rPr>
                        <w:rFonts w:ascii="宋体" w:hAnsi="宋体"/>
                        <w:sz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hMTkyZmE3MWIwMTQzOWQ1NjU1YjhjNjdmYzVkYmYifQ=="/>
  </w:docVars>
  <w:rsids>
    <w:rsidRoot w:val="00000000"/>
    <w:rsid w:val="03512F6A"/>
    <w:rsid w:val="07A860D1"/>
    <w:rsid w:val="21847C6C"/>
    <w:rsid w:val="2D1840A1"/>
    <w:rsid w:val="339143CD"/>
    <w:rsid w:val="340E4441"/>
    <w:rsid w:val="421D01F6"/>
    <w:rsid w:val="43B55F38"/>
    <w:rsid w:val="48713E97"/>
    <w:rsid w:val="58D21C73"/>
    <w:rsid w:val="5DC83C83"/>
    <w:rsid w:val="5F7D8874"/>
    <w:rsid w:val="5FFFA7AE"/>
    <w:rsid w:val="6B1254CF"/>
    <w:rsid w:val="6E5E3887"/>
    <w:rsid w:val="6F6A167E"/>
    <w:rsid w:val="734165A2"/>
    <w:rsid w:val="734A12C6"/>
    <w:rsid w:val="786F5C73"/>
    <w:rsid w:val="79454FF0"/>
    <w:rsid w:val="7BDD975C"/>
    <w:rsid w:val="7D8B6586"/>
    <w:rsid w:val="7DFD374E"/>
    <w:rsid w:val="7E9F6189"/>
    <w:rsid w:val="BFE35624"/>
    <w:rsid w:val="DAFEEDB3"/>
    <w:rsid w:val="EFFF03D0"/>
    <w:rsid w:val="F96E6E16"/>
    <w:rsid w:val="FEFF79DB"/>
    <w:rsid w:val="FFED2E92"/>
    <w:rsid w:val="FFFE2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pPr>
    <w:rPr>
      <w:szCs w:val="20"/>
    </w:rPr>
  </w:style>
  <w:style w:type="paragraph" w:styleId="4">
    <w:name w:val="index 5"/>
    <w:basedOn w:val="1"/>
    <w:next w:val="1"/>
    <w:qFormat/>
    <w:uiPriority w:val="99"/>
    <w:pPr>
      <w:ind w:left="1680"/>
    </w:pPr>
  </w:style>
  <w:style w:type="paragraph" w:styleId="5">
    <w:name w:val="Body Text Indent"/>
    <w:basedOn w:val="1"/>
    <w:next w:val="6"/>
    <w:qFormat/>
    <w:uiPriority w:val="0"/>
    <w:pPr>
      <w:spacing w:after="120"/>
      <w:ind w:left="200" w:leftChars="200"/>
    </w:pPr>
  </w:style>
  <w:style w:type="paragraph" w:styleId="6">
    <w:name w:val="Body Text Indent 2"/>
    <w:basedOn w:val="1"/>
    <w:next w:val="1"/>
    <w:qFormat/>
    <w:uiPriority w:val="99"/>
    <w:pPr>
      <w:spacing w:after="120" w:line="480" w:lineRule="auto"/>
      <w:ind w:left="420" w:leftChars="200"/>
    </w:pPr>
  </w:style>
  <w:style w:type="paragraph" w:styleId="7">
    <w:name w:val="footer"/>
    <w:basedOn w:val="1"/>
    <w:qFormat/>
    <w:uiPriority w:val="0"/>
    <w:pPr>
      <w:tabs>
        <w:tab w:val="center" w:pos="4153"/>
        <w:tab w:val="right" w:pos="8306"/>
      </w:tabs>
      <w:snapToGrid w:val="0"/>
      <w:spacing w:line="240" w:lineRule="atLeast"/>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5"/>
    <w:next w:val="1"/>
    <w:qFormat/>
    <w:uiPriority w:val="0"/>
    <w:pPr>
      <w:ind w:firstLine="420"/>
    </w:pPr>
    <w:rPr>
      <w:rFonts w:ascii="仿宋_GB2312" w:hAnsi="仿宋_GB2312" w:cs="仿宋_GB2312"/>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character" w:customStyle="1" w:styleId="16">
    <w:name w:val="font1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903</Words>
  <Characters>981</Characters>
  <Lines>0</Lines>
  <Paragraphs>0</Paragraphs>
  <TotalTime>2</TotalTime>
  <ScaleCrop>false</ScaleCrop>
  <LinksUpToDate>false</LinksUpToDate>
  <CharactersWithSpaces>1030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2022-12-30T08:50:00Z</dcterms:created>
  <dc:creator>Administrator</dc:creator>
  <cp:lastModifiedBy>天知道</cp:lastModifiedBy>
  <cp:lastPrinted>2025-10-11T23:56:00Z</cp:lastPrinted>
  <dcterms:modified xsi:type="dcterms:W3CDTF">2025-10-21T00:35:07Z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BC5C77967E224B198196819DB4858011_13</vt:lpwstr>
  </property>
  <property fmtid="{D5CDD505-2E9C-101B-9397-08002B2CF9AE}" pid="4" name="KSOTemplateDocerSaveRecord">
    <vt:lpwstr>eyJoZGlkIjoiNGFlMTA4YTIzNTNjYmJlN2RkMGRkODk4OTkxZTBjNDUiLCJ1c2VySWQiOiIxMjkxNTk0MDQyIn0=</vt:lpwstr>
  </property>
</Properties>
</file>