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3093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(2025年第38批）</w:t>
      </w:r>
    </w:p>
    <w:bookmarkEnd w:id="0"/>
    <w:p w14:paraId="423238A2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5330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095"/>
        <w:gridCol w:w="1215"/>
        <w:gridCol w:w="1020"/>
        <w:gridCol w:w="840"/>
        <w:gridCol w:w="1005"/>
        <w:gridCol w:w="3435"/>
        <w:gridCol w:w="2055"/>
        <w:gridCol w:w="1725"/>
        <w:gridCol w:w="1710"/>
        <w:gridCol w:w="778"/>
      </w:tblGrid>
      <w:tr w14:paraId="32F0A6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E88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9469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328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D2E5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B63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EB2F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9E4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50162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5E5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007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042E9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3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C82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29B7C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744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7AD2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035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C71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547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464E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1CD653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4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811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2FAAD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潭县 农（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动监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）罚〔2025〕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0AB97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湘潭县友谊肉食有限责任公司(法定负责人：陈闯军)屠宰依法应当检疫而未经检疫生猪案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9648D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陈闯军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A48D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EE77D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陈闯军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E9D06E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年6月25日当事人公司雇请5台车从附近养殖户家以每斤7.1元价格购买28头生猪，总货值为55256元，分别由车牌号为湘CZ357J（运两次）、湘CBC797、湘C6L605、湘CAV635、湘C797H7承运至公司待宰间，进场时本想套用开具的《动物检疫证明》动物B.NO43900846576，被驻场官方兽医开展入场查验发现《动物检疫合格证明》信息与入场生猪数量、耳标号码不符，被拒绝审核通过，当日21点左右告知公司负责人陈卓屠宰前查验审核未经通过。但当事人公司未采取整改措施，而在25日晚至26日凌晨将生猪宰杀.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AF260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依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据《中华人民共和国动物防疫法》第九十七条“违反本法第二十九条规定，及《中华人民共和国动物防疫法》第一百条第一款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参照《湖南省农业行政处罚自由裁量基准（动物卫生监督）》“序号：13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A679C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15日内将罚款交纳到湘潭县非税收入汇缴结算户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850023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湘潭县农业农村局</w:t>
            </w:r>
          </w:p>
          <w:p w14:paraId="1517C9A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2025年10月14日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831FE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 w14:paraId="63250D69"/>
    <w:sectPr>
      <w:pgSz w:w="16838" w:h="11906" w:orient="landscape"/>
      <w:pgMar w:top="1406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22770"/>
    <w:rsid w:val="59A2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2025-10-15T03:02:00Z</dcterms:created>
  <dc:creator>为于思周</dc:creator>
  <cp:lastModifiedBy>为于思周</cp:lastModifiedBy>
  <dcterms:modified xsi:type="dcterms:W3CDTF">2025-10-15T03:05:04Z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A987557095E14427AAA8A836D39F52D6_11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