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8"/>
        <w:jc w:val="both"/>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3C766553">
                  <w:pPr>
                    <w:rPr>
                      <w:rFonts w:ascii="楷体" w:hAnsi="楷体" w:eastAsia="楷体" w:cs="Times New Roman"/>
                      <w:sz w:val="30"/>
                      <w:szCs w:val="30"/>
                    </w:rPr>
                  </w:pPr>
                </w:p>
              </w:txbxContent>
            </v:textbox>
          </v:shape>
        </w:pict>
      </w:r>
    </w:p>
    <w:p w14:paraId="043ED144">
      <w:pPr>
        <w:pStyle w:val="18"/>
        <w:jc w:val="both"/>
        <w:rPr>
          <w:rFonts w:cs="Times New Roman"/>
          <w:sz w:val="56"/>
          <w:szCs w:val="56"/>
        </w:rPr>
      </w:pPr>
    </w:p>
    <w:p w14:paraId="672BB6FC">
      <w:pPr>
        <w:pStyle w:val="18"/>
        <w:jc w:val="both"/>
        <w:rPr>
          <w:rFonts w:cs="Times New Roman"/>
          <w:sz w:val="84"/>
          <w:szCs w:val="84"/>
        </w:rPr>
      </w:pPr>
    </w:p>
    <w:p w14:paraId="28BB10A1">
      <w:pPr>
        <w:pStyle w:val="18"/>
        <w:jc w:val="both"/>
        <w:rPr>
          <w:rFonts w:cs="Times New Roman"/>
          <w:sz w:val="84"/>
          <w:szCs w:val="84"/>
        </w:rPr>
      </w:pPr>
    </w:p>
    <w:p w14:paraId="07AA44BA">
      <w:pPr>
        <w:pStyle w:val="18"/>
        <w:jc w:val="center"/>
        <w:rPr>
          <w:rFonts w:hint="default" w:ascii="方正小标宋_GBK" w:hAnsi="方正小标宋_GBK" w:eastAsia="方正小标宋_GBK" w:cs="方正小标宋_GBK"/>
          <w:sz w:val="84"/>
          <w:szCs w:val="84"/>
        </w:rPr>
      </w:pPr>
      <w:r>
        <w:rPr>
          <w:rFonts w:hint="default" w:ascii="方正小标宋_GBK" w:hAnsi="方正小标宋_GBK" w:eastAsia="方正小标宋_GBK" w:cs="方正小标宋_GBK"/>
          <w:sz w:val="84"/>
          <w:szCs w:val="84"/>
          <w:lang w:eastAsia="zh-CN"/>
        </w:rPr>
        <w:t>湖南湘潭天易经济开区管理委员会</w:t>
      </w:r>
      <w:r>
        <w:rPr>
          <w:rFonts w:hint="default"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default" w:ascii="方正小标宋_GBK" w:hAnsi="方正小标宋_GBK" w:eastAsia="方正小标宋_GBK" w:cs="方正小标宋_GBK"/>
          <w:sz w:val="84"/>
          <w:szCs w:val="84"/>
        </w:rPr>
        <w:t>年</w:t>
      </w:r>
    </w:p>
    <w:p w14:paraId="7F6A91CC">
      <w:pPr>
        <w:pStyle w:val="18"/>
        <w:jc w:val="center"/>
        <w:rPr>
          <w:rFonts w:hint="default" w:ascii="方正小标宋_GBK" w:hAnsi="方正小标宋_GBK" w:eastAsia="方正小标宋_GBK" w:cs="方正小标宋_GBK"/>
          <w:sz w:val="84"/>
          <w:szCs w:val="84"/>
          <w:lang w:val="en-US" w:eastAsia="zh-CN"/>
        </w:rPr>
      </w:pPr>
      <w:r>
        <w:rPr>
          <w:rFonts w:hint="default" w:ascii="方正小标宋_GBK" w:hAnsi="方正小标宋_GBK" w:eastAsia="方正小标宋_GBK" w:cs="方正小标宋_GBK"/>
          <w:sz w:val="84"/>
          <w:szCs w:val="84"/>
        </w:rPr>
        <w:t>部门决算</w:t>
      </w:r>
      <w:r>
        <w:rPr>
          <w:rFonts w:hint="default" w:ascii="方正小标宋_GBK" w:hAnsi="方正小标宋_GBK" w:eastAsia="方正小标宋_GBK" w:cs="方正小标宋_GBK"/>
          <w:sz w:val="84"/>
          <w:szCs w:val="84"/>
          <w:lang w:eastAsia="zh-CN"/>
        </w:rPr>
        <w:t>公开</w:t>
      </w:r>
    </w:p>
    <w:p w14:paraId="705C9FE5">
      <w:pPr>
        <w:pStyle w:val="18"/>
        <w:jc w:val="both"/>
        <w:rPr>
          <w:rFonts w:ascii="方正小标宋_GBK" w:hAnsi="方正小标宋_GBK" w:eastAsia="方正小标宋_GBK" w:cs="Times New Roman"/>
          <w:sz w:val="56"/>
          <w:szCs w:val="56"/>
        </w:rPr>
      </w:pPr>
    </w:p>
    <w:p w14:paraId="7409AC2F">
      <w:pPr>
        <w:pStyle w:val="18"/>
        <w:jc w:val="both"/>
        <w:rPr>
          <w:rFonts w:cs="Times New Roman"/>
          <w:sz w:val="56"/>
          <w:szCs w:val="56"/>
        </w:rPr>
      </w:pPr>
    </w:p>
    <w:p w14:paraId="672DD629">
      <w:pPr>
        <w:pStyle w:val="18"/>
        <w:jc w:val="both"/>
        <w:rPr>
          <w:rFonts w:cs="Times New Roman"/>
          <w:sz w:val="56"/>
          <w:szCs w:val="56"/>
        </w:rPr>
      </w:pPr>
    </w:p>
    <w:p w14:paraId="28023637">
      <w:pPr>
        <w:pStyle w:val="18"/>
        <w:jc w:val="both"/>
        <w:rPr>
          <w:rFonts w:cs="Times New Roman"/>
          <w:sz w:val="56"/>
          <w:szCs w:val="56"/>
        </w:rPr>
      </w:pPr>
    </w:p>
    <w:p w14:paraId="67DD6656">
      <w:pPr>
        <w:pStyle w:val="18"/>
        <w:jc w:val="both"/>
        <w:rPr>
          <w:rFonts w:cs="Times New Roman"/>
          <w:sz w:val="32"/>
          <w:szCs w:val="32"/>
        </w:rPr>
      </w:pPr>
    </w:p>
    <w:p w14:paraId="37D7969C">
      <w:pPr>
        <w:pStyle w:val="18"/>
        <w:jc w:val="both"/>
        <w:rPr>
          <w:rFonts w:cs="Times New Roman"/>
          <w:sz w:val="32"/>
          <w:szCs w:val="32"/>
        </w:rPr>
      </w:pPr>
    </w:p>
    <w:p w14:paraId="5E3B5FD5">
      <w:pPr>
        <w:pStyle w:val="18"/>
        <w:jc w:val="both"/>
        <w:rPr>
          <w:rFonts w:cs="Times New Roman"/>
          <w:sz w:val="32"/>
          <w:szCs w:val="32"/>
        </w:rPr>
      </w:pPr>
    </w:p>
    <w:p w14:paraId="74F4DC30">
      <w:pPr>
        <w:pStyle w:val="18"/>
        <w:jc w:val="both"/>
        <w:rPr>
          <w:rFonts w:cs="Times New Roman"/>
          <w:sz w:val="32"/>
          <w:szCs w:val="32"/>
        </w:rPr>
      </w:pPr>
    </w:p>
    <w:p w14:paraId="0F4A4356">
      <w:pPr>
        <w:pStyle w:val="18"/>
        <w:jc w:val="both"/>
        <w:rPr>
          <w:rFonts w:cs="Times New Roman"/>
          <w:sz w:val="32"/>
          <w:szCs w:val="32"/>
        </w:rPr>
      </w:pPr>
    </w:p>
    <w:p w14:paraId="3AF31743">
      <w:pPr>
        <w:pStyle w:val="18"/>
        <w:spacing w:line="540" w:lineRule="exact"/>
        <w:jc w:val="both"/>
        <w:rPr>
          <w:rFonts w:cs="Times New Roman"/>
          <w:sz w:val="56"/>
          <w:szCs w:val="56"/>
        </w:rPr>
      </w:pPr>
    </w:p>
    <w:p w14:paraId="1A89514F">
      <w:pPr>
        <w:pStyle w:val="18"/>
        <w:spacing w:line="500" w:lineRule="exact"/>
        <w:jc w:val="both"/>
        <w:rPr>
          <w:rFonts w:cs="Times New Roman"/>
          <w:b/>
          <w:bCs/>
          <w:sz w:val="36"/>
          <w:szCs w:val="36"/>
        </w:rPr>
      </w:pPr>
    </w:p>
    <w:p w14:paraId="79E62098">
      <w:pPr>
        <w:pStyle w:val="18"/>
        <w:spacing w:line="500" w:lineRule="exact"/>
        <w:jc w:val="both"/>
        <w:rPr>
          <w:rFonts w:cs="Times New Roman"/>
          <w:b/>
          <w:bCs/>
          <w:sz w:val="36"/>
          <w:szCs w:val="36"/>
        </w:rPr>
      </w:pPr>
      <w:r>
        <w:rPr>
          <w:rFonts w:hint="eastAsia"/>
          <w:b/>
          <w:bCs/>
          <w:sz w:val="36"/>
          <w:szCs w:val="36"/>
        </w:rPr>
        <w:t>目录</w:t>
      </w:r>
    </w:p>
    <w:p w14:paraId="1A5C69DF">
      <w:pPr>
        <w:pStyle w:val="18"/>
        <w:spacing w:line="500" w:lineRule="exact"/>
        <w:jc w:val="both"/>
        <w:rPr>
          <w:rFonts w:hAnsi="黑体" w:cs="Times New Roman"/>
          <w:sz w:val="28"/>
          <w:szCs w:val="28"/>
        </w:rPr>
      </w:pPr>
      <w:r>
        <w:rPr>
          <w:rFonts w:hint="eastAsia" w:hAnsi="黑体"/>
          <w:sz w:val="28"/>
          <w:szCs w:val="28"/>
        </w:rPr>
        <w:t>第一部分</w:t>
      </w:r>
      <w:r>
        <w:rPr>
          <w:rFonts w:hAnsi="黑体"/>
          <w:sz w:val="28"/>
          <w:szCs w:val="28"/>
        </w:rPr>
        <w:t xml:space="preserve"> </w:t>
      </w:r>
      <w:r>
        <w:rPr>
          <w:rFonts w:hint="default" w:hAnsi="黑体"/>
          <w:sz w:val="28"/>
          <w:szCs w:val="28"/>
        </w:rPr>
        <w:t>天易经开区单位</w:t>
      </w:r>
      <w:r>
        <w:rPr>
          <w:rFonts w:hint="eastAsia" w:hAnsi="黑体"/>
          <w:sz w:val="28"/>
          <w:szCs w:val="28"/>
        </w:rPr>
        <w:t>概况</w:t>
      </w:r>
    </w:p>
    <w:p w14:paraId="3E003710">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8"/>
        <w:spacing w:line="500" w:lineRule="exact"/>
        <w:jc w:val="both"/>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8"/>
        <w:spacing w:line="500" w:lineRule="exact"/>
        <w:jc w:val="both"/>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both"/>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8"/>
        <w:spacing w:line="500" w:lineRule="exact"/>
        <w:ind w:firstLine="700" w:firstLineChars="250"/>
        <w:jc w:val="both"/>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8"/>
        <w:spacing w:line="500" w:lineRule="exact"/>
        <w:jc w:val="both"/>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8"/>
        <w:spacing w:line="500" w:lineRule="exact"/>
        <w:jc w:val="both"/>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8"/>
        <w:spacing w:line="500" w:lineRule="exact"/>
        <w:jc w:val="both"/>
        <w:rPr>
          <w:rFonts w:hAnsi="黑体" w:cs="Times New Roman"/>
          <w:sz w:val="28"/>
          <w:szCs w:val="28"/>
        </w:rPr>
      </w:pPr>
    </w:p>
    <w:p w14:paraId="05ED75C1">
      <w:pPr>
        <w:jc w:val="both"/>
        <w:rPr>
          <w:rFonts w:cs="Times New Roman"/>
          <w:sz w:val="72"/>
          <w:szCs w:val="72"/>
        </w:rPr>
      </w:pPr>
    </w:p>
    <w:p w14:paraId="369D8C40">
      <w:pPr>
        <w:jc w:val="both"/>
        <w:rPr>
          <w:rFonts w:cs="Times New Roman"/>
          <w:sz w:val="72"/>
          <w:szCs w:val="72"/>
        </w:rPr>
      </w:pPr>
    </w:p>
    <w:p w14:paraId="3CFFD651">
      <w:pPr>
        <w:jc w:val="both"/>
        <w:rPr>
          <w:rFonts w:cs="Times New Roman"/>
          <w:sz w:val="72"/>
          <w:szCs w:val="72"/>
        </w:rPr>
      </w:pPr>
    </w:p>
    <w:p w14:paraId="1F4E2D56">
      <w:pPr>
        <w:jc w:val="both"/>
        <w:rPr>
          <w:rFonts w:cs="Times New Roman"/>
          <w:sz w:val="72"/>
          <w:szCs w:val="72"/>
        </w:rPr>
      </w:pPr>
    </w:p>
    <w:p w14:paraId="60A83DDB">
      <w:pPr>
        <w:jc w:val="both"/>
        <w:rPr>
          <w:rFonts w:ascii="方正小标宋_GBK" w:hAnsi="方正小标宋_GBK" w:eastAsia="方正小标宋_GBK" w:cs="Times New Roman"/>
          <w:sz w:val="72"/>
          <w:szCs w:val="72"/>
        </w:rPr>
      </w:pPr>
    </w:p>
    <w:p w14:paraId="463F2F03">
      <w:pPr>
        <w:pStyle w:val="18"/>
        <w:jc w:val="both"/>
        <w:rPr>
          <w:rFonts w:hint="eastAsia" w:ascii="方正小标宋_GBK" w:hAnsi="方正小标宋_GBK" w:eastAsia="方正小标宋_GBK" w:cs="方正小标宋_GBK"/>
          <w:sz w:val="84"/>
          <w:szCs w:val="84"/>
        </w:rPr>
      </w:pPr>
    </w:p>
    <w:p w14:paraId="30ABC4E5">
      <w:pPr>
        <w:pStyle w:val="18"/>
        <w:jc w:val="both"/>
        <w:rPr>
          <w:rFonts w:hint="eastAsia" w:ascii="方正小标宋_GBK" w:hAnsi="方正小标宋_GBK" w:eastAsia="方正小标宋_GBK" w:cs="方正小标宋_GBK"/>
          <w:sz w:val="84"/>
          <w:szCs w:val="84"/>
        </w:rPr>
      </w:pPr>
    </w:p>
    <w:p w14:paraId="77D1488F">
      <w:pPr>
        <w:pStyle w:val="18"/>
        <w:jc w:val="center"/>
        <w:rPr>
          <w:rFonts w:hint="eastAsia" w:ascii="方正小标宋_GBK" w:hAnsi="方正小标宋_GBK" w:eastAsia="方正小标宋_GBK" w:cs="方正小标宋_GBK"/>
          <w:sz w:val="84"/>
          <w:szCs w:val="84"/>
        </w:rPr>
      </w:pPr>
    </w:p>
    <w:p w14:paraId="0546BD9F">
      <w:pPr>
        <w:pStyle w:val="18"/>
        <w:ind w:firstLine="2520" w:firstLineChars="300"/>
        <w:jc w:val="both"/>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p>
    <w:p w14:paraId="0DBA047E">
      <w:pPr>
        <w:pStyle w:val="18"/>
        <w:jc w:val="center"/>
        <w:rPr>
          <w:rFonts w:ascii="方正小标宋_GBK" w:hAnsi="方正小标宋_GBK" w:eastAsia="方正小标宋_GBK" w:cs="方正小标宋_GBK"/>
          <w:sz w:val="84"/>
          <w:szCs w:val="84"/>
        </w:rPr>
      </w:pPr>
    </w:p>
    <w:p w14:paraId="7D3A6B80">
      <w:pPr>
        <w:pStyle w:val="18"/>
        <w:jc w:val="center"/>
        <w:rPr>
          <w:rFonts w:hint="eastAsia" w:ascii="方正小标宋_GBK" w:hAnsi="方正小标宋_GBK" w:eastAsia="方正小标宋_GBK" w:cs="方正小标宋_GBK"/>
          <w:sz w:val="72"/>
          <w:szCs w:val="72"/>
          <w:lang w:eastAsia="zh-CN"/>
        </w:rPr>
      </w:pPr>
      <w:r>
        <w:rPr>
          <w:rFonts w:hint="eastAsia" w:ascii="方正小标宋_GBK" w:hAnsi="方正小标宋_GBK" w:eastAsia="方正小标宋_GBK" w:cs="方正小标宋_GBK"/>
          <w:sz w:val="72"/>
          <w:szCs w:val="72"/>
          <w:lang w:eastAsia="zh-CN"/>
        </w:rPr>
        <w:t>天易经开区管理委员会</w:t>
      </w:r>
    </w:p>
    <w:p w14:paraId="2F5E2DF6">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单位概况</w:t>
      </w:r>
    </w:p>
    <w:p w14:paraId="62831DC0">
      <w:pPr>
        <w:jc w:val="center"/>
        <w:rPr>
          <w:rFonts w:ascii="方正小标宋_GBK" w:hAnsi="方正小标宋_GBK" w:eastAsia="方正小标宋_GBK" w:cs="Times New Roman"/>
          <w:sz w:val="72"/>
          <w:szCs w:val="72"/>
        </w:rPr>
      </w:pPr>
    </w:p>
    <w:p w14:paraId="4E190F23">
      <w:pPr>
        <w:pStyle w:val="19"/>
        <w:numPr>
          <w:ilvl w:val="0"/>
          <w:numId w:val="0"/>
        </w:numPr>
        <w:ind w:leftChars="0"/>
        <w:jc w:val="center"/>
        <w:rPr>
          <w:rFonts w:hint="eastAsia" w:ascii="黑体" w:hAnsi="黑体" w:eastAsia="黑体" w:cs="黑体"/>
          <w:sz w:val="32"/>
          <w:szCs w:val="32"/>
        </w:rPr>
      </w:pPr>
    </w:p>
    <w:p w14:paraId="5D423B54">
      <w:pPr>
        <w:pStyle w:val="19"/>
        <w:numPr>
          <w:ilvl w:val="0"/>
          <w:numId w:val="0"/>
        </w:numPr>
        <w:ind w:leftChars="0" w:firstLine="640" w:firstLineChars="200"/>
        <w:jc w:val="center"/>
        <w:rPr>
          <w:rFonts w:hint="eastAsia" w:ascii="黑体" w:hAnsi="黑体" w:eastAsia="黑体" w:cs="黑体"/>
          <w:sz w:val="32"/>
          <w:szCs w:val="32"/>
          <w:lang w:eastAsia="zh-CN"/>
        </w:rPr>
      </w:pPr>
    </w:p>
    <w:p w14:paraId="7059815C">
      <w:pPr>
        <w:pStyle w:val="19"/>
        <w:numPr>
          <w:ilvl w:val="0"/>
          <w:numId w:val="0"/>
        </w:numPr>
        <w:ind w:leftChars="0" w:firstLine="640" w:firstLineChars="200"/>
        <w:jc w:val="both"/>
        <w:rPr>
          <w:rFonts w:hint="eastAsia" w:ascii="黑体" w:hAnsi="黑体" w:eastAsia="黑体" w:cs="黑体"/>
          <w:sz w:val="32"/>
          <w:szCs w:val="32"/>
          <w:lang w:eastAsia="zh-CN"/>
        </w:rPr>
      </w:pPr>
    </w:p>
    <w:p w14:paraId="41B9A29E">
      <w:pPr>
        <w:pStyle w:val="19"/>
        <w:numPr>
          <w:ilvl w:val="0"/>
          <w:numId w:val="0"/>
        </w:numPr>
        <w:ind w:leftChars="0" w:firstLine="640" w:firstLineChars="200"/>
        <w:jc w:val="both"/>
        <w:rPr>
          <w:rFonts w:hint="eastAsia" w:ascii="黑体" w:hAnsi="黑体" w:eastAsia="黑体" w:cs="黑体"/>
          <w:sz w:val="32"/>
          <w:szCs w:val="32"/>
          <w:lang w:eastAsia="zh-CN"/>
        </w:rPr>
      </w:pPr>
    </w:p>
    <w:p w14:paraId="5A201FAB">
      <w:pPr>
        <w:pStyle w:val="19"/>
        <w:numPr>
          <w:ilvl w:val="0"/>
          <w:numId w:val="0"/>
        </w:numPr>
        <w:ind w:leftChars="0" w:firstLine="640" w:firstLineChars="200"/>
        <w:jc w:val="both"/>
        <w:rPr>
          <w:rFonts w:hint="eastAsia" w:ascii="黑体" w:hAnsi="黑体" w:eastAsia="黑体" w:cs="黑体"/>
          <w:sz w:val="32"/>
          <w:szCs w:val="32"/>
          <w:lang w:eastAsia="zh-CN"/>
        </w:rPr>
      </w:pPr>
    </w:p>
    <w:p w14:paraId="556B6F35">
      <w:pPr>
        <w:pStyle w:val="19"/>
        <w:numPr>
          <w:ilvl w:val="0"/>
          <w:numId w:val="0"/>
        </w:numPr>
        <w:ind w:leftChars="0" w:firstLine="640" w:firstLineChars="200"/>
        <w:jc w:val="both"/>
        <w:rPr>
          <w:rFonts w:hint="eastAsia" w:ascii="黑体" w:hAnsi="黑体" w:eastAsia="黑体" w:cs="黑体"/>
          <w:sz w:val="32"/>
          <w:szCs w:val="32"/>
          <w:lang w:eastAsia="zh-CN"/>
        </w:rPr>
      </w:pPr>
    </w:p>
    <w:p w14:paraId="075E296C">
      <w:pPr>
        <w:pStyle w:val="19"/>
        <w:numPr>
          <w:ilvl w:val="0"/>
          <w:numId w:val="0"/>
        </w:numPr>
        <w:ind w:leftChars="0" w:firstLine="640" w:firstLineChars="200"/>
        <w:jc w:val="both"/>
        <w:rPr>
          <w:rFonts w:hint="eastAsia" w:ascii="黑体" w:hAnsi="黑体" w:eastAsia="黑体" w:cs="黑体"/>
          <w:sz w:val="32"/>
          <w:szCs w:val="32"/>
          <w:lang w:eastAsia="zh-CN"/>
        </w:rPr>
      </w:pPr>
    </w:p>
    <w:p w14:paraId="249D5E52">
      <w:pPr>
        <w:pStyle w:val="19"/>
        <w:numPr>
          <w:ilvl w:val="0"/>
          <w:numId w:val="0"/>
        </w:numPr>
        <w:ind w:leftChars="0" w:firstLine="640" w:firstLineChars="200"/>
        <w:jc w:val="both"/>
        <w:rPr>
          <w:rFonts w:hint="eastAsia" w:ascii="黑体" w:hAnsi="黑体" w:eastAsia="黑体" w:cs="黑体"/>
          <w:sz w:val="32"/>
          <w:szCs w:val="32"/>
          <w:lang w:eastAsia="zh-CN"/>
        </w:rPr>
      </w:pPr>
    </w:p>
    <w:p w14:paraId="454FBF6F">
      <w:pPr>
        <w:pStyle w:val="19"/>
        <w:numPr>
          <w:ilvl w:val="0"/>
          <w:numId w:val="0"/>
        </w:numPr>
        <w:ind w:leftChars="0" w:firstLine="640" w:firstLineChars="200"/>
        <w:jc w:val="both"/>
        <w:rPr>
          <w:rFonts w:hint="eastAsia" w:ascii="黑体" w:hAnsi="黑体" w:eastAsia="黑体" w:cs="黑体"/>
          <w:sz w:val="32"/>
          <w:szCs w:val="32"/>
          <w:lang w:eastAsia="zh-CN"/>
        </w:rPr>
      </w:pPr>
    </w:p>
    <w:p w14:paraId="388AF93D">
      <w:pPr>
        <w:pStyle w:val="19"/>
        <w:numPr>
          <w:ilvl w:val="0"/>
          <w:numId w:val="0"/>
        </w:numPr>
        <w:ind w:firstLine="640" w:firstLineChars="200"/>
        <w:jc w:val="both"/>
        <w:rPr>
          <w:rFonts w:ascii="黑体" w:hAnsi="黑体" w:eastAsia="黑体" w:cs="Times New Roman"/>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部门职责</w:t>
      </w:r>
    </w:p>
    <w:p w14:paraId="61D55423">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(一)负责贯彻执行党和国家关于发展开发区的方针政策、法律法规和决策部署。</w:t>
      </w:r>
    </w:p>
    <w:p w14:paraId="45B2AA5D">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(二)负责研究拟订和组织实施天易经开区重大发展战略、发展规划和工作计划。</w:t>
      </w:r>
    </w:p>
    <w:p w14:paraId="3864E542">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(三)根据湘潭市、湘潭县国土空间总体规划、土地利用总体规划以及国民经济产业总体规划的要求和相关权限，负责 统筹建设发展空间布局。负责拟订天易经开区经济发展总体规 划、产业发展规划、产业政策、项目准入标准等并组织实施，</w:t>
      </w:r>
    </w:p>
    <w:p w14:paraId="100B6D0A">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统一规划产业布局。</w:t>
      </w:r>
    </w:p>
    <w:p w14:paraId="1E3DFDC8">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(四)负责天易经开区招商引资工作，组织对外经济技术 合作与交流。负责统筹推进基础设施、公用事业、重大项目的建设等相关工作。</w:t>
      </w:r>
    </w:p>
    <w:p w14:paraId="2A78D22F">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(五)负责天易经开区优化营商环境工作，根据权限依法承担有关行政审批工作，履行行政审批服务职责。</w:t>
      </w:r>
    </w:p>
    <w:p w14:paraId="2011A1F1">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(六)负责天易经开区内企业的管理和服务，协助企业开展科技创新以及申报高新技术项目、高新技术企业和项目扶持 资金。指导区内企业建立现代企业制度，推进高新技术产业化、国际化。</w:t>
      </w:r>
    </w:p>
    <w:p w14:paraId="3D2739E9">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(七)根据有关要求和职责分工，承担天易经开区综合管  理、统计、内部审计、信息、财政收支管理、国有资产管理、</w:t>
      </w:r>
    </w:p>
    <w:p w14:paraId="1D245C59">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安全生产监督管理、生态环境保护等工作。</w:t>
      </w:r>
    </w:p>
    <w:p w14:paraId="50F4ACDC">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(八)负责天易经开区党的建设和“两新”组织党建等工作。</w:t>
      </w:r>
    </w:p>
    <w:p w14:paraId="1358C73E">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(九)负责天易经开区人才队伍建设，协助企业做好人才引进和服务工作。</w:t>
      </w:r>
    </w:p>
    <w:p w14:paraId="0794C474">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(十)承办湘潭市委、湘潭市人民政府和湘潭县委、湘潭</w:t>
      </w:r>
    </w:p>
    <w:p w14:paraId="50EEB822">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县人民政府交办的其他事项。</w:t>
      </w:r>
    </w:p>
    <w:p w14:paraId="526A7673">
      <w:pPr>
        <w:widowControl/>
        <w:spacing w:line="600" w:lineRule="exact"/>
        <w:ind w:firstLine="640" w:firstLineChars="200"/>
        <w:jc w:val="both"/>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61AF3349">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color w:val="FF0000"/>
          <w:sz w:val="32"/>
          <w:szCs w:val="32"/>
          <w:highlight w:val="none"/>
          <w:shd w:val="clear" w:color="auto" w:fill="FFFFFF"/>
        </w:rPr>
      </w:pPr>
      <w:r>
        <w:rPr>
          <w:rFonts w:hint="eastAsia" w:ascii="Times New Roman" w:hAnsi="Times New Roman" w:eastAsia="仿宋_GB2312" w:cs="仿宋_GB2312"/>
          <w:kern w:val="0"/>
          <w:sz w:val="32"/>
          <w:szCs w:val="32"/>
        </w:rPr>
        <w:t>（一）内设机构设置。</w:t>
      </w:r>
      <w:r>
        <w:rPr>
          <w:rFonts w:hint="default" w:ascii="Times New Roman" w:hAnsi="Times New Roman" w:eastAsia="仿宋_GB2312" w:cs="Times New Roman"/>
          <w:sz w:val="32"/>
          <w:szCs w:val="32"/>
          <w:highlight w:val="none"/>
          <w:shd w:val="clear" w:color="auto" w:fill="FFFFFF"/>
        </w:rPr>
        <w:t>天易经开区管委会设</w:t>
      </w:r>
      <w:r>
        <w:rPr>
          <w:rFonts w:hint="default" w:ascii="Times New Roman" w:hAnsi="Times New Roman" w:eastAsia="仿宋_GB2312" w:cs="Times New Roman"/>
          <w:sz w:val="32"/>
          <w:szCs w:val="32"/>
          <w:highlight w:val="none"/>
          <w:shd w:val="clear" w:color="auto" w:fill="FFFFFF"/>
          <w:lang w:val="en-US" w:eastAsia="zh-CN"/>
        </w:rPr>
        <w:t>7</w:t>
      </w:r>
      <w:r>
        <w:rPr>
          <w:rFonts w:hint="default" w:ascii="Times New Roman" w:hAnsi="Times New Roman" w:eastAsia="仿宋_GB2312" w:cs="Times New Roman"/>
          <w:sz w:val="32"/>
          <w:szCs w:val="32"/>
          <w:highlight w:val="none"/>
          <w:shd w:val="clear" w:color="auto" w:fill="FFFFFF"/>
        </w:rPr>
        <w:t>个内设机构：办公室、经济发展局、</w:t>
      </w:r>
      <w:r>
        <w:rPr>
          <w:rFonts w:hint="default" w:ascii="Times New Roman" w:hAnsi="Times New Roman" w:eastAsia="仿宋_GB2312" w:cs="Times New Roman"/>
          <w:sz w:val="32"/>
          <w:szCs w:val="32"/>
          <w:highlight w:val="none"/>
          <w:shd w:val="clear" w:color="auto" w:fill="FFFFFF"/>
          <w:lang w:eastAsia="zh-CN"/>
        </w:rPr>
        <w:t>产业发展局</w:t>
      </w:r>
      <w:r>
        <w:rPr>
          <w:rFonts w:hint="default" w:ascii="Times New Roman" w:hAnsi="Times New Roman" w:eastAsia="仿宋_GB2312" w:cs="Times New Roman"/>
          <w:sz w:val="32"/>
          <w:szCs w:val="32"/>
          <w:highlight w:val="none"/>
          <w:shd w:val="clear" w:color="auto" w:fill="FFFFFF"/>
        </w:rPr>
        <w:t>、</w:t>
      </w:r>
      <w:r>
        <w:rPr>
          <w:rFonts w:hint="default" w:ascii="Times New Roman" w:hAnsi="Times New Roman" w:eastAsia="仿宋_GB2312" w:cs="Times New Roman"/>
          <w:sz w:val="32"/>
          <w:szCs w:val="32"/>
          <w:highlight w:val="none"/>
          <w:shd w:val="clear" w:color="auto" w:fill="FFFFFF"/>
          <w:lang w:eastAsia="zh-CN"/>
        </w:rPr>
        <w:t>开发建设局</w:t>
      </w:r>
      <w:r>
        <w:rPr>
          <w:rFonts w:hint="default" w:ascii="Times New Roman" w:hAnsi="Times New Roman" w:eastAsia="仿宋_GB2312" w:cs="Times New Roman"/>
          <w:sz w:val="32"/>
          <w:szCs w:val="32"/>
          <w:highlight w:val="none"/>
          <w:shd w:val="clear" w:color="auto" w:fill="FFFFFF"/>
        </w:rPr>
        <w:t>、财政局、组织</w:t>
      </w:r>
      <w:r>
        <w:rPr>
          <w:rFonts w:hint="default" w:ascii="Times New Roman" w:hAnsi="Times New Roman" w:eastAsia="仿宋_GB2312" w:cs="Times New Roman"/>
          <w:sz w:val="32"/>
          <w:szCs w:val="32"/>
          <w:highlight w:val="none"/>
          <w:shd w:val="clear" w:color="auto" w:fill="FFFFFF"/>
          <w:lang w:eastAsia="zh-CN"/>
        </w:rPr>
        <w:t>工作</w:t>
      </w:r>
      <w:r>
        <w:rPr>
          <w:rFonts w:hint="default" w:ascii="Times New Roman" w:hAnsi="Times New Roman" w:eastAsia="仿宋_GB2312" w:cs="Times New Roman"/>
          <w:sz w:val="32"/>
          <w:szCs w:val="32"/>
          <w:highlight w:val="none"/>
          <w:shd w:val="clear" w:color="auto" w:fill="FFFFFF"/>
        </w:rPr>
        <w:t>局、</w:t>
      </w:r>
      <w:r>
        <w:rPr>
          <w:rFonts w:hint="default" w:ascii="Times New Roman" w:hAnsi="Times New Roman" w:eastAsia="仿宋_GB2312" w:cs="Times New Roman"/>
          <w:color w:val="000000" w:themeColor="text1"/>
          <w:sz w:val="32"/>
          <w:szCs w:val="32"/>
          <w:highlight w:val="none"/>
          <w:shd w:val="clear" w:color="auto" w:fill="FFFFFF"/>
        </w:rPr>
        <w:t>纪工委</w:t>
      </w:r>
      <w:r>
        <w:rPr>
          <w:rFonts w:hint="default" w:ascii="Times New Roman" w:hAnsi="Times New Roman" w:eastAsia="仿宋_GB2312" w:cs="Times New Roman"/>
          <w:sz w:val="32"/>
          <w:szCs w:val="32"/>
          <w:highlight w:val="none"/>
          <w:shd w:val="clear" w:color="auto" w:fill="FFFFFF"/>
        </w:rPr>
        <w:t>；</w:t>
      </w:r>
      <w:r>
        <w:rPr>
          <w:rFonts w:hint="default" w:ascii="Times New Roman" w:hAnsi="Times New Roman" w:eastAsia="仿宋_GB2312" w:cs="Times New Roman"/>
          <w:sz w:val="32"/>
          <w:szCs w:val="32"/>
          <w:highlight w:val="none"/>
          <w:shd w:val="clear" w:color="auto" w:fill="FFFFFF"/>
          <w:lang w:val="en-US" w:eastAsia="zh-CN"/>
        </w:rPr>
        <w:t>4</w:t>
      </w:r>
      <w:r>
        <w:rPr>
          <w:rFonts w:hint="default" w:ascii="Times New Roman" w:hAnsi="Times New Roman" w:eastAsia="仿宋_GB2312" w:cs="Times New Roman"/>
          <w:sz w:val="32"/>
          <w:szCs w:val="32"/>
          <w:highlight w:val="none"/>
          <w:shd w:val="clear" w:color="auto" w:fill="FFFFFF"/>
        </w:rPr>
        <w:t>个</w:t>
      </w:r>
      <w:r>
        <w:rPr>
          <w:rFonts w:hint="default" w:ascii="Times New Roman" w:hAnsi="Times New Roman" w:eastAsia="仿宋_GB2312" w:cs="Times New Roman"/>
          <w:sz w:val="32"/>
          <w:szCs w:val="32"/>
          <w:highlight w:val="none"/>
          <w:shd w:val="clear" w:color="auto" w:fill="FFFFFF"/>
          <w:lang w:eastAsia="zh-CN"/>
        </w:rPr>
        <w:t>事业单位</w:t>
      </w:r>
      <w:r>
        <w:rPr>
          <w:rFonts w:hint="default" w:ascii="Times New Roman" w:hAnsi="Times New Roman" w:eastAsia="仿宋_GB2312" w:cs="Times New Roman"/>
          <w:sz w:val="32"/>
          <w:szCs w:val="32"/>
          <w:highlight w:val="none"/>
          <w:shd w:val="clear" w:color="auto" w:fill="FFFFFF"/>
        </w:rPr>
        <w:t>：湖南湘潭天易经济开发区企业和项目服务中心、湖南湘潭天易经济开发区创新创业服务中心</w:t>
      </w:r>
      <w:r>
        <w:rPr>
          <w:rFonts w:hint="default" w:ascii="Times New Roman" w:hAnsi="Times New Roman" w:eastAsia="仿宋_GB2312" w:cs="Times New Roman"/>
          <w:sz w:val="32"/>
          <w:szCs w:val="32"/>
          <w:highlight w:val="none"/>
          <w:shd w:val="clear" w:color="auto" w:fill="FFFFFF"/>
          <w:lang w:eastAsia="zh-CN"/>
        </w:rPr>
        <w:t>、</w:t>
      </w:r>
      <w:r>
        <w:rPr>
          <w:rFonts w:hint="default" w:ascii="Times New Roman" w:hAnsi="Times New Roman" w:eastAsia="仿宋" w:cs="Times New Roman"/>
          <w:spacing w:val="6"/>
          <w:sz w:val="31"/>
          <w:szCs w:val="31"/>
        </w:rPr>
        <w:t>湖南湘潭天易经</w:t>
      </w:r>
      <w:r>
        <w:rPr>
          <w:rFonts w:hint="default" w:ascii="Times New Roman" w:hAnsi="Times New Roman" w:eastAsia="仿宋" w:cs="Times New Roman"/>
          <w:spacing w:val="7"/>
          <w:sz w:val="31"/>
          <w:szCs w:val="31"/>
        </w:rPr>
        <w:t>济开发区优化人居环境事务中心</w:t>
      </w:r>
      <w:r>
        <w:rPr>
          <w:rFonts w:hint="default" w:ascii="Times New Roman" w:hAnsi="Times New Roman" w:eastAsia="仿宋" w:cs="Times New Roman"/>
          <w:spacing w:val="7"/>
          <w:sz w:val="31"/>
          <w:szCs w:val="31"/>
          <w:lang w:eastAsia="zh-CN"/>
        </w:rPr>
        <w:t>、湖南湘潭天易经济开发区投资评审中心</w:t>
      </w:r>
      <w:r>
        <w:rPr>
          <w:rFonts w:hint="default" w:ascii="Times New Roman" w:hAnsi="Times New Roman" w:eastAsia="仿宋_GB2312" w:cs="Times New Roman"/>
          <w:sz w:val="32"/>
          <w:szCs w:val="32"/>
          <w:highlight w:val="none"/>
        </w:rPr>
        <w:t>。</w:t>
      </w:r>
    </w:p>
    <w:p w14:paraId="20BC3E59">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highlight w:val="none"/>
          <w:shd w:val="clear" w:color="auto" w:fill="FFFFFF"/>
        </w:rPr>
      </w:pPr>
      <w:r>
        <w:rPr>
          <w:rFonts w:hint="eastAsia" w:ascii="Times New Roman" w:hAnsi="Times New Roman" w:eastAsia="仿宋_GB2312" w:cs="仿宋_GB2312"/>
          <w:kern w:val="0"/>
          <w:sz w:val="32"/>
          <w:szCs w:val="32"/>
        </w:rPr>
        <w:t>（二）决算单位构成。</w:t>
      </w:r>
      <w:r>
        <w:rPr>
          <w:rFonts w:hint="default" w:ascii="Times New Roman" w:hAnsi="Times New Roman" w:eastAsia="仿宋_GB2312" w:cs="Times New Roman"/>
          <w:sz w:val="32"/>
          <w:szCs w:val="32"/>
          <w:highlight w:val="none"/>
          <w:shd w:val="clear" w:color="auto" w:fill="FFFFFF"/>
        </w:rPr>
        <w:t>天易经开区管委会</w:t>
      </w:r>
      <w:r>
        <w:rPr>
          <w:rFonts w:hint="default" w:ascii="Times New Roman" w:hAnsi="Times New Roman" w:eastAsia="仿宋_GB2312" w:cs="Times New Roman"/>
          <w:bCs/>
          <w:kern w:val="0"/>
          <w:sz w:val="32"/>
          <w:szCs w:val="32"/>
          <w:highlight w:val="none"/>
        </w:rPr>
        <w:t>202</w:t>
      </w:r>
      <w:r>
        <w:rPr>
          <w:rFonts w:hint="eastAsia" w:ascii="Times New Roman" w:hAnsi="Times New Roman" w:eastAsia="仿宋_GB2312" w:cs="Times New Roman"/>
          <w:bCs/>
          <w:kern w:val="0"/>
          <w:sz w:val="32"/>
          <w:szCs w:val="32"/>
          <w:highlight w:val="none"/>
          <w:lang w:val="en-US" w:eastAsia="zh-CN"/>
        </w:rPr>
        <w:t>4</w:t>
      </w:r>
      <w:r>
        <w:rPr>
          <w:rFonts w:hint="default" w:ascii="Times New Roman" w:hAnsi="Times New Roman" w:eastAsia="仿宋_GB2312" w:cs="Times New Roman"/>
          <w:bCs/>
          <w:kern w:val="0"/>
          <w:sz w:val="32"/>
          <w:szCs w:val="32"/>
          <w:highlight w:val="none"/>
        </w:rPr>
        <w:t>年部门决算汇总公开单位</w:t>
      </w:r>
      <w:r>
        <w:rPr>
          <w:rFonts w:hint="default" w:ascii="Times New Roman" w:hAnsi="Times New Roman" w:eastAsia="仿宋_GB2312" w:cs="Times New Roman"/>
          <w:sz w:val="32"/>
          <w:szCs w:val="32"/>
          <w:highlight w:val="none"/>
          <w:shd w:val="clear" w:color="auto" w:fill="FFFFFF"/>
        </w:rPr>
        <w:t>只有本级，没有其他决算单位，因此本部门决算仅含本级决算。</w:t>
      </w:r>
    </w:p>
    <w:p w14:paraId="0934B1C0">
      <w:pPr>
        <w:widowControl/>
        <w:spacing w:line="600" w:lineRule="exact"/>
        <w:ind w:firstLine="640" w:firstLineChars="200"/>
        <w:jc w:val="both"/>
        <w:rPr>
          <w:rFonts w:ascii="Times New Roman" w:hAnsi="Times New Roman" w:eastAsia="仿宋_GB2312" w:cs="Times New Roman"/>
          <w:kern w:val="0"/>
          <w:sz w:val="32"/>
          <w:szCs w:val="32"/>
        </w:rPr>
      </w:pPr>
    </w:p>
    <w:p w14:paraId="7026CD89">
      <w:pPr>
        <w:jc w:val="both"/>
        <w:rPr>
          <w:rFonts w:ascii="仿宋_GB2312" w:hAnsi="宋体" w:eastAsia="仿宋_GB2312" w:cs="Times New Roman"/>
          <w:sz w:val="28"/>
          <w:szCs w:val="28"/>
        </w:rPr>
      </w:pPr>
    </w:p>
    <w:p w14:paraId="2119950D">
      <w:pPr>
        <w:jc w:val="both"/>
        <w:rPr>
          <w:rFonts w:ascii="黑体" w:hAnsi="黑体" w:eastAsia="黑体" w:cs="Times New Roman"/>
          <w:sz w:val="28"/>
          <w:szCs w:val="28"/>
        </w:rPr>
      </w:pPr>
    </w:p>
    <w:p w14:paraId="64C087DB">
      <w:pPr>
        <w:jc w:val="both"/>
        <w:rPr>
          <w:rFonts w:ascii="黑体" w:hAnsi="黑体" w:eastAsia="黑体" w:cs="Times New Roman"/>
          <w:sz w:val="28"/>
          <w:szCs w:val="28"/>
        </w:rPr>
      </w:pPr>
    </w:p>
    <w:p w14:paraId="157624FB">
      <w:pPr>
        <w:jc w:val="both"/>
        <w:rPr>
          <w:rFonts w:ascii="黑体" w:hAnsi="黑体" w:eastAsia="黑体" w:cs="Times New Roman"/>
          <w:sz w:val="28"/>
          <w:szCs w:val="28"/>
        </w:rPr>
      </w:pPr>
    </w:p>
    <w:p w14:paraId="1793E273">
      <w:pPr>
        <w:jc w:val="both"/>
        <w:rPr>
          <w:rFonts w:ascii="黑体" w:hAnsi="黑体" w:eastAsia="黑体" w:cs="Times New Roman"/>
          <w:sz w:val="28"/>
          <w:szCs w:val="28"/>
        </w:rPr>
      </w:pPr>
    </w:p>
    <w:p w14:paraId="0B8CE0FD">
      <w:pPr>
        <w:pStyle w:val="18"/>
        <w:jc w:val="both"/>
        <w:rPr>
          <w:rFonts w:hint="eastAsia" w:ascii="方正小标宋_GBK" w:hAnsi="方正小标宋_GBK" w:eastAsia="方正小标宋_GBK" w:cs="方正小标宋_GBK"/>
          <w:sz w:val="84"/>
          <w:szCs w:val="84"/>
        </w:rPr>
      </w:pPr>
    </w:p>
    <w:p w14:paraId="30CB48A4">
      <w:pPr>
        <w:pStyle w:val="18"/>
        <w:jc w:val="both"/>
        <w:rPr>
          <w:rFonts w:hint="eastAsia" w:ascii="方正小标宋_GBK" w:hAnsi="方正小标宋_GBK" w:eastAsia="方正小标宋_GBK" w:cs="方正小标宋_GBK"/>
          <w:sz w:val="84"/>
          <w:szCs w:val="84"/>
        </w:rPr>
      </w:pPr>
    </w:p>
    <w:p w14:paraId="76F79887">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8"/>
        <w:jc w:val="center"/>
        <w:rPr>
          <w:rFonts w:ascii="方正小标宋_GBK" w:hAnsi="方正小标宋_GBK" w:eastAsia="方正小标宋_GBK" w:cs="Times New Roman"/>
          <w:sz w:val="84"/>
          <w:szCs w:val="84"/>
        </w:rPr>
      </w:pPr>
    </w:p>
    <w:p w14:paraId="5D1D30EB">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both"/>
        <w:rPr>
          <w:rFonts w:cs="Times New Roman"/>
          <w:sz w:val="72"/>
          <w:szCs w:val="72"/>
        </w:rPr>
      </w:pPr>
    </w:p>
    <w:p w14:paraId="641D0D34">
      <w:pPr>
        <w:jc w:val="both"/>
        <w:rPr>
          <w:rFonts w:cs="Times New Roman"/>
          <w:sz w:val="72"/>
          <w:szCs w:val="72"/>
        </w:rPr>
      </w:pPr>
    </w:p>
    <w:p w14:paraId="189A8389">
      <w:pPr>
        <w:widowControl/>
        <w:jc w:val="both"/>
        <w:rPr>
          <w:rFonts w:cs="Times New Roman"/>
          <w:sz w:val="72"/>
          <w:szCs w:val="72"/>
        </w:rPr>
        <w:sectPr>
          <w:pgSz w:w="11906" w:h="16838"/>
          <w:pgMar w:top="1800" w:right="1440" w:bottom="1800" w:left="1440" w:header="851" w:footer="992" w:gutter="0"/>
          <w:cols w:space="425" w:num="1"/>
          <w:docGrid w:type="lines" w:linePitch="312" w:charSpace="0"/>
        </w:sectPr>
      </w:pPr>
    </w:p>
    <w:p w14:paraId="70206655">
      <w:pPr>
        <w:pStyle w:val="18"/>
        <w:jc w:val="both"/>
        <w:rPr>
          <w:rFonts w:cs="Times New Roman"/>
          <w:sz w:val="72"/>
          <w:szCs w:val="72"/>
        </w:rPr>
      </w:pPr>
    </w:p>
    <w:p w14:paraId="306C00F7">
      <w:pPr>
        <w:pStyle w:val="18"/>
        <w:jc w:val="both"/>
        <w:rPr>
          <w:rFonts w:cs="Times New Roman"/>
          <w:sz w:val="72"/>
          <w:szCs w:val="72"/>
        </w:rPr>
      </w:pPr>
    </w:p>
    <w:p w14:paraId="33405096">
      <w:pPr>
        <w:pStyle w:val="18"/>
        <w:jc w:val="both"/>
        <w:rPr>
          <w:rFonts w:cs="Times New Roman"/>
          <w:sz w:val="72"/>
          <w:szCs w:val="72"/>
        </w:rPr>
      </w:pPr>
    </w:p>
    <w:p w14:paraId="049C4E2E">
      <w:pPr>
        <w:pStyle w:val="18"/>
        <w:jc w:val="both"/>
        <w:rPr>
          <w:rFonts w:cs="Times New Roman"/>
          <w:sz w:val="72"/>
          <w:szCs w:val="72"/>
        </w:rPr>
      </w:pPr>
    </w:p>
    <w:p w14:paraId="48A8AE58">
      <w:pPr>
        <w:pStyle w:val="18"/>
        <w:jc w:val="center"/>
        <w:rPr>
          <w:rFonts w:cs="Times New Roman"/>
          <w:sz w:val="72"/>
          <w:szCs w:val="72"/>
        </w:rPr>
      </w:pPr>
    </w:p>
    <w:p w14:paraId="3FBE5EBC">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1862F7D6">
      <w:pPr>
        <w:pStyle w:val="18"/>
        <w:jc w:val="center"/>
        <w:rPr>
          <w:rFonts w:hint="eastAsia" w:ascii="方正小标宋_GBK" w:hAnsi="方正小标宋_GBK" w:eastAsia="方正小标宋_GBK" w:cs="方正小标宋_GBK"/>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w:t>
      </w:r>
    </w:p>
    <w:p w14:paraId="535EB3A0">
      <w:pPr>
        <w:pStyle w:val="18"/>
        <w:jc w:val="center"/>
        <w:rPr>
          <w:rFonts w:ascii="方正小标宋_GBK" w:hAnsi="方正小标宋_GBK" w:eastAsia="方正小标宋_GBK" w:cs="Times New Roman"/>
          <w:sz w:val="70"/>
          <w:szCs w:val="70"/>
        </w:rPr>
      </w:pPr>
      <w:r>
        <w:rPr>
          <w:rFonts w:hint="eastAsia" w:ascii="方正小标宋_GBK" w:hAnsi="方正小标宋_GBK" w:eastAsia="方正小标宋_GBK" w:cs="方正小标宋_GBK"/>
          <w:sz w:val="70"/>
          <w:szCs w:val="70"/>
        </w:rPr>
        <w:t>情况说明</w:t>
      </w:r>
    </w:p>
    <w:p w14:paraId="2A68B9DB">
      <w:pPr>
        <w:widowControl/>
        <w:jc w:val="both"/>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8"/>
        <w:spacing w:line="600" w:lineRule="exact"/>
        <w:ind w:firstLine="640" w:firstLineChars="200"/>
        <w:jc w:val="both"/>
        <w:rPr>
          <w:rFonts w:hAnsi="黑体" w:cs="Times New Roman"/>
          <w:sz w:val="32"/>
          <w:szCs w:val="32"/>
        </w:rPr>
      </w:pPr>
      <w:r>
        <w:rPr>
          <w:rFonts w:hint="eastAsia" w:hAnsi="黑体"/>
          <w:sz w:val="32"/>
          <w:szCs w:val="32"/>
        </w:rPr>
        <w:t>一、收入支出决算总体情况说明</w:t>
      </w:r>
    </w:p>
    <w:p w14:paraId="7A487202">
      <w:pPr>
        <w:pStyle w:val="18"/>
        <w:spacing w:line="600" w:lineRule="exact"/>
        <w:ind w:firstLine="640" w:firstLineChars="200"/>
        <w:jc w:val="both"/>
        <w:rPr>
          <w:rFonts w:hint="eastAsia" w:ascii="Times New Roman" w:hAnsi="Times New Roman" w:eastAsia="仿宋_GB2312" w:cs="仿宋_GB2312"/>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lang w:val="en-US" w:eastAsia="zh-CN"/>
        </w:rPr>
        <w:t>27749.49</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3383.99</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13.89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w:t>
      </w:r>
      <w:r>
        <w:rPr>
          <w:rFonts w:hint="eastAsia" w:ascii="Times New Roman" w:hAnsi="Times New Roman" w:eastAsia="仿宋_GB2312" w:cs="仿宋_GB2312"/>
          <w:sz w:val="32"/>
          <w:szCs w:val="32"/>
          <w:lang w:eastAsia="zh-CN"/>
        </w:rPr>
        <w:t>产业基础及其配套设施建设支出、土地储备成本增加。</w:t>
      </w:r>
    </w:p>
    <w:p w14:paraId="57AD3772">
      <w:pPr>
        <w:pStyle w:val="18"/>
        <w:spacing w:line="600" w:lineRule="exact"/>
        <w:ind w:firstLine="640" w:firstLineChars="200"/>
        <w:jc w:val="both"/>
        <w:rPr>
          <w:rFonts w:hAnsi="黑体" w:cs="Times New Roman"/>
          <w:sz w:val="32"/>
          <w:szCs w:val="32"/>
        </w:rPr>
      </w:pPr>
      <w:r>
        <w:rPr>
          <w:rFonts w:hint="eastAsia" w:hAnsi="黑体"/>
          <w:sz w:val="32"/>
          <w:szCs w:val="32"/>
        </w:rPr>
        <w:t>二、收入决算情况说明</w:t>
      </w:r>
    </w:p>
    <w:p w14:paraId="34BB275B">
      <w:pPr>
        <w:pStyle w:val="18"/>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27749.49</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lang w:val="en-US" w:eastAsia="zh-CN"/>
        </w:rPr>
        <w:t>27633.19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99.58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116.3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0.42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8"/>
        <w:spacing w:line="600" w:lineRule="exact"/>
        <w:ind w:firstLine="640" w:firstLineChars="200"/>
        <w:jc w:val="both"/>
        <w:rPr>
          <w:rFonts w:hAnsi="黑体" w:cs="Times New Roman"/>
          <w:sz w:val="32"/>
          <w:szCs w:val="32"/>
        </w:rPr>
      </w:pPr>
      <w:r>
        <w:rPr>
          <w:rFonts w:hint="eastAsia" w:hAnsi="黑体"/>
          <w:sz w:val="32"/>
          <w:szCs w:val="32"/>
        </w:rPr>
        <w:t>三、支出决算情况说明</w:t>
      </w:r>
    </w:p>
    <w:p w14:paraId="6A7BB3A4">
      <w:pPr>
        <w:pStyle w:val="18"/>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27749.49</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1139.29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4.1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26610.2</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95.9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8"/>
        <w:spacing w:line="600" w:lineRule="exact"/>
        <w:ind w:firstLine="640" w:firstLineChars="200"/>
        <w:jc w:val="both"/>
        <w:rPr>
          <w:rFonts w:hAnsi="黑体" w:cs="Times New Roman"/>
          <w:sz w:val="32"/>
          <w:szCs w:val="32"/>
        </w:rPr>
      </w:pPr>
      <w:r>
        <w:rPr>
          <w:rFonts w:hint="eastAsia" w:hAnsi="黑体"/>
          <w:sz w:val="32"/>
          <w:szCs w:val="32"/>
        </w:rPr>
        <w:t>四、财政拨款收入支出决算总体情况说明</w:t>
      </w:r>
    </w:p>
    <w:p w14:paraId="4B72EC99">
      <w:pPr>
        <w:pStyle w:val="18"/>
        <w:spacing w:line="6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27633.19</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3269.69</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w:t>
      </w:r>
      <w:r>
        <w:rPr>
          <w:rFonts w:hint="eastAsia" w:ascii="Times New Roman" w:hAnsi="Times New Roman" w:eastAsia="仿宋_GB2312" w:cs="Times New Roman"/>
          <w:sz w:val="32"/>
          <w:szCs w:val="32"/>
          <w:lang w:val="en-US" w:eastAsia="zh-CN"/>
        </w:rPr>
        <w:t>13.42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w:t>
      </w:r>
      <w:r>
        <w:rPr>
          <w:rFonts w:hint="eastAsia" w:ascii="Times New Roman" w:hAnsi="Times New Roman" w:eastAsia="仿宋_GB2312" w:cs="仿宋_GB2312"/>
          <w:sz w:val="32"/>
          <w:szCs w:val="32"/>
          <w:lang w:eastAsia="zh-CN"/>
        </w:rPr>
        <w:t>产业基础及其配套设施建设、土地储备成本增加。</w:t>
      </w:r>
    </w:p>
    <w:p w14:paraId="34D431AA">
      <w:pPr>
        <w:pStyle w:val="18"/>
        <w:spacing w:line="600" w:lineRule="exact"/>
        <w:ind w:firstLine="640" w:firstLineChars="200"/>
        <w:jc w:val="both"/>
        <w:rPr>
          <w:rFonts w:hAnsi="黑体" w:cs="Times New Roman"/>
          <w:sz w:val="32"/>
          <w:szCs w:val="32"/>
        </w:rPr>
      </w:pPr>
      <w:r>
        <w:rPr>
          <w:rFonts w:hint="eastAsia" w:hAnsi="黑体"/>
          <w:sz w:val="32"/>
          <w:szCs w:val="32"/>
        </w:rPr>
        <w:t>五、一般公共预算财政拨款支出决算情况说明</w:t>
      </w:r>
    </w:p>
    <w:p w14:paraId="729F5AF7">
      <w:pPr>
        <w:pStyle w:val="18"/>
        <w:spacing w:line="600" w:lineRule="exact"/>
        <w:ind w:firstLine="640" w:firstLineChars="200"/>
        <w:jc w:val="both"/>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006B24EC">
      <w:pPr>
        <w:pStyle w:val="18"/>
        <w:spacing w:line="600" w:lineRule="exact"/>
        <w:ind w:firstLine="640" w:firstLineChars="200"/>
        <w:jc w:val="both"/>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11067.84</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40.05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w:t>
      </w:r>
      <w:r>
        <w:rPr>
          <w:rFonts w:hint="eastAsia" w:ascii="Times New Roman" w:hAnsi="Times New Roman" w:eastAsia="仿宋_GB2312" w:cs="仿宋_GB2312"/>
          <w:sz w:val="32"/>
          <w:szCs w:val="32"/>
          <w:lang w:val="en-US" w:eastAsia="zh-CN"/>
        </w:rPr>
        <w:t>3269.69</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13.42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w:t>
      </w:r>
      <w:r>
        <w:rPr>
          <w:rFonts w:hint="eastAsia" w:ascii="Times New Roman" w:hAnsi="Times New Roman" w:eastAsia="仿宋_GB2312" w:cs="仿宋_GB2312"/>
          <w:sz w:val="32"/>
          <w:szCs w:val="32"/>
          <w:lang w:eastAsia="zh-CN"/>
        </w:rPr>
        <w:t>产业</w:t>
      </w:r>
      <w:r>
        <w:rPr>
          <w:rFonts w:hint="eastAsia" w:ascii="Times New Roman" w:hAnsi="Times New Roman" w:eastAsia="仿宋_GB2312" w:cs="仿宋_GB2312"/>
          <w:sz w:val="32"/>
          <w:szCs w:val="32"/>
          <w:lang w:val="en-US" w:eastAsia="zh-CN"/>
        </w:rPr>
        <w:t>发展扶持资金</w:t>
      </w:r>
      <w:r>
        <w:rPr>
          <w:rFonts w:hint="eastAsia" w:ascii="Times New Roman" w:hAnsi="Times New Roman" w:eastAsia="仿宋_GB2312" w:cs="仿宋_GB2312"/>
          <w:sz w:val="32"/>
          <w:szCs w:val="32"/>
          <w:lang w:eastAsia="zh-CN"/>
        </w:rPr>
        <w:t>及解决历史遗留问题资金增加。</w:t>
      </w:r>
    </w:p>
    <w:p w14:paraId="1E6E8CF3">
      <w:pPr>
        <w:pStyle w:val="18"/>
        <w:spacing w:line="600" w:lineRule="exact"/>
        <w:ind w:firstLine="640" w:firstLineChars="200"/>
        <w:jc w:val="both"/>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615DA32">
      <w:pPr>
        <w:pStyle w:val="18"/>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11067.84</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仿宋_GB2312"/>
          <w:sz w:val="32"/>
          <w:szCs w:val="32"/>
          <w:lang w:val="en-US" w:eastAsia="zh-CN"/>
        </w:rPr>
        <w:t>3680.2</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33.25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公共安全</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33.01</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0.3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科学技术支出</w:t>
      </w:r>
      <w:r>
        <w:rPr>
          <w:rFonts w:hint="eastAsia" w:ascii="Times New Roman" w:hAnsi="Times New Roman" w:eastAsia="仿宋_GB2312" w:cs="Times New Roman"/>
          <w:sz w:val="32"/>
          <w:szCs w:val="32"/>
          <w:lang w:val="en-US" w:eastAsia="zh-CN"/>
        </w:rPr>
        <w:t>936.45万元，</w:t>
      </w:r>
      <w:r>
        <w:rPr>
          <w:rFonts w:hint="eastAsia" w:ascii="Times New Roman" w:hAnsi="Times New Roman" w:eastAsia="仿宋_GB2312" w:cs="仿宋_GB2312"/>
          <w:sz w:val="32"/>
          <w:szCs w:val="32"/>
        </w:rPr>
        <w:t>占</w:t>
      </w:r>
      <w:r>
        <w:rPr>
          <w:rFonts w:hint="eastAsia" w:ascii="Times New Roman" w:hAnsi="Times New Roman" w:eastAsia="仿宋_GB2312" w:cs="Times New Roman"/>
          <w:sz w:val="32"/>
          <w:szCs w:val="32"/>
          <w:lang w:val="en-US" w:eastAsia="zh-CN"/>
        </w:rPr>
        <w:t>8.46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；社会保障和就业支出</w:t>
      </w:r>
      <w:r>
        <w:rPr>
          <w:rFonts w:hint="eastAsia" w:ascii="Times New Roman" w:hAnsi="Times New Roman" w:eastAsia="仿宋_GB2312" w:cs="Times New Roman"/>
          <w:sz w:val="32"/>
          <w:szCs w:val="32"/>
          <w:lang w:val="en-US" w:eastAsia="zh-CN"/>
        </w:rPr>
        <w:t>952.81万元，占8.61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；节能环保支出</w:t>
      </w:r>
      <w:r>
        <w:rPr>
          <w:rFonts w:hint="eastAsia" w:ascii="Times New Roman" w:hAnsi="Times New Roman" w:eastAsia="仿宋_GB2312" w:cs="Times New Roman"/>
          <w:sz w:val="32"/>
          <w:szCs w:val="32"/>
          <w:lang w:val="en-US" w:eastAsia="zh-CN"/>
        </w:rPr>
        <w:t>193.66万元，</w:t>
      </w:r>
      <w:r>
        <w:rPr>
          <w:rFonts w:hint="eastAsia" w:ascii="Times New Roman" w:hAnsi="Times New Roman" w:eastAsia="仿宋_GB2312" w:cs="仿宋_GB2312"/>
          <w:sz w:val="32"/>
          <w:szCs w:val="32"/>
        </w:rPr>
        <w:t>占</w:t>
      </w:r>
      <w:r>
        <w:rPr>
          <w:rFonts w:hint="eastAsia" w:ascii="Times New Roman" w:hAnsi="Times New Roman" w:eastAsia="仿宋_GB2312" w:cs="Times New Roman"/>
          <w:sz w:val="32"/>
          <w:szCs w:val="32"/>
          <w:lang w:val="en-US" w:eastAsia="zh-CN"/>
        </w:rPr>
        <w:t>1.75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；城乡社区支出</w:t>
      </w:r>
      <w:r>
        <w:rPr>
          <w:rFonts w:hint="eastAsia" w:ascii="Times New Roman" w:hAnsi="Times New Roman" w:eastAsia="仿宋_GB2312" w:cs="Times New Roman"/>
          <w:sz w:val="32"/>
          <w:szCs w:val="32"/>
          <w:lang w:val="en-US" w:eastAsia="zh-CN"/>
        </w:rPr>
        <w:t>672.34万元，</w:t>
      </w:r>
      <w:r>
        <w:rPr>
          <w:rFonts w:hint="eastAsia" w:ascii="Times New Roman" w:hAnsi="Times New Roman" w:eastAsia="仿宋_GB2312" w:cs="仿宋_GB2312"/>
          <w:sz w:val="32"/>
          <w:szCs w:val="32"/>
        </w:rPr>
        <w:t>占</w:t>
      </w:r>
      <w:r>
        <w:rPr>
          <w:rFonts w:hint="eastAsia" w:ascii="Times New Roman" w:hAnsi="Times New Roman" w:eastAsia="仿宋_GB2312" w:cs="Times New Roman"/>
          <w:sz w:val="32"/>
          <w:szCs w:val="32"/>
          <w:lang w:val="en-US" w:eastAsia="zh-CN"/>
        </w:rPr>
        <w:t>6.07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；小城镇基础设施建设</w:t>
      </w:r>
      <w:r>
        <w:rPr>
          <w:rFonts w:hint="eastAsia" w:ascii="Times New Roman" w:hAnsi="Times New Roman" w:eastAsia="仿宋_GB2312" w:cs="Times New Roman"/>
          <w:sz w:val="32"/>
          <w:szCs w:val="32"/>
          <w:lang w:val="en-US" w:eastAsia="zh-CN"/>
        </w:rPr>
        <w:t>4599.37万元，</w:t>
      </w:r>
      <w:r>
        <w:rPr>
          <w:rFonts w:hint="eastAsia" w:ascii="Times New Roman" w:hAnsi="Times New Roman" w:eastAsia="仿宋_GB2312" w:cs="仿宋_GB2312"/>
          <w:sz w:val="32"/>
          <w:szCs w:val="32"/>
        </w:rPr>
        <w:t>占</w:t>
      </w:r>
      <w:r>
        <w:rPr>
          <w:rFonts w:hint="eastAsia" w:ascii="Times New Roman" w:hAnsi="Times New Roman" w:eastAsia="仿宋_GB2312" w:cs="Times New Roman"/>
          <w:sz w:val="32"/>
          <w:szCs w:val="32"/>
          <w:lang w:val="en-US" w:eastAsia="zh-CN"/>
        </w:rPr>
        <w:t>41.56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6B7284D3">
      <w:pPr>
        <w:pStyle w:val="18"/>
        <w:spacing w:line="600" w:lineRule="exact"/>
        <w:ind w:firstLine="800" w:firstLineChars="250"/>
        <w:jc w:val="both"/>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8"/>
        <w:spacing w:line="600" w:lineRule="exact"/>
        <w:ind w:firstLine="800" w:firstLineChars="25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13811</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lang w:val="en-US" w:eastAsia="zh-CN"/>
        </w:rPr>
        <w:t>11067.84</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80.14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0BAD2978">
      <w:pPr>
        <w:pStyle w:val="18"/>
        <w:spacing w:line="600" w:lineRule="exact"/>
        <w:ind w:firstLine="800" w:firstLineChars="25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一般公共服务支出（类）－政府办公厅（室）及相关机构事务（款）－信访事务（项）</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00</w:t>
      </w:r>
      <w:r>
        <w:rPr>
          <w:rFonts w:hint="default"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74.82</w:t>
      </w:r>
      <w:r>
        <w:rPr>
          <w:rFonts w:hint="default"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37.41</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，决算数小于年初预算数的主要原因是：</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社会事务移交，相应支出减少</w:t>
      </w:r>
      <w:r>
        <w:rPr>
          <w:rFonts w:hint="default" w:ascii="Times New Roman" w:hAnsi="Times New Roman" w:eastAsia="仿宋_GB2312" w:cs="Times New Roman"/>
          <w:sz w:val="32"/>
          <w:szCs w:val="32"/>
        </w:rPr>
        <w:t>。</w:t>
      </w:r>
    </w:p>
    <w:p w14:paraId="4B3DE8EB">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一般公共服务支出（类）－商贸事务（款）－招商引资（项）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305</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111.66</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36.61</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 xml:space="preserve"> </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w:t>
      </w:r>
      <w:r>
        <w:rPr>
          <w:rFonts w:hint="default" w:ascii="Times New Roman" w:hAnsi="Times New Roman" w:eastAsia="仿宋_GB2312" w:cs="Times New Roman"/>
          <w:color w:val="000000" w:themeColor="text1"/>
          <w:sz w:val="32"/>
          <w:szCs w:val="32"/>
          <w:highlight w:val="none"/>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rPr>
        <w:t>专项</w:t>
      </w:r>
      <w:r>
        <w:rPr>
          <w:rFonts w:hint="default" w:ascii="Times New Roman" w:hAnsi="Times New Roman" w:eastAsia="仿宋_GB2312" w:cs="Times New Roman"/>
          <w:color w:val="000000" w:themeColor="text1"/>
          <w:sz w:val="32"/>
          <w:szCs w:val="32"/>
          <w:highlight w:val="none"/>
        </w:rPr>
        <w:t>支出。</w:t>
      </w:r>
    </w:p>
    <w:p w14:paraId="019401CA">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一般公共服务支出</w:t>
      </w:r>
      <w:r>
        <w:rPr>
          <w:rFonts w:hint="default" w:ascii="Times New Roman" w:hAnsi="Times New Roman" w:eastAsia="仿宋_GB2312" w:cs="Times New Roman"/>
          <w:color w:val="000000" w:themeColor="text1"/>
          <w:sz w:val="32"/>
          <w:szCs w:val="32"/>
          <w:highlight w:val="none"/>
        </w:rPr>
        <w:t>（类）</w:t>
      </w:r>
      <w:r>
        <w:rPr>
          <w:rFonts w:hint="default" w:ascii="Times New Roman" w:hAnsi="Times New Roman" w:eastAsia="仿宋_GB2312" w:cs="Times New Roman"/>
          <w:color w:val="000000" w:themeColor="text1"/>
          <w:sz w:val="32"/>
          <w:szCs w:val="32"/>
          <w:highlight w:val="none"/>
          <w:lang w:val="en-US" w:eastAsia="zh-CN"/>
        </w:rPr>
        <w:t>－财政事务</w:t>
      </w:r>
      <w:r>
        <w:rPr>
          <w:rFonts w:hint="default" w:ascii="Times New Roman" w:hAnsi="Times New Roman" w:eastAsia="仿宋_GB2312" w:cs="Times New Roman"/>
          <w:color w:val="000000" w:themeColor="text1"/>
          <w:sz w:val="32"/>
          <w:szCs w:val="32"/>
          <w:highlight w:val="none"/>
        </w:rPr>
        <w:t>（款）</w:t>
      </w:r>
      <w:r>
        <w:rPr>
          <w:rFonts w:hint="default" w:ascii="Times New Roman" w:hAnsi="Times New Roman" w:eastAsia="仿宋_GB2312" w:cs="Times New Roman"/>
          <w:color w:val="000000" w:themeColor="text1"/>
          <w:sz w:val="32"/>
          <w:szCs w:val="32"/>
          <w:highlight w:val="none"/>
          <w:lang w:val="en-US" w:eastAsia="zh-CN"/>
        </w:rPr>
        <w:t>－财政委托业务支出</w:t>
      </w:r>
      <w:r>
        <w:rPr>
          <w:rFonts w:hint="default" w:ascii="Times New Roman" w:hAnsi="Times New Roman" w:eastAsia="仿宋_GB2312" w:cs="Times New Roman"/>
          <w:color w:val="000000" w:themeColor="text1"/>
          <w:sz w:val="32"/>
          <w:szCs w:val="32"/>
          <w:highlight w:val="none"/>
        </w:rPr>
        <w:t>（项）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30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19.77</w:t>
      </w:r>
      <w:r>
        <w:rPr>
          <w:rFonts w:hint="default" w:ascii="Times New Roman" w:hAnsi="Times New Roman" w:eastAsia="仿宋_GB2312" w:cs="Times New Roman"/>
          <w:color w:val="000000" w:themeColor="text1"/>
          <w:sz w:val="32"/>
          <w:szCs w:val="32"/>
          <w:highlight w:val="none"/>
        </w:rPr>
        <w:t>万元，完成年初预算的</w:t>
      </w:r>
      <w:r>
        <w:rPr>
          <w:rFonts w:hint="default" w:ascii="Times New Roman" w:hAnsi="Times New Roman" w:eastAsia="仿宋_GB2312" w:cs="Times New Roman"/>
          <w:color w:val="000000" w:themeColor="text1"/>
          <w:sz w:val="32"/>
          <w:szCs w:val="32"/>
          <w:highlight w:val="none"/>
          <w:lang w:val="en-US" w:eastAsia="zh-CN"/>
        </w:rPr>
        <w:t>6</w:t>
      </w:r>
      <w:r>
        <w:rPr>
          <w:rFonts w:hint="eastAsia" w:ascii="Times New Roman" w:hAnsi="Times New Roman" w:eastAsia="仿宋_GB2312" w:cs="Times New Roman"/>
          <w:color w:val="000000" w:themeColor="text1"/>
          <w:sz w:val="32"/>
          <w:szCs w:val="32"/>
          <w:highlight w:val="none"/>
          <w:lang w:val="en-US" w:eastAsia="zh-CN"/>
        </w:rPr>
        <w:t>5.9</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年天易经开区严格按照“有保有压、防范风险”的原则，压减专项支出。</w:t>
      </w:r>
    </w:p>
    <w:p w14:paraId="23A06A4B">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一般公共服务支出（类）－宣传事务（款）－其他宣传事务支出（项）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80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78.75</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98.44</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2023年天易经开区</w:t>
      </w:r>
      <w:r>
        <w:rPr>
          <w:rFonts w:hint="default" w:ascii="Times New Roman" w:hAnsi="Times New Roman" w:eastAsia="仿宋_GB2312" w:cs="Times New Roman"/>
          <w:color w:val="000000" w:themeColor="text1"/>
          <w:sz w:val="32"/>
          <w:szCs w:val="32"/>
          <w:highlight w:val="none"/>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rPr>
        <w:t>专项</w:t>
      </w:r>
      <w:r>
        <w:rPr>
          <w:rFonts w:hint="default" w:ascii="Times New Roman" w:hAnsi="Times New Roman" w:eastAsia="仿宋_GB2312" w:cs="Times New Roman"/>
          <w:color w:val="000000" w:themeColor="text1"/>
          <w:sz w:val="32"/>
          <w:szCs w:val="32"/>
          <w:highlight w:val="none"/>
        </w:rPr>
        <w:t>支出。</w:t>
      </w:r>
    </w:p>
    <w:p w14:paraId="0BEBB145">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一般公共服务支出（类）－群众团体事务（款）－其他群众团体事务支出（项）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42</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37.45</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49.93</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 xml:space="preserve"> </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w:t>
      </w:r>
      <w:r>
        <w:rPr>
          <w:rFonts w:hint="default" w:ascii="Times New Roman" w:hAnsi="Times New Roman" w:eastAsia="仿宋_GB2312" w:cs="Times New Roman"/>
          <w:color w:val="000000" w:themeColor="text1"/>
          <w:sz w:val="32"/>
          <w:szCs w:val="32"/>
          <w:highlight w:val="none"/>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rPr>
        <w:t>专项</w:t>
      </w:r>
      <w:r>
        <w:rPr>
          <w:rFonts w:hint="default" w:ascii="Times New Roman" w:hAnsi="Times New Roman" w:eastAsia="仿宋_GB2312" w:cs="Times New Roman"/>
          <w:color w:val="000000" w:themeColor="text1"/>
          <w:sz w:val="32"/>
          <w:szCs w:val="32"/>
          <w:highlight w:val="none"/>
        </w:rPr>
        <w:t>支出。</w:t>
      </w:r>
    </w:p>
    <w:p w14:paraId="7767F750">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一般公共服务支出（类）－纪检监察事务（款）－其他纪检监察事务支出（项）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default" w:ascii="Times New Roman" w:hAnsi="Times New Roman" w:eastAsia="仿宋_GB2312" w:cs="Times New Roman"/>
          <w:color w:val="000000" w:themeColor="text1"/>
          <w:sz w:val="32"/>
          <w:szCs w:val="32"/>
          <w:highlight w:val="none"/>
          <w:lang w:val="en-US" w:eastAsia="zh-CN"/>
        </w:rPr>
        <w:t>30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5.86</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19.53</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 xml:space="preserve"> </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w:t>
      </w:r>
      <w:r>
        <w:rPr>
          <w:rFonts w:hint="default" w:ascii="Times New Roman" w:hAnsi="Times New Roman" w:eastAsia="仿宋_GB2312" w:cs="Times New Roman"/>
          <w:color w:val="000000" w:themeColor="text1"/>
          <w:sz w:val="32"/>
          <w:szCs w:val="32"/>
          <w:highlight w:val="none"/>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rPr>
        <w:t>专项</w:t>
      </w:r>
      <w:r>
        <w:rPr>
          <w:rFonts w:hint="default" w:ascii="Times New Roman" w:hAnsi="Times New Roman" w:eastAsia="仿宋_GB2312" w:cs="Times New Roman"/>
          <w:color w:val="000000" w:themeColor="text1"/>
          <w:sz w:val="32"/>
          <w:szCs w:val="32"/>
          <w:highlight w:val="none"/>
        </w:rPr>
        <w:t>支出。</w:t>
      </w:r>
    </w:p>
    <w:p w14:paraId="5EBA4F4A">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rPr>
        <w:t>一般公共服务（类）其他一般公共服务支出（款）其他一般公共服务（项）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4204</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3351.89</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79.73</w:t>
      </w:r>
      <w:r>
        <w:rPr>
          <w:rFonts w:hint="default" w:ascii="Times New Roman" w:hAnsi="Times New Roman" w:eastAsia="仿宋_GB2312" w:cs="Times New Roman"/>
          <w:color w:val="000000" w:themeColor="text1"/>
          <w:sz w:val="32"/>
          <w:szCs w:val="32"/>
          <w:highlight w:val="none"/>
        </w:rPr>
        <w:t>%，决算数</w:t>
      </w:r>
      <w:r>
        <w:rPr>
          <w:rFonts w:hint="default" w:ascii="Times New Roman" w:hAnsi="Times New Roman" w:eastAsia="仿宋_GB2312" w:cs="Times New Roman"/>
          <w:color w:val="000000" w:themeColor="text1"/>
          <w:sz w:val="32"/>
          <w:szCs w:val="32"/>
          <w:highlight w:val="none"/>
          <w:lang w:eastAsia="zh-CN"/>
        </w:rPr>
        <w:t>小</w:t>
      </w:r>
      <w:r>
        <w:rPr>
          <w:rFonts w:hint="default" w:ascii="Times New Roman" w:hAnsi="Times New Roman" w:eastAsia="仿宋_GB2312" w:cs="Times New Roman"/>
          <w:color w:val="000000" w:themeColor="text1"/>
          <w:sz w:val="32"/>
          <w:szCs w:val="32"/>
          <w:highlight w:val="none"/>
        </w:rPr>
        <w:t>于年初预算数是因为：</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w:t>
      </w:r>
      <w:r>
        <w:rPr>
          <w:rFonts w:hint="default" w:ascii="Times New Roman" w:hAnsi="Times New Roman" w:eastAsia="仿宋_GB2312" w:cs="Times New Roman"/>
          <w:color w:val="000000" w:themeColor="text1"/>
          <w:sz w:val="32"/>
          <w:szCs w:val="32"/>
          <w:highlight w:val="none"/>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rPr>
        <w:t>专项</w:t>
      </w:r>
      <w:r>
        <w:rPr>
          <w:rFonts w:hint="default" w:ascii="Times New Roman" w:hAnsi="Times New Roman" w:eastAsia="仿宋_GB2312" w:cs="Times New Roman"/>
          <w:color w:val="000000" w:themeColor="text1"/>
          <w:sz w:val="32"/>
          <w:szCs w:val="32"/>
          <w:highlight w:val="none"/>
        </w:rPr>
        <w:t>支出。</w:t>
      </w:r>
    </w:p>
    <w:p w14:paraId="071C0686">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公共安全支出（类）司法</w:t>
      </w:r>
      <w:r>
        <w:rPr>
          <w:rFonts w:hint="default" w:ascii="Times New Roman" w:hAnsi="Times New Roman" w:eastAsia="仿宋_GB2312" w:cs="Times New Roman"/>
          <w:color w:val="000000" w:themeColor="text1"/>
          <w:sz w:val="32"/>
          <w:szCs w:val="32"/>
          <w:highlight w:val="none"/>
        </w:rPr>
        <w:t>（款）律师管理（项）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70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33.01</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47.16</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w:t>
      </w:r>
      <w:r>
        <w:rPr>
          <w:rFonts w:hint="default" w:ascii="Times New Roman" w:hAnsi="Times New Roman" w:eastAsia="仿宋_GB2312" w:cs="Times New Roman"/>
          <w:color w:val="000000" w:themeColor="text1"/>
          <w:sz w:val="32"/>
          <w:szCs w:val="32"/>
          <w:highlight w:val="none"/>
          <w:lang w:val="en-US" w:eastAsia="zh-CN"/>
        </w:rPr>
        <w:t>是：202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年天易经开区严格按照“有保有压、防范风险”的原则，压减专项支出。</w:t>
      </w:r>
    </w:p>
    <w:p w14:paraId="715DFE44">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科学技术支出（类）其他科学技术支出</w:t>
      </w:r>
      <w:r>
        <w:rPr>
          <w:rFonts w:hint="default" w:ascii="Times New Roman" w:hAnsi="Times New Roman" w:eastAsia="仿宋_GB2312" w:cs="Times New Roman"/>
          <w:color w:val="000000" w:themeColor="text1"/>
          <w:sz w:val="32"/>
          <w:szCs w:val="32"/>
          <w:highlight w:val="none"/>
        </w:rPr>
        <w:t>（款）其他科学技术支出（项）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2200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936.45</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42.57</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w:t>
      </w:r>
      <w:r>
        <w:rPr>
          <w:rFonts w:hint="default" w:ascii="Times New Roman" w:hAnsi="Times New Roman" w:eastAsia="仿宋_GB2312" w:cs="Times New Roman"/>
          <w:color w:val="000000" w:themeColor="text1"/>
          <w:sz w:val="32"/>
          <w:szCs w:val="32"/>
          <w:highlight w:val="none"/>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rPr>
        <w:t>专项</w:t>
      </w:r>
      <w:r>
        <w:rPr>
          <w:rFonts w:hint="default" w:ascii="Times New Roman" w:hAnsi="Times New Roman" w:eastAsia="仿宋_GB2312" w:cs="Times New Roman"/>
          <w:color w:val="000000" w:themeColor="text1"/>
          <w:sz w:val="32"/>
          <w:szCs w:val="32"/>
          <w:highlight w:val="none"/>
        </w:rPr>
        <w:t>支出。</w:t>
      </w:r>
    </w:p>
    <w:p w14:paraId="6CD6E4D0">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FF0000"/>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社会保障和就业支出（类）其他社会保障和就业支出</w:t>
      </w:r>
      <w:r>
        <w:rPr>
          <w:rFonts w:hint="default" w:ascii="Times New Roman" w:hAnsi="Times New Roman" w:eastAsia="仿宋_GB2312" w:cs="Times New Roman"/>
          <w:color w:val="000000" w:themeColor="text1"/>
          <w:sz w:val="32"/>
          <w:szCs w:val="32"/>
          <w:highlight w:val="none"/>
        </w:rPr>
        <w:t>（款）其他社会保障和就业支出（项）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1000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952.81</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95.28</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rPr>
        <w:t>，</w:t>
      </w:r>
      <w:r>
        <w:rPr>
          <w:rFonts w:hint="eastAsia" w:ascii="Times New Roman" w:hAnsi="Times New Roman" w:eastAsia="仿宋_GB2312" w:cs="Times New Roman"/>
          <w:color w:val="000000" w:themeColor="text1"/>
          <w:sz w:val="32"/>
          <w:szCs w:val="32"/>
          <w:lang w:eastAsia="zh-CN"/>
        </w:rPr>
        <w:t>决</w:t>
      </w:r>
      <w:r>
        <w:rPr>
          <w:rFonts w:hint="default" w:ascii="Times New Roman" w:hAnsi="Times New Roman" w:eastAsia="仿宋_GB2312" w:cs="Times New Roman"/>
          <w:color w:val="000000" w:themeColor="text1"/>
          <w:sz w:val="32"/>
          <w:szCs w:val="32"/>
          <w:highlight w:val="none"/>
        </w:rPr>
        <w:t>算数小于年初预算数的主要原因是：</w:t>
      </w:r>
      <w:r>
        <w:rPr>
          <w:rFonts w:hint="eastAsia" w:ascii="Times New Roman" w:hAnsi="Times New Roman" w:eastAsia="仿宋_GB2312" w:cs="Times New Roman"/>
          <w:color w:val="000000" w:themeColor="text1"/>
          <w:sz w:val="32"/>
          <w:szCs w:val="32"/>
          <w:highlight w:val="none"/>
          <w:lang w:eastAsia="zh-CN"/>
        </w:rPr>
        <w:t>小部分资金于</w:t>
      </w:r>
      <w:r>
        <w:rPr>
          <w:rFonts w:hint="eastAsia" w:ascii="Times New Roman" w:hAnsi="Times New Roman" w:eastAsia="仿宋_GB2312" w:cs="Times New Roman"/>
          <w:color w:val="000000" w:themeColor="text1"/>
          <w:sz w:val="32"/>
          <w:szCs w:val="32"/>
          <w:highlight w:val="none"/>
          <w:lang w:val="en-US" w:eastAsia="zh-CN"/>
        </w:rPr>
        <w:t>2025年支付。</w:t>
      </w:r>
    </w:p>
    <w:p w14:paraId="62BC8718">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节能环保支出（类）其他节能环保支出</w:t>
      </w:r>
      <w:r>
        <w:rPr>
          <w:rFonts w:hint="default" w:ascii="Times New Roman" w:hAnsi="Times New Roman" w:eastAsia="仿宋_GB2312" w:cs="Times New Roman"/>
          <w:color w:val="000000" w:themeColor="text1"/>
          <w:sz w:val="32"/>
          <w:szCs w:val="32"/>
          <w:highlight w:val="none"/>
        </w:rPr>
        <w:t>（款）其他节能环保支出（项）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eastAsia" w:ascii="Times New Roman" w:hAnsi="Times New Roman" w:eastAsia="仿宋_GB2312" w:cs="Times New Roman"/>
          <w:color w:val="000000" w:themeColor="text1"/>
          <w:sz w:val="32"/>
          <w:szCs w:val="32"/>
          <w:highlight w:val="none"/>
          <w:lang w:val="en-US" w:eastAsia="zh-CN"/>
        </w:rPr>
        <w:t>200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193.66</w:t>
      </w:r>
      <w:r>
        <w:rPr>
          <w:rFonts w:hint="default" w:ascii="Times New Roman" w:hAnsi="Times New Roman" w:eastAsia="仿宋_GB2312" w:cs="Times New Roman"/>
          <w:color w:val="000000" w:themeColor="text1"/>
          <w:sz w:val="32"/>
          <w:szCs w:val="32"/>
          <w:highlight w:val="none"/>
        </w:rPr>
        <w:t>万元，完成年初预算的</w:t>
      </w:r>
      <w:r>
        <w:rPr>
          <w:rFonts w:hint="default" w:ascii="Times New Roman" w:hAnsi="Times New Roman" w:eastAsia="仿宋_GB2312" w:cs="Times New Roman"/>
          <w:color w:val="000000" w:themeColor="text1"/>
          <w:sz w:val="32"/>
          <w:szCs w:val="32"/>
          <w:highlight w:val="none"/>
          <w:lang w:val="en-US" w:eastAsia="zh-CN"/>
        </w:rPr>
        <w:t>9</w:t>
      </w:r>
      <w:r>
        <w:rPr>
          <w:rFonts w:hint="eastAsia" w:ascii="Times New Roman" w:hAnsi="Times New Roman" w:eastAsia="仿宋_GB2312" w:cs="Times New Roman"/>
          <w:color w:val="000000" w:themeColor="text1"/>
          <w:sz w:val="32"/>
          <w:szCs w:val="32"/>
          <w:highlight w:val="none"/>
          <w:lang w:val="en-US" w:eastAsia="zh-CN"/>
        </w:rPr>
        <w:t>6.83</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w:t>
      </w:r>
      <w:r>
        <w:rPr>
          <w:rFonts w:hint="default" w:ascii="Times New Roman" w:hAnsi="Times New Roman" w:eastAsia="仿宋_GB2312" w:cs="Times New Roman"/>
          <w:color w:val="000000" w:themeColor="text1"/>
          <w:sz w:val="32"/>
          <w:szCs w:val="32"/>
          <w:highlight w:val="none"/>
          <w:lang w:val="en-US" w:eastAsia="zh-CN"/>
        </w:rPr>
        <w:t>是：202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年天易经开区严格按照“有保有压、防范风险”的原则，压减专项支出。</w:t>
      </w:r>
    </w:p>
    <w:p w14:paraId="0ABA8DC6">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城乡社区支出（类）城乡社区公共设施</w:t>
      </w:r>
      <w:r>
        <w:rPr>
          <w:rFonts w:hint="default" w:ascii="Times New Roman" w:hAnsi="Times New Roman" w:eastAsia="仿宋_GB2312" w:cs="Times New Roman"/>
          <w:color w:val="000000" w:themeColor="text1"/>
          <w:sz w:val="32"/>
          <w:szCs w:val="32"/>
          <w:highlight w:val="none"/>
        </w:rPr>
        <w:t>（款）小城镇基础设施建设（项）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default" w:ascii="Times New Roman" w:hAnsi="Times New Roman" w:eastAsia="仿宋_GB2312" w:cs="Times New Roman"/>
          <w:color w:val="000000" w:themeColor="text1"/>
          <w:sz w:val="32"/>
          <w:szCs w:val="32"/>
          <w:highlight w:val="none"/>
          <w:lang w:val="en-US" w:eastAsia="zh-CN"/>
        </w:rPr>
        <w:t>8</w:t>
      </w:r>
      <w:r>
        <w:rPr>
          <w:rFonts w:hint="eastAsia" w:ascii="Times New Roman" w:hAnsi="Times New Roman" w:eastAsia="仿宋_GB2312" w:cs="Times New Roman"/>
          <w:color w:val="000000" w:themeColor="text1"/>
          <w:sz w:val="32"/>
          <w:szCs w:val="32"/>
          <w:highlight w:val="none"/>
          <w:lang w:val="en-US" w:eastAsia="zh-CN"/>
        </w:rPr>
        <w:t>50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672.34</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79.1</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w:t>
      </w:r>
      <w:r>
        <w:rPr>
          <w:rFonts w:hint="default" w:ascii="Times New Roman" w:hAnsi="Times New Roman" w:eastAsia="仿宋_GB2312" w:cs="Times New Roman"/>
          <w:color w:val="000000" w:themeColor="text1"/>
          <w:sz w:val="32"/>
          <w:szCs w:val="32"/>
          <w:highlight w:val="none"/>
        </w:rPr>
        <w:t>严格按照“有保有压、防范风险”的原则，压减</w:t>
      </w:r>
      <w:r>
        <w:rPr>
          <w:rFonts w:hint="default" w:ascii="Times New Roman" w:hAnsi="Times New Roman" w:eastAsia="仿宋_GB2312" w:cs="Times New Roman"/>
          <w:color w:val="000000" w:themeColor="text1"/>
          <w:sz w:val="32"/>
          <w:szCs w:val="32"/>
          <w:highlight w:val="none"/>
          <w:lang w:eastAsia="zh-CN"/>
        </w:rPr>
        <w:t>项目</w:t>
      </w:r>
      <w:r>
        <w:rPr>
          <w:rFonts w:hint="default" w:ascii="Times New Roman" w:hAnsi="Times New Roman" w:eastAsia="仿宋_GB2312" w:cs="Times New Roman"/>
          <w:color w:val="000000" w:themeColor="text1"/>
          <w:sz w:val="32"/>
          <w:szCs w:val="32"/>
          <w:highlight w:val="none"/>
        </w:rPr>
        <w:t>性支出。</w:t>
      </w:r>
    </w:p>
    <w:p w14:paraId="12CECCE9">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rPr>
      </w:pPr>
      <w:r>
        <w:rPr>
          <w:rFonts w:hint="default" w:ascii="Times New Roman" w:hAnsi="Times New Roman" w:eastAsia="仿宋_GB2312" w:cs="Times New Roman"/>
          <w:color w:val="000000" w:themeColor="text1"/>
          <w:sz w:val="32"/>
          <w:szCs w:val="32"/>
          <w:highlight w:val="none"/>
          <w:lang w:val="en-US" w:eastAsia="zh-CN"/>
        </w:rPr>
        <w:t>交通运输支出（类）公路水路运输</w:t>
      </w:r>
      <w:r>
        <w:rPr>
          <w:rFonts w:hint="default" w:ascii="Times New Roman" w:hAnsi="Times New Roman" w:eastAsia="仿宋_GB2312" w:cs="Times New Roman"/>
          <w:color w:val="000000" w:themeColor="text1"/>
          <w:sz w:val="32"/>
          <w:szCs w:val="32"/>
          <w:highlight w:val="none"/>
        </w:rPr>
        <w:t>（款）公路建设（项）</w:t>
      </w:r>
      <w:r>
        <w:rPr>
          <w:rFonts w:hint="default" w:ascii="Times New Roman" w:hAnsi="Times New Roman" w:eastAsia="仿宋_GB2312" w:cs="Times New Roman"/>
          <w:color w:val="000000" w:themeColor="text1"/>
          <w:sz w:val="32"/>
          <w:szCs w:val="32"/>
          <w:highlight w:val="none"/>
          <w:lang w:val="en-US" w:eastAsia="zh-CN"/>
        </w:rPr>
        <w:t>，</w:t>
      </w:r>
      <w:r>
        <w:rPr>
          <w:rFonts w:hint="default" w:ascii="Times New Roman" w:hAnsi="Times New Roman" w:eastAsia="仿宋_GB2312" w:cs="Times New Roman"/>
          <w:color w:val="000000" w:themeColor="text1"/>
          <w:sz w:val="32"/>
          <w:szCs w:val="32"/>
          <w:highlight w:val="none"/>
        </w:rPr>
        <w:t>年初预算为</w:t>
      </w:r>
      <w:r>
        <w:rPr>
          <w:rFonts w:hint="default" w:ascii="Times New Roman" w:hAnsi="Times New Roman" w:eastAsia="仿宋_GB2312" w:cs="Times New Roman"/>
          <w:color w:val="000000" w:themeColor="text1"/>
          <w:sz w:val="32"/>
          <w:szCs w:val="32"/>
          <w:highlight w:val="none"/>
          <w:lang w:val="en-US" w:eastAsia="zh-CN"/>
        </w:rPr>
        <w:t>4</w:t>
      </w:r>
      <w:r>
        <w:rPr>
          <w:rFonts w:hint="eastAsia" w:ascii="Times New Roman" w:hAnsi="Times New Roman" w:eastAsia="仿宋_GB2312" w:cs="Times New Roman"/>
          <w:color w:val="000000" w:themeColor="text1"/>
          <w:sz w:val="32"/>
          <w:szCs w:val="32"/>
          <w:highlight w:val="none"/>
          <w:lang w:val="en-US" w:eastAsia="zh-CN"/>
        </w:rPr>
        <w:t>6</w:t>
      </w:r>
      <w:r>
        <w:rPr>
          <w:rFonts w:hint="default" w:ascii="Times New Roman" w:hAnsi="Times New Roman" w:eastAsia="仿宋_GB2312" w:cs="Times New Roman"/>
          <w:color w:val="000000" w:themeColor="text1"/>
          <w:sz w:val="32"/>
          <w:szCs w:val="32"/>
          <w:highlight w:val="none"/>
          <w:lang w:val="en-US" w:eastAsia="zh-CN"/>
        </w:rPr>
        <w:t>00</w:t>
      </w:r>
      <w:r>
        <w:rPr>
          <w:rFonts w:hint="default" w:ascii="Times New Roman" w:hAnsi="Times New Roman" w:eastAsia="仿宋_GB2312" w:cs="Times New Roman"/>
          <w:color w:val="000000" w:themeColor="text1"/>
          <w:sz w:val="32"/>
          <w:szCs w:val="32"/>
          <w:highlight w:val="none"/>
        </w:rPr>
        <w:t>万元，支出决算为</w:t>
      </w:r>
      <w:r>
        <w:rPr>
          <w:rFonts w:hint="eastAsia" w:ascii="Times New Roman" w:hAnsi="Times New Roman" w:eastAsia="仿宋_GB2312" w:cs="Times New Roman"/>
          <w:color w:val="000000" w:themeColor="text1"/>
          <w:sz w:val="32"/>
          <w:szCs w:val="32"/>
          <w:highlight w:val="none"/>
          <w:lang w:val="en-US" w:eastAsia="zh-CN"/>
        </w:rPr>
        <w:t>4599.37</w:t>
      </w:r>
      <w:r>
        <w:rPr>
          <w:rFonts w:hint="default" w:ascii="Times New Roman" w:hAnsi="Times New Roman" w:eastAsia="仿宋_GB2312" w:cs="Times New Roman"/>
          <w:color w:val="000000" w:themeColor="text1"/>
          <w:sz w:val="32"/>
          <w:szCs w:val="32"/>
          <w:highlight w:val="none"/>
        </w:rPr>
        <w:t>万元，完成年初预算的</w:t>
      </w:r>
      <w:r>
        <w:rPr>
          <w:rFonts w:hint="eastAsia" w:ascii="Times New Roman" w:hAnsi="Times New Roman" w:eastAsia="仿宋_GB2312" w:cs="Times New Roman"/>
          <w:color w:val="000000" w:themeColor="text1"/>
          <w:sz w:val="32"/>
          <w:szCs w:val="32"/>
          <w:highlight w:val="none"/>
          <w:lang w:val="en-US" w:eastAsia="zh-CN"/>
        </w:rPr>
        <w:t>99.99</w:t>
      </w:r>
      <w:r>
        <w:rPr>
          <w:rFonts w:hint="default" w:ascii="Times New Roman" w:hAnsi="Times New Roman" w:eastAsia="仿宋_GB2312" w:cs="Times New Roman"/>
          <w:color w:val="000000" w:themeColor="text1"/>
          <w:sz w:val="32"/>
          <w:szCs w:val="32"/>
          <w:highlight w:val="none"/>
          <w:lang w:val="en-US" w:eastAsia="zh-CN"/>
        </w:rPr>
        <w:t xml:space="preserve"> </w:t>
      </w:r>
      <w:r>
        <w:rPr>
          <w:rFonts w:hint="default" w:ascii="Times New Roman" w:hAnsi="Times New Roman" w:eastAsia="仿宋_GB2312" w:cs="Times New Roman"/>
          <w:color w:val="000000" w:themeColor="text1"/>
          <w:sz w:val="32"/>
          <w:szCs w:val="32"/>
          <w:highlight w:val="none"/>
        </w:rPr>
        <w:t>%</w:t>
      </w:r>
      <w:r>
        <w:rPr>
          <w:rFonts w:hint="default" w:ascii="Times New Roman" w:hAnsi="Times New Roman" w:eastAsia="仿宋_GB2312" w:cs="Times New Roman"/>
          <w:color w:val="000000" w:themeColor="text1"/>
          <w:sz w:val="32"/>
          <w:szCs w:val="32"/>
          <w:highlight w:val="none"/>
          <w:lang w:val="en-US" w:eastAsia="zh-CN"/>
        </w:rPr>
        <w:t xml:space="preserve"> </w:t>
      </w:r>
      <w:r>
        <w:rPr>
          <w:rFonts w:hint="default" w:ascii="Times New Roman" w:hAnsi="Times New Roman" w:eastAsia="仿宋_GB2312" w:cs="Times New Roman"/>
          <w:color w:val="000000" w:themeColor="text1"/>
          <w:sz w:val="32"/>
          <w:szCs w:val="32"/>
        </w:rPr>
        <w:t>，</w:t>
      </w:r>
      <w:r>
        <w:rPr>
          <w:rFonts w:hint="default" w:ascii="Times New Roman" w:hAnsi="Times New Roman" w:eastAsia="仿宋_GB2312" w:cs="Times New Roman"/>
          <w:color w:val="000000" w:themeColor="text1"/>
          <w:sz w:val="32"/>
          <w:szCs w:val="32"/>
          <w:highlight w:val="none"/>
        </w:rPr>
        <w:t>决算数小于年初预算数的主要原因是：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年天易经开区</w:t>
      </w:r>
      <w:r>
        <w:rPr>
          <w:rFonts w:hint="default" w:ascii="Times New Roman" w:hAnsi="Times New Roman" w:eastAsia="仿宋_GB2312" w:cs="Times New Roman"/>
          <w:color w:val="000000" w:themeColor="text1"/>
          <w:sz w:val="32"/>
          <w:szCs w:val="32"/>
          <w:highlight w:val="none"/>
        </w:rPr>
        <w:t>严格按照“有保有压、防范风险”的原则，压减一</w:t>
      </w:r>
      <w:r>
        <w:rPr>
          <w:rFonts w:hint="default" w:ascii="Times New Roman" w:hAnsi="Times New Roman" w:eastAsia="仿宋_GB2312" w:cs="Times New Roman"/>
          <w:color w:val="000000" w:themeColor="text1"/>
          <w:sz w:val="32"/>
          <w:szCs w:val="32"/>
          <w:highlight w:val="none"/>
          <w:lang w:eastAsia="zh-CN"/>
        </w:rPr>
        <w:t>项目</w:t>
      </w:r>
      <w:r>
        <w:rPr>
          <w:rFonts w:hint="default" w:ascii="Times New Roman" w:hAnsi="Times New Roman" w:eastAsia="仿宋_GB2312" w:cs="Times New Roman"/>
          <w:color w:val="000000" w:themeColor="text1"/>
          <w:sz w:val="32"/>
          <w:szCs w:val="32"/>
          <w:highlight w:val="none"/>
        </w:rPr>
        <w:t>性支出。</w:t>
      </w:r>
    </w:p>
    <w:p w14:paraId="6054470F">
      <w:pPr>
        <w:pStyle w:val="18"/>
        <w:spacing w:line="600" w:lineRule="exact"/>
        <w:ind w:firstLine="640" w:firstLineChars="200"/>
        <w:jc w:val="both"/>
        <w:rPr>
          <w:rFonts w:hAnsi="黑体" w:cs="Times New Roman"/>
          <w:sz w:val="32"/>
          <w:szCs w:val="32"/>
        </w:rPr>
      </w:pPr>
      <w:r>
        <w:rPr>
          <w:rFonts w:hint="eastAsia" w:hAnsi="黑体"/>
          <w:sz w:val="32"/>
          <w:szCs w:val="32"/>
        </w:rPr>
        <w:t>六、一般公共预算财政拨款基本支出决算情况说明</w:t>
      </w:r>
    </w:p>
    <w:p w14:paraId="71D2859E">
      <w:pPr>
        <w:pStyle w:val="18"/>
        <w:spacing w:line="600" w:lineRule="exact"/>
        <w:ind w:firstLine="640" w:firstLineChars="200"/>
        <w:jc w:val="both"/>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1139.29</w:t>
      </w:r>
      <w:r>
        <w:rPr>
          <w:rFonts w:hint="eastAsia" w:ascii="Times New Roman" w:hAnsi="Times New Roman" w:eastAsia="仿宋_GB2312" w:cs="仿宋_GB2312"/>
          <w:sz w:val="32"/>
          <w:szCs w:val="32"/>
        </w:rPr>
        <w:t>万元，其中：人员经费</w:t>
      </w:r>
      <w:r>
        <w:rPr>
          <w:rFonts w:hint="eastAsia" w:ascii="Times New Roman" w:hAnsi="Times New Roman" w:eastAsia="仿宋_GB2312" w:cs="仿宋_GB2312"/>
          <w:sz w:val="32"/>
          <w:szCs w:val="32"/>
          <w:lang w:val="en-US" w:eastAsia="zh-CN"/>
        </w:rPr>
        <w:t>943.65</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仿宋_GB2312"/>
          <w:sz w:val="32"/>
          <w:szCs w:val="32"/>
          <w:lang w:val="en-US" w:eastAsia="zh-CN"/>
        </w:rPr>
        <w:t>82.83</w:t>
      </w:r>
      <w:r>
        <w:rPr>
          <w:rFonts w:hint="eastAsia" w:ascii="Times New Roman" w:hAnsi="Times New Roman" w:eastAsia="仿宋_GB2312" w:cs="仿宋_GB2312"/>
          <w:sz w:val="32"/>
          <w:szCs w:val="32"/>
        </w:rPr>
        <w:t>%,主要包括基本工资、津贴补贴、奖金、伙食补助费</w:t>
      </w:r>
      <w:r>
        <w:rPr>
          <w:rFonts w:hint="eastAsia" w:ascii="Times New Roman" w:hAnsi="Times New Roman" w:eastAsia="仿宋_GB2312" w:cs="仿宋_GB2312"/>
          <w:sz w:val="32"/>
          <w:szCs w:val="32"/>
          <w:lang w:eastAsia="zh-CN"/>
        </w:rPr>
        <w:t>等；</w:t>
      </w:r>
      <w:r>
        <w:rPr>
          <w:rFonts w:hint="eastAsia" w:ascii="Times New Roman" w:hAnsi="Times New Roman" w:eastAsia="仿宋_GB2312" w:cs="仿宋_GB2312"/>
          <w:sz w:val="32"/>
          <w:szCs w:val="32"/>
        </w:rPr>
        <w:t>公用经费</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Times New Roman"/>
          <w:sz w:val="32"/>
          <w:szCs w:val="32"/>
          <w:lang w:val="en-US" w:eastAsia="zh-CN"/>
        </w:rPr>
        <w:t>95.64</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17.17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，主要包括办公费、印刷费、咨询费、手续费</w:t>
      </w:r>
      <w:r>
        <w:rPr>
          <w:rFonts w:hint="eastAsia" w:ascii="Times New Roman" w:hAnsi="Times New Roman" w:eastAsia="仿宋_GB2312" w:cs="Times New Roman"/>
          <w:sz w:val="32"/>
          <w:szCs w:val="32"/>
          <w:lang w:eastAsia="zh-CN"/>
        </w:rPr>
        <w:t>等</w:t>
      </w:r>
      <w:r>
        <w:rPr>
          <w:rFonts w:hint="eastAsia" w:ascii="Times New Roman" w:hAnsi="Times New Roman" w:eastAsia="仿宋_GB2312" w:cs="仿宋_GB2312"/>
          <w:sz w:val="32"/>
          <w:szCs w:val="32"/>
        </w:rPr>
        <w:t>。</w:t>
      </w:r>
    </w:p>
    <w:p w14:paraId="1A62A23E">
      <w:pPr>
        <w:pStyle w:val="18"/>
        <w:numPr>
          <w:ilvl w:val="0"/>
          <w:numId w:val="1"/>
        </w:numPr>
        <w:spacing w:line="600" w:lineRule="exact"/>
        <w:ind w:firstLine="640" w:firstLineChars="200"/>
        <w:jc w:val="both"/>
        <w:rPr>
          <w:rFonts w:hint="eastAsia" w:hAnsi="黑体"/>
          <w:sz w:val="32"/>
          <w:szCs w:val="32"/>
        </w:rPr>
      </w:pPr>
      <w:r>
        <w:rPr>
          <w:rFonts w:hint="eastAsia" w:hAnsi="黑体"/>
          <w:sz w:val="32"/>
          <w:szCs w:val="32"/>
        </w:rPr>
        <w:t>财政拨款三公经费支出决算情况说明</w:t>
      </w:r>
    </w:p>
    <w:p w14:paraId="24929828">
      <w:pPr>
        <w:pStyle w:val="18"/>
        <w:numPr>
          <w:ilvl w:val="0"/>
          <w:numId w:val="0"/>
        </w:numPr>
        <w:spacing w:line="600" w:lineRule="exact"/>
        <w:ind w:firstLine="640" w:firstLineChars="200"/>
        <w:jc w:val="both"/>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8"/>
        <w:spacing w:line="600" w:lineRule="exact"/>
        <w:ind w:firstLine="800" w:firstLineChars="250"/>
        <w:jc w:val="both"/>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24.6</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14.21</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57.76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w:t>
      </w:r>
      <w:r>
        <w:rPr>
          <w:rFonts w:hint="default" w:ascii="Times New Roman" w:hAnsi="Times New Roman" w:eastAsia="仿宋_GB2312" w:cs="Times New Roman"/>
          <w:color w:val="000000" w:themeColor="text1"/>
          <w:sz w:val="32"/>
          <w:szCs w:val="32"/>
          <w:highlight w:val="none"/>
        </w:rPr>
        <w:t>天易经开区</w:t>
      </w:r>
      <w:r>
        <w:rPr>
          <w:rFonts w:hint="default" w:ascii="Times New Roman" w:hAnsi="Times New Roman" w:eastAsia="仿宋_GB2312" w:cs="Times New Roman"/>
          <w:color w:val="000000" w:themeColor="text1"/>
          <w:sz w:val="32"/>
          <w:szCs w:val="32"/>
          <w:highlight w:val="none"/>
          <w:lang w:eastAsia="zh-CN"/>
        </w:rPr>
        <w:t>从严控制三公经费开支</w:t>
      </w:r>
      <w:r>
        <w:rPr>
          <w:rFonts w:hint="eastAsia" w:ascii="Times New Roman" w:hAnsi="Times New Roman" w:eastAsia="仿宋_GB2312" w:cs="仿宋_GB2312"/>
          <w:sz w:val="32"/>
          <w:szCs w:val="32"/>
        </w:rPr>
        <w:t>，与上年相比减少</w:t>
      </w:r>
      <w:r>
        <w:rPr>
          <w:rFonts w:hint="eastAsia" w:ascii="Times New Roman" w:hAnsi="Times New Roman" w:eastAsia="仿宋_GB2312" w:cs="仿宋_GB2312"/>
          <w:sz w:val="32"/>
          <w:szCs w:val="32"/>
          <w:lang w:val="en-US" w:eastAsia="zh-CN"/>
        </w:rPr>
        <w:t>9.92</w:t>
      </w:r>
      <w:r>
        <w:rPr>
          <w:rFonts w:hint="eastAsia" w:ascii="Times New Roman" w:hAnsi="Times New Roman" w:eastAsia="仿宋_GB2312" w:cs="仿宋_GB2312"/>
          <w:sz w:val="32"/>
          <w:szCs w:val="32"/>
        </w:rPr>
        <w:t>万元，减少</w:t>
      </w:r>
      <w:r>
        <w:rPr>
          <w:rFonts w:hint="eastAsia" w:ascii="Times New Roman" w:hAnsi="Times New Roman" w:eastAsia="仿宋_GB2312" w:cs="仿宋_GB2312"/>
          <w:sz w:val="32"/>
          <w:szCs w:val="32"/>
          <w:lang w:val="en-US" w:eastAsia="zh-CN"/>
        </w:rPr>
        <w:t>41.11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减少的主要原因是</w:t>
      </w:r>
      <w:r>
        <w:rPr>
          <w:rFonts w:hint="default" w:ascii="Times New Roman" w:hAnsi="Times New Roman" w:eastAsia="仿宋_GB2312" w:cs="Times New Roman"/>
          <w:color w:val="000000" w:themeColor="text1"/>
          <w:sz w:val="32"/>
          <w:szCs w:val="32"/>
          <w:highlight w:val="none"/>
        </w:rPr>
        <w:t>天易经开区</w:t>
      </w:r>
      <w:r>
        <w:rPr>
          <w:rFonts w:hint="default" w:ascii="Times New Roman" w:hAnsi="Times New Roman" w:eastAsia="仿宋_GB2312" w:cs="Times New Roman"/>
          <w:color w:val="000000" w:themeColor="text1"/>
          <w:sz w:val="32"/>
          <w:szCs w:val="32"/>
          <w:highlight w:val="none"/>
          <w:lang w:eastAsia="zh-CN"/>
        </w:rPr>
        <w:t>从严控制三公经费开支</w:t>
      </w:r>
      <w:r>
        <w:rPr>
          <w:rFonts w:hint="eastAsia" w:ascii="Times New Roman" w:hAnsi="Times New Roman" w:eastAsia="仿宋_GB2312" w:cs="仿宋_GB2312"/>
          <w:sz w:val="32"/>
          <w:szCs w:val="32"/>
        </w:rPr>
        <w:t>。其中：</w:t>
      </w:r>
    </w:p>
    <w:p w14:paraId="0E4690F1">
      <w:pPr>
        <w:pStyle w:val="18"/>
        <w:spacing w:line="600" w:lineRule="exact"/>
        <w:ind w:firstLine="800" w:firstLineChars="250"/>
        <w:jc w:val="both"/>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p>
    <w:p w14:paraId="6961C53A">
      <w:pPr>
        <w:pStyle w:val="18"/>
        <w:spacing w:line="600" w:lineRule="exact"/>
        <w:ind w:firstLine="800" w:firstLineChars="250"/>
        <w:jc w:val="both"/>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cs="仿宋_GB2312"/>
          <w:sz w:val="32"/>
          <w:szCs w:val="32"/>
          <w:lang w:val="en-US" w:eastAsia="zh-CN"/>
        </w:rPr>
        <w:t>10.2</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0.83</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8.13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w:t>
      </w:r>
      <w:r>
        <w:rPr>
          <w:rFonts w:hint="eastAsia" w:ascii="Times New Roman" w:hAnsi="Times New Roman" w:eastAsia="仿宋_GB2312" w:cs="仿宋_GB2312"/>
          <w:sz w:val="32"/>
          <w:szCs w:val="32"/>
        </w:rPr>
        <w:t>于预算数的主要原因是</w:t>
      </w:r>
      <w:r>
        <w:rPr>
          <w:rFonts w:hint="default" w:ascii="Times New Roman" w:hAnsi="Times New Roman" w:eastAsia="仿宋_GB2312" w:cs="Times New Roman"/>
          <w:sz w:val="32"/>
          <w:szCs w:val="32"/>
          <w:highlight w:val="none"/>
        </w:rPr>
        <w:t>天易经开区严格控制接待标准</w:t>
      </w:r>
      <w:r>
        <w:rPr>
          <w:rFonts w:hint="eastAsia" w:ascii="Times New Roman" w:hAnsi="Times New Roman" w:eastAsia="仿宋_GB2312" w:cs="仿宋_GB2312"/>
          <w:sz w:val="32"/>
          <w:szCs w:val="32"/>
        </w:rPr>
        <w:t>，与上年相比减少</w:t>
      </w:r>
      <w:r>
        <w:rPr>
          <w:rFonts w:hint="eastAsia" w:ascii="Times New Roman" w:hAnsi="Times New Roman" w:eastAsia="仿宋_GB2312" w:cs="仿宋_GB2312"/>
          <w:sz w:val="32"/>
          <w:szCs w:val="32"/>
          <w:lang w:val="en-US" w:eastAsia="zh-CN"/>
        </w:rPr>
        <w:t>9.07</w:t>
      </w:r>
      <w:r>
        <w:rPr>
          <w:rFonts w:hint="eastAsia" w:ascii="Times New Roman" w:hAnsi="Times New Roman" w:eastAsia="仿宋_GB2312" w:cs="仿宋_GB2312"/>
          <w:sz w:val="32"/>
          <w:szCs w:val="32"/>
        </w:rPr>
        <w:t>万元，减少</w:t>
      </w:r>
      <w:r>
        <w:rPr>
          <w:rFonts w:hint="eastAsia" w:ascii="Times New Roman" w:hAnsi="Times New Roman" w:eastAsia="仿宋_GB2312" w:cs="仿宋_GB2312"/>
          <w:sz w:val="32"/>
          <w:szCs w:val="32"/>
          <w:lang w:val="en-US" w:eastAsia="zh-CN"/>
        </w:rPr>
        <w:t>91.62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减少的主要原因是</w:t>
      </w:r>
      <w:r>
        <w:rPr>
          <w:rFonts w:hint="default" w:ascii="Times New Roman" w:hAnsi="Times New Roman" w:eastAsia="仿宋_GB2312" w:cs="Times New Roman"/>
          <w:color w:val="auto"/>
          <w:sz w:val="32"/>
          <w:szCs w:val="32"/>
          <w:highlight w:val="none"/>
          <w:lang w:eastAsia="zh-CN"/>
        </w:rPr>
        <w:t>严格控制接待标准</w:t>
      </w:r>
      <w:r>
        <w:rPr>
          <w:rFonts w:hint="eastAsia" w:ascii="Times New Roman" w:hAnsi="Times New Roman" w:eastAsia="仿宋_GB2312" w:cs="仿宋_GB2312"/>
          <w:sz w:val="32"/>
          <w:szCs w:val="32"/>
        </w:rPr>
        <w:t>。</w:t>
      </w:r>
    </w:p>
    <w:p w14:paraId="55221926">
      <w:pPr>
        <w:pStyle w:val="18"/>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公务用车购置费支出预算为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p>
    <w:p w14:paraId="4B169A17">
      <w:pPr>
        <w:pStyle w:val="18"/>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公务用车运行维护费支出预算为</w:t>
      </w:r>
      <w:r>
        <w:rPr>
          <w:rFonts w:hint="eastAsia" w:ascii="Times New Roman" w:hAnsi="Times New Roman" w:eastAsia="仿宋_GB2312" w:cs="Times New Roman"/>
          <w:sz w:val="32"/>
          <w:szCs w:val="32"/>
          <w:lang w:val="en-US" w:eastAsia="zh-CN"/>
        </w:rPr>
        <w:t>14.4</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13.38</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92.92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w:t>
      </w:r>
      <w:r>
        <w:rPr>
          <w:rFonts w:hint="default" w:ascii="Times New Roman" w:hAnsi="Times New Roman" w:eastAsia="仿宋_GB2312" w:cs="Times New Roman"/>
          <w:color w:val="auto"/>
          <w:sz w:val="32"/>
          <w:szCs w:val="32"/>
          <w:highlight w:val="none"/>
          <w:lang w:eastAsia="zh-CN"/>
        </w:rPr>
        <w:t>从严控制三公经费开支</w:t>
      </w:r>
      <w:r>
        <w:rPr>
          <w:rFonts w:hint="eastAsia" w:ascii="Times New Roman" w:hAnsi="Times New Roman" w:eastAsia="仿宋_GB2312" w:cs="仿宋_GB2312"/>
          <w:sz w:val="32"/>
          <w:szCs w:val="32"/>
        </w:rPr>
        <w:t>，与上年相比减少</w:t>
      </w:r>
      <w:r>
        <w:rPr>
          <w:rFonts w:hint="eastAsia" w:ascii="Times New Roman" w:hAnsi="Times New Roman" w:eastAsia="仿宋_GB2312" w:cs="仿宋_GB2312"/>
          <w:sz w:val="32"/>
          <w:szCs w:val="32"/>
          <w:lang w:val="en-US" w:eastAsia="zh-CN"/>
        </w:rPr>
        <w:t>0.85</w:t>
      </w:r>
      <w:r>
        <w:rPr>
          <w:rFonts w:hint="eastAsia" w:ascii="Times New Roman" w:hAnsi="Times New Roman" w:eastAsia="仿宋_GB2312" w:cs="仿宋_GB2312"/>
          <w:sz w:val="32"/>
          <w:szCs w:val="32"/>
        </w:rPr>
        <w:t>万元，减少</w:t>
      </w:r>
      <w:r>
        <w:rPr>
          <w:rFonts w:hint="eastAsia" w:ascii="Times New Roman" w:hAnsi="Times New Roman" w:eastAsia="仿宋_GB2312" w:cs="仿宋_GB2312"/>
          <w:sz w:val="32"/>
          <w:szCs w:val="32"/>
          <w:lang w:val="en-US" w:eastAsia="zh-CN"/>
        </w:rPr>
        <w:t>5.9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减少的主要原因是</w:t>
      </w:r>
      <w:r>
        <w:rPr>
          <w:rFonts w:hint="default" w:ascii="Times New Roman" w:hAnsi="Times New Roman" w:eastAsia="仿宋_GB2312" w:cs="Times New Roman"/>
          <w:color w:val="000000" w:themeColor="text1"/>
          <w:sz w:val="32"/>
          <w:szCs w:val="32"/>
          <w:highlight w:val="none"/>
          <w:lang w:val="en-US" w:eastAsia="zh-CN"/>
        </w:rPr>
        <w:t>202</w:t>
      </w:r>
      <w:r>
        <w:rPr>
          <w:rFonts w:hint="eastAsia" w:ascii="Times New Roman" w:hAnsi="Times New Roman" w:eastAsia="仿宋_GB2312" w:cs="Times New Roman"/>
          <w:color w:val="000000" w:themeColor="text1"/>
          <w:sz w:val="32"/>
          <w:szCs w:val="32"/>
          <w:highlight w:val="none"/>
          <w:lang w:val="en-US" w:eastAsia="zh-CN"/>
        </w:rPr>
        <w:t>4</w:t>
      </w:r>
      <w:r>
        <w:rPr>
          <w:rFonts w:hint="default" w:ascii="Times New Roman" w:hAnsi="Times New Roman" w:eastAsia="仿宋_GB2312" w:cs="Times New Roman"/>
          <w:color w:val="000000" w:themeColor="text1"/>
          <w:sz w:val="32"/>
          <w:szCs w:val="32"/>
          <w:highlight w:val="none"/>
          <w:lang w:val="en-US" w:eastAsia="zh-CN"/>
        </w:rPr>
        <w:t>年节约车辆支出</w:t>
      </w:r>
      <w:r>
        <w:rPr>
          <w:rFonts w:hint="eastAsia" w:ascii="Times New Roman" w:hAnsi="Times New Roman" w:eastAsia="仿宋_GB2312" w:cs="仿宋_GB2312"/>
          <w:sz w:val="32"/>
          <w:szCs w:val="32"/>
        </w:rPr>
        <w:t>。</w:t>
      </w:r>
    </w:p>
    <w:p w14:paraId="149D9AEC">
      <w:pPr>
        <w:pStyle w:val="18"/>
        <w:spacing w:line="600" w:lineRule="exact"/>
        <w:ind w:firstLine="640" w:firstLineChars="200"/>
        <w:jc w:val="both"/>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8"/>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0.83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5.84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13.38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94.16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26ED7EAB">
      <w:pPr>
        <w:pStyle w:val="18"/>
        <w:spacing w:line="600" w:lineRule="exact"/>
        <w:ind w:firstLine="640" w:firstLineChars="200"/>
        <w:jc w:val="both"/>
        <w:rPr>
          <w:rFonts w:hint="eastAsia" w:ascii="Times New Roman" w:hAnsi="Times New Roman" w:eastAsia="仿宋_GB2312" w:cs="Times New Roman"/>
          <w:b/>
          <w:bCs/>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万元，全年安排因公出国（境）团组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个，累计</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人次</w:t>
      </w:r>
      <w:r>
        <w:rPr>
          <w:rFonts w:hint="eastAsia" w:ascii="Times New Roman" w:hAnsi="Times New Roman" w:eastAsia="仿宋_GB2312" w:cs="仿宋_GB2312"/>
          <w:sz w:val="32"/>
          <w:szCs w:val="32"/>
          <w:lang w:eastAsia="zh-CN"/>
        </w:rPr>
        <w:t>。</w:t>
      </w:r>
    </w:p>
    <w:p w14:paraId="0B793803">
      <w:pPr>
        <w:pStyle w:val="18"/>
        <w:spacing w:line="600" w:lineRule="exact"/>
        <w:ind w:firstLine="800" w:firstLineChars="25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cs="Times New Roman"/>
          <w:sz w:val="32"/>
          <w:szCs w:val="32"/>
          <w:lang w:val="en-US" w:eastAsia="zh-CN"/>
        </w:rPr>
        <w:t>0.83</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cs="Times New Roman"/>
          <w:sz w:val="32"/>
          <w:szCs w:val="32"/>
          <w:lang w:val="en-US" w:eastAsia="zh-CN"/>
        </w:rPr>
        <w:t>15</w:t>
      </w:r>
      <w:r>
        <w:rPr>
          <w:rFonts w:hint="eastAsia" w:ascii="Times New Roman" w:hAnsi="Times New Roman" w:eastAsia="仿宋_GB2312" w:cs="仿宋_GB2312"/>
          <w:sz w:val="32"/>
          <w:szCs w:val="32"/>
        </w:rPr>
        <w:t>个、来宾</w:t>
      </w:r>
      <w:r>
        <w:rPr>
          <w:rFonts w:hint="eastAsia" w:ascii="Times New Roman" w:hAnsi="Times New Roman" w:eastAsia="仿宋_GB2312" w:cs="Times New Roman"/>
          <w:sz w:val="32"/>
          <w:szCs w:val="32"/>
          <w:lang w:val="en-US" w:eastAsia="zh-CN"/>
        </w:rPr>
        <w:t>46</w:t>
      </w:r>
      <w:r>
        <w:rPr>
          <w:rFonts w:hint="eastAsia" w:ascii="Times New Roman" w:hAnsi="Times New Roman" w:eastAsia="仿宋_GB2312" w:cs="仿宋_GB2312"/>
          <w:sz w:val="32"/>
          <w:szCs w:val="32"/>
        </w:rPr>
        <w:t>人次，主要是</w:t>
      </w:r>
      <w:bookmarkStart w:id="0" w:name="_GoBack"/>
      <w:bookmarkEnd w:id="0"/>
      <w:r>
        <w:rPr>
          <w:rFonts w:hint="default" w:ascii="Times New Roman" w:hAnsi="Times New Roman" w:eastAsia="仿宋_GB2312" w:cs="Times New Roman"/>
          <w:b w:val="0"/>
          <w:bCs w:val="0"/>
          <w:color w:val="000000" w:themeColor="text1"/>
          <w:sz w:val="32"/>
          <w:szCs w:val="32"/>
          <w:highlight w:val="none"/>
        </w:rPr>
        <w:t>招商引资发生的接待支出。</w:t>
      </w:r>
    </w:p>
    <w:p w14:paraId="770B52B2">
      <w:pPr>
        <w:spacing w:line="600" w:lineRule="exact"/>
        <w:ind w:firstLine="800" w:firstLineChars="250"/>
        <w:jc w:val="both"/>
        <w:rPr>
          <w:rFonts w:ascii="楷体" w:hAnsi="楷体" w:eastAsia="楷体" w:cs="Times New Roman"/>
          <w:b/>
          <w:bCs/>
          <w:i/>
          <w:iCs/>
          <w:kern w:val="0"/>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w:t>
      </w:r>
      <w:r>
        <w:rPr>
          <w:rFonts w:hint="eastAsia" w:ascii="Times New Roman" w:hAnsi="Times New Roman" w:eastAsia="仿宋_GB2312" w:cs="Times New Roman"/>
          <w:sz w:val="32"/>
          <w:szCs w:val="32"/>
          <w:lang w:val="en-US" w:eastAsia="zh-CN"/>
        </w:rPr>
        <w:t>13.38</w:t>
      </w:r>
      <w:r>
        <w:rPr>
          <w:rFonts w:hint="eastAsia" w:ascii="Times New Roman" w:hAnsi="Times New Roman" w:eastAsia="仿宋_GB2312" w:cs="仿宋_GB2312"/>
          <w:sz w:val="32"/>
          <w:szCs w:val="32"/>
        </w:rPr>
        <w:t>万元，其中：公务用车购置费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公务用车运行维护费</w:t>
      </w:r>
      <w:r>
        <w:rPr>
          <w:rFonts w:hint="eastAsia" w:ascii="Times New Roman" w:hAnsi="Times New Roman" w:eastAsia="仿宋_GB2312" w:cs="Times New Roman"/>
          <w:sz w:val="32"/>
          <w:szCs w:val="32"/>
          <w:lang w:val="en-US" w:eastAsia="zh-CN"/>
        </w:rPr>
        <w:t>13.38</w:t>
      </w:r>
      <w:r>
        <w:rPr>
          <w:rFonts w:hint="eastAsia" w:ascii="Times New Roman" w:hAnsi="Times New Roman" w:eastAsia="仿宋_GB2312" w:cs="仿宋_GB2312"/>
          <w:sz w:val="32"/>
          <w:szCs w:val="32"/>
        </w:rPr>
        <w:t>万元，主要是</w:t>
      </w:r>
      <w:r>
        <w:rPr>
          <w:rFonts w:hint="eastAsia" w:ascii="Times New Roman" w:hAnsi="Times New Roman" w:eastAsia="仿宋_GB2312" w:cs="Times New Roman"/>
          <w:sz w:val="32"/>
          <w:szCs w:val="32"/>
          <w:highlight w:val="none"/>
          <w:lang w:eastAsia="zh-CN"/>
        </w:rPr>
        <w:t>用于</w:t>
      </w:r>
      <w:r>
        <w:rPr>
          <w:rFonts w:hint="default" w:ascii="Times New Roman" w:hAnsi="Times New Roman" w:eastAsia="仿宋_GB2312" w:cs="Times New Roman"/>
          <w:sz w:val="32"/>
          <w:szCs w:val="32"/>
          <w:highlight w:val="none"/>
        </w:rPr>
        <w:t>公务用车维护支出</w:t>
      </w:r>
      <w:r>
        <w:rPr>
          <w:rFonts w:hint="eastAsia" w:ascii="Times New Roman" w:hAnsi="Times New Roman" w:eastAsia="仿宋_GB2312" w:cs="仿宋_GB2312"/>
          <w:sz w:val="32"/>
          <w:szCs w:val="32"/>
        </w:rPr>
        <w:t>，截止</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日，我单位开支财政拨款的公务用车保有量为</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仿宋_GB2312"/>
          <w:sz w:val="32"/>
          <w:szCs w:val="32"/>
        </w:rPr>
        <w:t>辆。</w:t>
      </w:r>
    </w:p>
    <w:p w14:paraId="1D041FB0">
      <w:pPr>
        <w:pStyle w:val="18"/>
        <w:spacing w:line="600" w:lineRule="exact"/>
        <w:ind w:firstLine="640" w:firstLineChars="200"/>
        <w:jc w:val="both"/>
        <w:rPr>
          <w:rFonts w:hAnsi="黑体" w:cs="Times New Roman"/>
          <w:sz w:val="32"/>
          <w:szCs w:val="32"/>
        </w:rPr>
      </w:pPr>
      <w:r>
        <w:rPr>
          <w:rFonts w:hint="eastAsia" w:hAnsi="黑体"/>
          <w:sz w:val="32"/>
          <w:szCs w:val="32"/>
        </w:rPr>
        <w:t>八、政府性基金预算收入支出决算情况</w:t>
      </w:r>
    </w:p>
    <w:p w14:paraId="68E928A9">
      <w:pPr>
        <w:pStyle w:val="18"/>
        <w:spacing w:line="600" w:lineRule="exact"/>
        <w:jc w:val="both"/>
        <w:rPr>
          <w:rFonts w:ascii="楷体" w:hAnsi="楷体" w:eastAsia="楷体" w:cs="Times New Roman"/>
          <w:b/>
          <w:bCs/>
          <w:i/>
          <w:iCs/>
          <w:color w:val="auto"/>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年度政府性基金预算财政拨款收入</w:t>
      </w:r>
      <w:r>
        <w:rPr>
          <w:rFonts w:hint="eastAsia" w:ascii="Times New Roman" w:hAnsi="Times New Roman" w:eastAsia="仿宋_GB2312" w:cs="Times New Roman"/>
          <w:sz w:val="32"/>
          <w:szCs w:val="32"/>
          <w:lang w:val="en-US" w:eastAsia="zh-CN"/>
        </w:rPr>
        <w:t>16565.35</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w:t>
      </w:r>
      <w:r>
        <w:rPr>
          <w:rFonts w:hint="eastAsia" w:ascii="Times New Roman" w:hAnsi="Times New Roman" w:eastAsia="仿宋_GB2312" w:cs="Times New Roman"/>
          <w:sz w:val="32"/>
          <w:szCs w:val="32"/>
          <w:lang w:val="en-US" w:eastAsia="zh-CN"/>
        </w:rPr>
        <w:t>16565.35</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万元，项目支出</w:t>
      </w:r>
      <w:r>
        <w:rPr>
          <w:rFonts w:hint="eastAsia" w:ascii="Times New Roman" w:hAnsi="Times New Roman" w:eastAsia="仿宋_GB2312" w:cs="Times New Roman"/>
          <w:sz w:val="32"/>
          <w:szCs w:val="32"/>
          <w:lang w:val="en-US" w:eastAsia="zh-CN"/>
        </w:rPr>
        <w:t>16565.35</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万元。具体情况如下：</w:t>
      </w:r>
    </w:p>
    <w:p w14:paraId="4742EE2F">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1、</w:t>
      </w:r>
      <w:r>
        <w:rPr>
          <w:rFonts w:hint="default" w:ascii="Times New Roman" w:hAnsi="Times New Roman" w:eastAsia="仿宋_GB2312" w:cs="Times New Roman"/>
          <w:color w:val="000000" w:themeColor="text1"/>
          <w:sz w:val="32"/>
          <w:szCs w:val="32"/>
          <w:highlight w:val="none"/>
        </w:rPr>
        <w:t>城乡社区支出</w:t>
      </w:r>
      <w:r>
        <w:rPr>
          <w:rFonts w:hint="default" w:ascii="Times New Roman" w:hAnsi="Times New Roman" w:eastAsia="仿宋_GB2312" w:cs="Times New Roman"/>
          <w:color w:val="000000" w:themeColor="text1"/>
          <w:sz w:val="32"/>
          <w:szCs w:val="32"/>
          <w:highlight w:val="none"/>
          <w:lang w:eastAsia="zh-CN"/>
        </w:rPr>
        <w:t>（类）</w:t>
      </w:r>
      <w:r>
        <w:rPr>
          <w:rFonts w:hint="default" w:ascii="Times New Roman" w:hAnsi="Times New Roman" w:eastAsia="仿宋_GB2312" w:cs="Times New Roman"/>
          <w:color w:val="000000" w:themeColor="text1"/>
          <w:sz w:val="32"/>
          <w:szCs w:val="32"/>
          <w:highlight w:val="none"/>
        </w:rPr>
        <w:t>国有土地使用权出让收入安排的支出</w:t>
      </w:r>
      <w:r>
        <w:rPr>
          <w:rFonts w:hint="default" w:ascii="Times New Roman" w:hAnsi="Times New Roman" w:eastAsia="仿宋_GB2312" w:cs="Times New Roman"/>
          <w:color w:val="000000" w:themeColor="text1"/>
          <w:sz w:val="32"/>
          <w:szCs w:val="32"/>
          <w:highlight w:val="none"/>
          <w:lang w:eastAsia="zh-CN"/>
        </w:rPr>
        <w:t>（款）</w:t>
      </w:r>
      <w:r>
        <w:rPr>
          <w:rFonts w:hint="default" w:ascii="Times New Roman" w:hAnsi="Times New Roman" w:eastAsia="仿宋_GB2312" w:cs="Times New Roman"/>
          <w:color w:val="000000" w:themeColor="text1"/>
          <w:sz w:val="32"/>
          <w:szCs w:val="32"/>
          <w:highlight w:val="none"/>
          <w:lang w:val="en-US" w:eastAsia="zh-CN"/>
        </w:rPr>
        <w:t>征地和拆迁补偿支出（项）。</w:t>
      </w:r>
    </w:p>
    <w:p w14:paraId="3B39B140">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rPr>
      </w:pPr>
      <w:r>
        <w:rPr>
          <w:rFonts w:hint="default" w:ascii="Times New Roman" w:hAnsi="Times New Roman" w:eastAsia="仿宋_GB2312" w:cs="Times New Roman"/>
          <w:color w:val="000000" w:themeColor="text1"/>
          <w:sz w:val="32"/>
          <w:szCs w:val="32"/>
        </w:rPr>
        <w:t>年初预算为</w:t>
      </w:r>
      <w:r>
        <w:rPr>
          <w:rFonts w:hint="eastAsia" w:ascii="Times New Roman" w:hAnsi="Times New Roman" w:eastAsia="仿宋_GB2312" w:cs="Times New Roman"/>
          <w:color w:val="000000" w:themeColor="text1"/>
          <w:sz w:val="32"/>
          <w:szCs w:val="32"/>
          <w:lang w:val="en-US" w:eastAsia="zh-CN"/>
        </w:rPr>
        <w:t>15000</w:t>
      </w:r>
      <w:r>
        <w:rPr>
          <w:rFonts w:hint="default" w:ascii="Times New Roman" w:hAnsi="Times New Roman" w:eastAsia="仿宋_GB2312" w:cs="Times New Roman"/>
          <w:color w:val="000000" w:themeColor="text1"/>
          <w:sz w:val="32"/>
          <w:szCs w:val="32"/>
        </w:rPr>
        <w:t>万元，支出决算为</w:t>
      </w:r>
      <w:r>
        <w:rPr>
          <w:rFonts w:hint="eastAsia" w:ascii="Times New Roman" w:hAnsi="Times New Roman" w:eastAsia="仿宋_GB2312" w:cs="Times New Roman"/>
          <w:color w:val="000000" w:themeColor="text1"/>
          <w:sz w:val="32"/>
          <w:szCs w:val="32"/>
          <w:lang w:val="en-US" w:eastAsia="zh-CN"/>
        </w:rPr>
        <w:t>7165.04</w:t>
      </w:r>
      <w:r>
        <w:rPr>
          <w:rFonts w:hint="default" w:ascii="Times New Roman" w:hAnsi="Times New Roman" w:eastAsia="仿宋_GB2312" w:cs="Times New Roman"/>
          <w:color w:val="000000" w:themeColor="text1"/>
          <w:sz w:val="32"/>
          <w:szCs w:val="32"/>
        </w:rPr>
        <w:t>万元，完成年初预算的</w:t>
      </w:r>
      <w:r>
        <w:rPr>
          <w:rFonts w:hint="eastAsia" w:ascii="Times New Roman" w:hAnsi="Times New Roman" w:eastAsia="仿宋_GB2312" w:cs="Times New Roman"/>
          <w:color w:val="000000" w:themeColor="text1"/>
          <w:sz w:val="32"/>
          <w:szCs w:val="32"/>
          <w:lang w:val="en-US" w:eastAsia="zh-CN"/>
        </w:rPr>
        <w:t>47.77</w:t>
      </w:r>
      <w:r>
        <w:rPr>
          <w:rFonts w:hint="default" w:ascii="Times New Roman" w:hAnsi="Times New Roman" w:eastAsia="仿宋_GB2312" w:cs="Times New Roman"/>
          <w:color w:val="000000" w:themeColor="text1"/>
          <w:sz w:val="32"/>
          <w:szCs w:val="32"/>
        </w:rPr>
        <w:t>%，决算数小于年初预算数的主要原因是：</w:t>
      </w:r>
      <w:r>
        <w:rPr>
          <w:rFonts w:hint="default" w:ascii="Times New Roman" w:hAnsi="Times New Roman" w:eastAsia="仿宋_GB2312" w:cs="Times New Roman"/>
          <w:color w:val="000000" w:themeColor="text1"/>
          <w:sz w:val="32"/>
          <w:szCs w:val="32"/>
          <w:lang w:val="en-US" w:eastAsia="zh-CN"/>
        </w:rPr>
        <w:t>202</w:t>
      </w:r>
      <w:r>
        <w:rPr>
          <w:rFonts w:hint="eastAsia" w:ascii="Times New Roman" w:hAnsi="Times New Roman" w:eastAsia="仿宋_GB2312" w:cs="Times New Roman"/>
          <w:color w:val="000000" w:themeColor="text1"/>
          <w:sz w:val="32"/>
          <w:szCs w:val="32"/>
          <w:lang w:val="en-US" w:eastAsia="zh-CN"/>
        </w:rPr>
        <w:t>4</w:t>
      </w:r>
      <w:r>
        <w:rPr>
          <w:rFonts w:hint="default" w:ascii="Times New Roman" w:hAnsi="Times New Roman" w:eastAsia="仿宋_GB2312" w:cs="Times New Roman"/>
          <w:color w:val="000000" w:themeColor="text1"/>
          <w:sz w:val="32"/>
          <w:szCs w:val="32"/>
          <w:lang w:val="en-US" w:eastAsia="zh-CN"/>
        </w:rPr>
        <w:t>年收入</w:t>
      </w:r>
      <w:r>
        <w:rPr>
          <w:rFonts w:hint="eastAsia" w:ascii="Times New Roman" w:hAnsi="Times New Roman" w:eastAsia="仿宋_GB2312" w:cs="Times New Roman"/>
          <w:color w:val="000000" w:themeColor="text1"/>
          <w:sz w:val="32"/>
          <w:szCs w:val="32"/>
          <w:lang w:val="en-US" w:eastAsia="zh-CN"/>
        </w:rPr>
        <w:t>不及预期</w:t>
      </w:r>
      <w:r>
        <w:rPr>
          <w:rFonts w:hint="default" w:ascii="Times New Roman" w:hAnsi="Times New Roman" w:eastAsia="仿宋_GB2312" w:cs="Times New Roman"/>
          <w:color w:val="000000" w:themeColor="text1"/>
          <w:sz w:val="32"/>
          <w:szCs w:val="32"/>
          <w:lang w:val="en-US" w:eastAsia="zh-CN"/>
        </w:rPr>
        <w:t>，支出相应减少。</w:t>
      </w:r>
    </w:p>
    <w:p w14:paraId="70B3BD09">
      <w:pPr>
        <w:pStyle w:val="18"/>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highlight w:val="none"/>
          <w:lang w:val="en-US" w:eastAsia="zh-CN"/>
        </w:rPr>
        <w:t>2、</w:t>
      </w:r>
      <w:r>
        <w:rPr>
          <w:rFonts w:hint="default" w:ascii="Times New Roman" w:hAnsi="Times New Roman" w:eastAsia="仿宋_GB2312" w:cs="Times New Roman"/>
          <w:color w:val="000000" w:themeColor="text1"/>
          <w:sz w:val="32"/>
          <w:szCs w:val="32"/>
          <w:highlight w:val="none"/>
        </w:rPr>
        <w:t>城乡社区支出</w:t>
      </w:r>
      <w:r>
        <w:rPr>
          <w:rFonts w:hint="default" w:ascii="Times New Roman" w:hAnsi="Times New Roman" w:eastAsia="仿宋_GB2312" w:cs="Times New Roman"/>
          <w:color w:val="000000" w:themeColor="text1"/>
          <w:sz w:val="32"/>
          <w:szCs w:val="32"/>
          <w:highlight w:val="none"/>
          <w:lang w:eastAsia="zh-CN"/>
        </w:rPr>
        <w:t>（类）</w:t>
      </w:r>
      <w:r>
        <w:rPr>
          <w:rFonts w:hint="default" w:ascii="Times New Roman" w:hAnsi="Times New Roman" w:eastAsia="仿宋_GB2312" w:cs="Times New Roman"/>
          <w:color w:val="000000" w:themeColor="text1"/>
          <w:sz w:val="32"/>
          <w:szCs w:val="32"/>
          <w:highlight w:val="none"/>
        </w:rPr>
        <w:t>国有土地使用权出让收入安排的支出</w:t>
      </w:r>
      <w:r>
        <w:rPr>
          <w:rFonts w:hint="default" w:ascii="Times New Roman" w:hAnsi="Times New Roman" w:eastAsia="仿宋_GB2312" w:cs="Times New Roman"/>
          <w:color w:val="000000" w:themeColor="text1"/>
          <w:sz w:val="32"/>
          <w:szCs w:val="32"/>
          <w:highlight w:val="none"/>
          <w:lang w:eastAsia="zh-CN"/>
        </w:rPr>
        <w:t>（款）</w:t>
      </w:r>
      <w:r>
        <w:rPr>
          <w:rFonts w:hint="default" w:ascii="Times New Roman" w:hAnsi="Times New Roman" w:eastAsia="仿宋_GB2312" w:cs="Times New Roman"/>
          <w:color w:val="000000" w:themeColor="text1"/>
          <w:sz w:val="32"/>
          <w:szCs w:val="32"/>
          <w:highlight w:val="none"/>
          <w:lang w:val="en-US" w:eastAsia="zh-CN"/>
        </w:rPr>
        <w:tab/>
      </w:r>
      <w:r>
        <w:rPr>
          <w:rFonts w:hint="default" w:ascii="Times New Roman" w:hAnsi="Times New Roman" w:eastAsia="仿宋_GB2312" w:cs="Times New Roman"/>
          <w:color w:val="000000" w:themeColor="text1"/>
          <w:sz w:val="32"/>
          <w:szCs w:val="32"/>
          <w:highlight w:val="none"/>
          <w:lang w:val="en-US" w:eastAsia="zh-CN"/>
        </w:rPr>
        <w:t>城市建设支出（项）。</w:t>
      </w:r>
    </w:p>
    <w:p w14:paraId="42FF3534">
      <w:pPr>
        <w:pStyle w:val="18"/>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rPr>
      </w:pPr>
      <w:r>
        <w:rPr>
          <w:rFonts w:hint="default" w:ascii="Times New Roman" w:hAnsi="Times New Roman" w:eastAsia="仿宋_GB2312" w:cs="Times New Roman"/>
          <w:color w:val="000000" w:themeColor="text1"/>
          <w:sz w:val="32"/>
          <w:szCs w:val="32"/>
        </w:rPr>
        <w:t>年初预算为</w:t>
      </w:r>
      <w:r>
        <w:rPr>
          <w:rFonts w:hint="eastAsia" w:ascii="Times New Roman" w:hAnsi="Times New Roman" w:eastAsia="仿宋_GB2312" w:cs="Times New Roman"/>
          <w:color w:val="000000" w:themeColor="text1"/>
          <w:sz w:val="32"/>
          <w:szCs w:val="32"/>
          <w:lang w:val="en-US" w:eastAsia="zh-CN"/>
        </w:rPr>
        <w:t>15000</w:t>
      </w:r>
      <w:r>
        <w:rPr>
          <w:rFonts w:hint="default" w:ascii="Times New Roman" w:hAnsi="Times New Roman" w:eastAsia="仿宋_GB2312" w:cs="Times New Roman"/>
          <w:color w:val="000000" w:themeColor="text1"/>
          <w:sz w:val="32"/>
          <w:szCs w:val="32"/>
        </w:rPr>
        <w:t>万元，支出决算为</w:t>
      </w:r>
      <w:r>
        <w:rPr>
          <w:rFonts w:hint="eastAsia" w:ascii="Times New Roman" w:hAnsi="Times New Roman" w:eastAsia="仿宋_GB2312" w:cs="Times New Roman"/>
          <w:color w:val="000000" w:themeColor="text1"/>
          <w:sz w:val="32"/>
          <w:szCs w:val="32"/>
          <w:lang w:val="en-US" w:eastAsia="zh-CN"/>
        </w:rPr>
        <w:t>4844.74</w:t>
      </w:r>
      <w:r>
        <w:rPr>
          <w:rFonts w:hint="default" w:ascii="Times New Roman" w:hAnsi="Times New Roman" w:eastAsia="仿宋_GB2312" w:cs="Times New Roman"/>
          <w:color w:val="000000" w:themeColor="text1"/>
          <w:sz w:val="32"/>
          <w:szCs w:val="32"/>
        </w:rPr>
        <w:t>万元，完成年初预算的</w:t>
      </w:r>
      <w:r>
        <w:rPr>
          <w:rFonts w:hint="eastAsia" w:ascii="Times New Roman" w:hAnsi="Times New Roman" w:eastAsia="仿宋_GB2312" w:cs="Times New Roman"/>
          <w:color w:val="000000" w:themeColor="text1"/>
          <w:sz w:val="32"/>
          <w:szCs w:val="32"/>
          <w:lang w:val="en-US" w:eastAsia="zh-CN"/>
        </w:rPr>
        <w:t>32.3</w:t>
      </w:r>
      <w:r>
        <w:rPr>
          <w:rFonts w:hint="default" w:ascii="Times New Roman" w:hAnsi="Times New Roman" w:eastAsia="仿宋_GB2312" w:cs="Times New Roman"/>
          <w:color w:val="000000" w:themeColor="text1"/>
          <w:sz w:val="32"/>
          <w:szCs w:val="32"/>
        </w:rPr>
        <w:t>%，决算数小于年初预算数的主要原因是：</w:t>
      </w:r>
      <w:r>
        <w:rPr>
          <w:rFonts w:hint="default" w:ascii="Times New Roman" w:hAnsi="Times New Roman" w:eastAsia="仿宋_GB2312" w:cs="Times New Roman"/>
          <w:color w:val="000000" w:themeColor="text1"/>
          <w:sz w:val="32"/>
          <w:szCs w:val="32"/>
          <w:lang w:val="en-US" w:eastAsia="zh-CN"/>
        </w:rPr>
        <w:t>202</w:t>
      </w:r>
      <w:r>
        <w:rPr>
          <w:rFonts w:hint="eastAsia" w:ascii="Times New Roman" w:hAnsi="Times New Roman" w:eastAsia="仿宋_GB2312" w:cs="Times New Roman"/>
          <w:color w:val="000000" w:themeColor="text1"/>
          <w:sz w:val="32"/>
          <w:szCs w:val="32"/>
          <w:lang w:val="en-US" w:eastAsia="zh-CN"/>
        </w:rPr>
        <w:t>4</w:t>
      </w:r>
      <w:r>
        <w:rPr>
          <w:rFonts w:hint="default" w:ascii="Times New Roman" w:hAnsi="Times New Roman" w:eastAsia="仿宋_GB2312" w:cs="Times New Roman"/>
          <w:color w:val="000000" w:themeColor="text1"/>
          <w:sz w:val="32"/>
          <w:szCs w:val="32"/>
          <w:lang w:val="en-US" w:eastAsia="zh-CN"/>
        </w:rPr>
        <w:t>年收入</w:t>
      </w:r>
      <w:r>
        <w:rPr>
          <w:rFonts w:hint="eastAsia" w:ascii="Times New Roman" w:hAnsi="Times New Roman" w:eastAsia="仿宋_GB2312" w:cs="Times New Roman"/>
          <w:color w:val="000000" w:themeColor="text1"/>
          <w:sz w:val="32"/>
          <w:szCs w:val="32"/>
          <w:lang w:val="en-US" w:eastAsia="zh-CN"/>
        </w:rPr>
        <w:t>不及预期</w:t>
      </w:r>
      <w:r>
        <w:rPr>
          <w:rFonts w:hint="default" w:ascii="Times New Roman" w:hAnsi="Times New Roman" w:eastAsia="仿宋_GB2312" w:cs="Times New Roman"/>
          <w:color w:val="000000" w:themeColor="text1"/>
          <w:sz w:val="32"/>
          <w:szCs w:val="32"/>
          <w:lang w:val="en-US" w:eastAsia="zh-CN"/>
        </w:rPr>
        <w:t xml:space="preserve">，支出相应减少。                  </w:t>
      </w:r>
    </w:p>
    <w:p w14:paraId="479E7B7C">
      <w:pPr>
        <w:pStyle w:val="18"/>
        <w:keepNext w:val="0"/>
        <w:keepLines w:val="0"/>
        <w:pageBreakBefore w:val="0"/>
        <w:widowControl w:val="0"/>
        <w:numPr>
          <w:ilvl w:val="0"/>
          <w:numId w:val="0"/>
        </w:numPr>
        <w:kinsoku/>
        <w:wordWrap/>
        <w:overflowPunct/>
        <w:topLinePunct w:val="0"/>
        <w:bidi w:val="0"/>
        <w:snapToGrid/>
        <w:spacing w:line="560" w:lineRule="exact"/>
        <w:jc w:val="both"/>
        <w:textAlignment w:val="auto"/>
        <w:rPr>
          <w:rFonts w:hint="default" w:ascii="Times New Roman" w:hAnsi="Times New Roman" w:eastAsia="仿宋_GB2312" w:cs="Times New Roman"/>
          <w:color w:val="000000" w:themeColor="text1"/>
          <w:sz w:val="32"/>
          <w:szCs w:val="32"/>
          <w:lang w:val="en-US" w:eastAsia="zh-CN"/>
        </w:rPr>
      </w:pPr>
      <w:r>
        <w:rPr>
          <w:rFonts w:hint="default" w:ascii="Times New Roman" w:hAnsi="Times New Roman" w:eastAsia="仿宋_GB2312" w:cs="Times New Roman"/>
          <w:color w:val="000000" w:themeColor="text1"/>
          <w:sz w:val="32"/>
          <w:szCs w:val="32"/>
          <w:lang w:val="en-US" w:eastAsia="zh-CN"/>
        </w:rPr>
        <w:t xml:space="preserve"> </w:t>
      </w:r>
      <w:r>
        <w:rPr>
          <w:rFonts w:hint="eastAsia" w:ascii="Times New Roman" w:hAnsi="Times New Roman" w:eastAsia="仿宋_GB2312" w:cs="Times New Roman"/>
          <w:color w:val="000000" w:themeColor="text1"/>
          <w:sz w:val="32"/>
          <w:szCs w:val="32"/>
          <w:lang w:val="en-US" w:eastAsia="zh-CN"/>
        </w:rPr>
        <w:t xml:space="preserve">  3</w:t>
      </w:r>
      <w:r>
        <w:rPr>
          <w:rFonts w:hint="default" w:ascii="Times New Roman" w:hAnsi="Times New Roman" w:eastAsia="仿宋_GB2312" w:cs="Times New Roman"/>
          <w:color w:val="000000" w:themeColor="text1"/>
          <w:sz w:val="32"/>
          <w:szCs w:val="32"/>
          <w:lang w:val="en-US" w:eastAsia="zh-CN"/>
        </w:rPr>
        <w:t>、</w:t>
      </w:r>
      <w:r>
        <w:rPr>
          <w:rFonts w:hint="default" w:ascii="Times New Roman" w:hAnsi="Times New Roman" w:eastAsia="仿宋_GB2312" w:cs="Times New Roman"/>
          <w:color w:val="000000" w:themeColor="text1"/>
          <w:sz w:val="32"/>
          <w:szCs w:val="32"/>
          <w:lang w:eastAsia="zh-CN"/>
        </w:rPr>
        <w:t>债务付息支出（类）地方政府专项债务付息支出（款）其他政府性基金债务付息支出</w:t>
      </w:r>
      <w:r>
        <w:rPr>
          <w:rFonts w:hint="default" w:ascii="Times New Roman" w:hAnsi="Times New Roman" w:eastAsia="仿宋_GB2312" w:cs="Times New Roman"/>
          <w:color w:val="000000" w:themeColor="text1"/>
          <w:sz w:val="32"/>
          <w:szCs w:val="32"/>
          <w:lang w:val="en-US" w:eastAsia="zh-CN"/>
        </w:rPr>
        <w:t>（项）。</w:t>
      </w:r>
    </w:p>
    <w:p w14:paraId="5EC1936D">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lang w:val="en-US" w:eastAsia="zh-CN"/>
        </w:rPr>
      </w:pPr>
      <w:r>
        <w:rPr>
          <w:rFonts w:hint="default" w:ascii="Times New Roman" w:hAnsi="Times New Roman" w:eastAsia="仿宋_GB2312" w:cs="Times New Roman"/>
          <w:color w:val="000000" w:themeColor="text1"/>
          <w:sz w:val="32"/>
          <w:szCs w:val="32"/>
        </w:rPr>
        <w:t>年初预算为</w:t>
      </w:r>
      <w:r>
        <w:rPr>
          <w:rFonts w:hint="eastAsia" w:ascii="Times New Roman" w:hAnsi="Times New Roman" w:eastAsia="仿宋_GB2312" w:cs="Times New Roman"/>
          <w:color w:val="000000" w:themeColor="text1"/>
          <w:sz w:val="32"/>
          <w:szCs w:val="32"/>
          <w:lang w:val="en-US" w:eastAsia="zh-CN"/>
        </w:rPr>
        <w:t>30000</w:t>
      </w:r>
      <w:r>
        <w:rPr>
          <w:rFonts w:hint="default" w:ascii="Times New Roman" w:hAnsi="Times New Roman" w:eastAsia="仿宋_GB2312" w:cs="Times New Roman"/>
          <w:color w:val="000000" w:themeColor="text1"/>
          <w:sz w:val="32"/>
          <w:szCs w:val="32"/>
        </w:rPr>
        <w:t>万元，支出决算为</w:t>
      </w:r>
      <w:r>
        <w:rPr>
          <w:rFonts w:hint="eastAsia" w:ascii="Times New Roman" w:hAnsi="Times New Roman" w:eastAsia="仿宋_GB2312" w:cs="Times New Roman"/>
          <w:color w:val="000000" w:themeColor="text1"/>
          <w:sz w:val="32"/>
          <w:szCs w:val="32"/>
          <w:lang w:val="en-US" w:eastAsia="zh-CN"/>
        </w:rPr>
        <w:t>4555.57</w:t>
      </w:r>
      <w:r>
        <w:rPr>
          <w:rFonts w:hint="default" w:ascii="Times New Roman" w:hAnsi="Times New Roman" w:eastAsia="仿宋_GB2312" w:cs="Times New Roman"/>
          <w:color w:val="000000" w:themeColor="text1"/>
          <w:sz w:val="32"/>
          <w:szCs w:val="32"/>
        </w:rPr>
        <w:t>万元，完成年初预算的</w:t>
      </w:r>
      <w:r>
        <w:rPr>
          <w:rFonts w:hint="eastAsia" w:ascii="Times New Roman" w:hAnsi="Times New Roman" w:eastAsia="仿宋_GB2312" w:cs="Times New Roman"/>
          <w:color w:val="000000" w:themeColor="text1"/>
          <w:sz w:val="32"/>
          <w:szCs w:val="32"/>
          <w:lang w:val="en-US" w:eastAsia="zh-CN"/>
        </w:rPr>
        <w:t>15.19</w:t>
      </w:r>
      <w:r>
        <w:rPr>
          <w:rFonts w:hint="default" w:ascii="Times New Roman" w:hAnsi="Times New Roman" w:eastAsia="仿宋_GB2312" w:cs="Times New Roman"/>
          <w:color w:val="000000" w:themeColor="text1"/>
          <w:sz w:val="32"/>
          <w:szCs w:val="32"/>
        </w:rPr>
        <w:t>%，决算数小于年初预算数的主要原因是：</w:t>
      </w:r>
      <w:r>
        <w:rPr>
          <w:rFonts w:hint="default" w:ascii="Times New Roman" w:hAnsi="Times New Roman" w:eastAsia="仿宋_GB2312" w:cs="Times New Roman"/>
          <w:color w:val="000000" w:themeColor="text1"/>
          <w:sz w:val="32"/>
          <w:szCs w:val="32"/>
          <w:lang w:val="en-US" w:eastAsia="zh-CN"/>
        </w:rPr>
        <w:t>202</w:t>
      </w:r>
      <w:r>
        <w:rPr>
          <w:rFonts w:hint="eastAsia" w:ascii="Times New Roman" w:hAnsi="Times New Roman" w:eastAsia="仿宋_GB2312" w:cs="Times New Roman"/>
          <w:color w:val="000000" w:themeColor="text1"/>
          <w:sz w:val="32"/>
          <w:szCs w:val="32"/>
          <w:lang w:val="en-US" w:eastAsia="zh-CN"/>
        </w:rPr>
        <w:t>4</w:t>
      </w:r>
      <w:r>
        <w:rPr>
          <w:rFonts w:hint="default" w:ascii="Times New Roman" w:hAnsi="Times New Roman" w:eastAsia="仿宋_GB2312" w:cs="Times New Roman"/>
          <w:color w:val="000000" w:themeColor="text1"/>
          <w:sz w:val="32"/>
          <w:szCs w:val="32"/>
          <w:lang w:val="en-US" w:eastAsia="zh-CN"/>
        </w:rPr>
        <w:t>年收入</w:t>
      </w:r>
      <w:r>
        <w:rPr>
          <w:rFonts w:hint="eastAsia" w:ascii="Times New Roman" w:hAnsi="Times New Roman" w:eastAsia="仿宋_GB2312" w:cs="Times New Roman"/>
          <w:color w:val="000000" w:themeColor="text1"/>
          <w:sz w:val="32"/>
          <w:szCs w:val="32"/>
          <w:lang w:val="en-US" w:eastAsia="zh-CN"/>
        </w:rPr>
        <w:t>不及预期</w:t>
      </w:r>
      <w:r>
        <w:rPr>
          <w:rFonts w:hint="default" w:ascii="Times New Roman" w:hAnsi="Times New Roman" w:eastAsia="仿宋_GB2312" w:cs="Times New Roman"/>
          <w:color w:val="000000" w:themeColor="text1"/>
          <w:sz w:val="32"/>
          <w:szCs w:val="32"/>
          <w:lang w:val="en-US" w:eastAsia="zh-CN"/>
        </w:rPr>
        <w:t>，支出相应减少。</w:t>
      </w:r>
    </w:p>
    <w:p w14:paraId="13D70A68">
      <w:pPr>
        <w:pStyle w:val="18"/>
        <w:keepNext w:val="0"/>
        <w:keepLines w:val="0"/>
        <w:pageBreakBefore w:val="0"/>
        <w:widowControl w:val="0"/>
        <w:numPr>
          <w:ilvl w:val="0"/>
          <w:numId w:val="0"/>
        </w:numPr>
        <w:kinsoku/>
        <w:wordWrap/>
        <w:overflowPunct/>
        <w:topLinePunct w:val="0"/>
        <w:bidi w:val="0"/>
        <w:snapToGrid/>
        <w:spacing w:line="560" w:lineRule="exact"/>
        <w:ind w:leftChars="200"/>
        <w:jc w:val="both"/>
        <w:textAlignment w:val="auto"/>
        <w:rPr>
          <w:rFonts w:ascii="Times New Roman" w:hAnsi="Times New Roman" w:eastAsia="仿宋_GB2312" w:cs="Times New Roman"/>
          <w:b/>
          <w:bCs/>
          <w:color w:val="auto"/>
          <w:sz w:val="32"/>
          <w:szCs w:val="32"/>
        </w:rPr>
      </w:pPr>
      <w:r>
        <w:rPr>
          <w:rFonts w:hint="default" w:ascii="Times New Roman" w:hAnsi="Times New Roman" w:eastAsia="仿宋_GB2312" w:cs="Times New Roman"/>
          <w:color w:val="000000" w:themeColor="text1"/>
          <w:sz w:val="32"/>
          <w:szCs w:val="32"/>
          <w:lang w:val="en-US" w:eastAsia="zh-CN"/>
        </w:rPr>
        <w:t xml:space="preserve">  </w:t>
      </w:r>
      <w:r>
        <w:rPr>
          <w:rFonts w:hint="eastAsia" w:ascii="Times New Roman" w:hAnsi="Times New Roman" w:eastAsia="仿宋_GB2312" w:cs="仿宋_GB2312"/>
          <w:b/>
          <w:bCs/>
          <w:color w:val="auto"/>
          <w:sz w:val="32"/>
          <w:szCs w:val="32"/>
        </w:rPr>
        <w:t>九、关于机关运行经费支出说明</w:t>
      </w:r>
    </w:p>
    <w:p w14:paraId="68FB8470">
      <w:pPr>
        <w:pStyle w:val="18"/>
        <w:spacing w:line="600" w:lineRule="exact"/>
        <w:ind w:firstLine="640" w:firstLineChars="200"/>
        <w:jc w:val="both"/>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195.64</w:t>
      </w:r>
      <w:r>
        <w:rPr>
          <w:rFonts w:hint="eastAsia" w:ascii="Times New Roman" w:hAnsi="Times New Roman" w:eastAsia="仿宋_GB2312" w:cs="仿宋_GB2312"/>
          <w:sz w:val="32"/>
          <w:szCs w:val="32"/>
        </w:rPr>
        <w:t>万元，比上年决算数增加</w:t>
      </w:r>
      <w:r>
        <w:rPr>
          <w:rFonts w:hint="eastAsia" w:ascii="Times New Roman" w:hAnsi="Times New Roman" w:eastAsia="仿宋_GB2312" w:cs="Times New Roman"/>
          <w:sz w:val="32"/>
          <w:szCs w:val="32"/>
          <w:lang w:val="en-US" w:eastAsia="zh-CN"/>
        </w:rPr>
        <w:t>27.43</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16.3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w:t>
      </w:r>
      <w:r>
        <w:rPr>
          <w:rFonts w:hint="eastAsia" w:ascii="Times New Roman" w:hAnsi="Times New Roman" w:eastAsia="仿宋_GB2312" w:cs="仿宋_GB2312"/>
          <w:sz w:val="32"/>
          <w:szCs w:val="32"/>
          <w:lang w:eastAsia="zh-CN"/>
        </w:rPr>
        <w:t>创业大厦年久维护费增加</w:t>
      </w:r>
      <w:r>
        <w:rPr>
          <w:rFonts w:hint="eastAsia" w:ascii="Times New Roman" w:hAnsi="Times New Roman" w:eastAsia="仿宋_GB2312" w:cs="仿宋_GB2312"/>
          <w:sz w:val="32"/>
          <w:szCs w:val="32"/>
        </w:rPr>
        <w:t>。</w:t>
      </w:r>
    </w:p>
    <w:p w14:paraId="02D2B95C">
      <w:pPr>
        <w:pStyle w:val="18"/>
        <w:spacing w:line="600" w:lineRule="exact"/>
        <w:ind w:firstLine="640" w:firstLineChars="200"/>
        <w:jc w:val="both"/>
        <w:rPr>
          <w:rFonts w:hAnsi="黑体" w:cs="Times New Roman"/>
          <w:sz w:val="32"/>
          <w:szCs w:val="32"/>
        </w:rPr>
      </w:pPr>
      <w:r>
        <w:rPr>
          <w:rFonts w:hint="eastAsia" w:hAnsi="黑体"/>
          <w:sz w:val="32"/>
          <w:szCs w:val="32"/>
        </w:rPr>
        <w:t>十、一般性支出情况说明</w:t>
      </w:r>
    </w:p>
    <w:p w14:paraId="2AA7F21E">
      <w:pPr>
        <w:pStyle w:val="18"/>
        <w:keepNext w:val="0"/>
        <w:keepLines w:val="0"/>
        <w:pageBreakBefore w:val="0"/>
        <w:widowControl w:val="0"/>
        <w:kinsoku/>
        <w:wordWrap/>
        <w:overflowPunct/>
        <w:topLinePunct w:val="0"/>
        <w:bidi w:val="0"/>
        <w:snapToGrid/>
        <w:spacing w:line="560" w:lineRule="exact"/>
        <w:ind w:firstLine="640" w:firstLineChars="200"/>
        <w:jc w:val="both"/>
        <w:textAlignment w:val="auto"/>
        <w:outlineLvl w:val="1"/>
        <w:rPr>
          <w:rFonts w:hint="default" w:ascii="Times New Roman" w:hAnsi="Times New Roman" w:eastAsia="黑体" w:cs="Times New Roman"/>
          <w:b w:val="0"/>
          <w:bCs w:val="0"/>
          <w:color w:val="auto"/>
          <w:sz w:val="32"/>
          <w:szCs w:val="32"/>
          <w:highlight w:val="none"/>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1.4</w:t>
      </w:r>
      <w:r>
        <w:rPr>
          <w:rFonts w:hint="eastAsia" w:ascii="Times New Roman" w:hAnsi="Times New Roman" w:eastAsia="仿宋_GB2312" w:cs="仿宋_GB2312"/>
          <w:sz w:val="32"/>
          <w:szCs w:val="32"/>
        </w:rPr>
        <w:t>万元，</w:t>
      </w:r>
      <w:r>
        <w:rPr>
          <w:rFonts w:hint="default" w:ascii="Times New Roman" w:hAnsi="Times New Roman" w:eastAsia="仿宋_GB2312" w:cs="Times New Roman"/>
          <w:kern w:val="0"/>
          <w:sz w:val="32"/>
          <w:szCs w:val="32"/>
          <w:highlight w:val="none"/>
        </w:rPr>
        <w:t>用于</w:t>
      </w:r>
      <w:r>
        <w:rPr>
          <w:rFonts w:hint="default" w:ascii="Times New Roman" w:hAnsi="Times New Roman" w:eastAsia="仿宋_GB2312" w:cs="Times New Roman"/>
          <w:sz w:val="32"/>
          <w:szCs w:val="32"/>
          <w:highlight w:val="none"/>
          <w:lang w:eastAsia="zh-CN"/>
        </w:rPr>
        <w:t>召开非公</w:t>
      </w:r>
      <w:r>
        <w:rPr>
          <w:rFonts w:hint="default" w:ascii="Times New Roman" w:hAnsi="Times New Roman" w:eastAsia="仿宋_GB2312" w:cs="Times New Roman"/>
          <w:sz w:val="32"/>
          <w:szCs w:val="32"/>
          <w:highlight w:val="none"/>
        </w:rPr>
        <w:t>支部书记</w:t>
      </w:r>
      <w:r>
        <w:rPr>
          <w:rFonts w:hint="default" w:ascii="Times New Roman" w:hAnsi="Times New Roman" w:eastAsia="仿宋_GB2312" w:cs="Times New Roman"/>
          <w:sz w:val="32"/>
          <w:szCs w:val="32"/>
          <w:highlight w:val="none"/>
          <w:lang w:eastAsia="zh-CN"/>
        </w:rPr>
        <w:t>会议，人数</w:t>
      </w:r>
      <w:r>
        <w:rPr>
          <w:rFonts w:hint="default" w:ascii="Times New Roman" w:hAnsi="Times New Roman" w:eastAsia="仿宋_GB2312" w:cs="Times New Roman"/>
          <w:sz w:val="32"/>
          <w:szCs w:val="32"/>
          <w:highlight w:val="none"/>
          <w:lang w:val="en-US" w:eastAsia="zh-CN"/>
        </w:rPr>
        <w:t>200人，内容为</w:t>
      </w:r>
      <w:r>
        <w:rPr>
          <w:rFonts w:hint="default" w:ascii="Times New Roman" w:hAnsi="Times New Roman" w:eastAsia="仿宋_GB2312" w:cs="Times New Roman"/>
          <w:sz w:val="32"/>
          <w:szCs w:val="32"/>
          <w:highlight w:val="none"/>
        </w:rPr>
        <w:t>非公有制企业委员会支部书记</w:t>
      </w:r>
      <w:r>
        <w:rPr>
          <w:rFonts w:hint="default" w:ascii="Times New Roman" w:hAnsi="Times New Roman" w:eastAsia="仿宋_GB2312" w:cs="Times New Roman"/>
          <w:sz w:val="32"/>
          <w:szCs w:val="32"/>
          <w:highlight w:val="none"/>
          <w:lang w:eastAsia="zh-CN"/>
        </w:rPr>
        <w:t>会议</w:t>
      </w:r>
      <w:r>
        <w:rPr>
          <w:rFonts w:hint="default" w:ascii="Times New Roman" w:hAnsi="Times New Roman" w:eastAsia="仿宋_GB2312" w:cs="Times New Roman"/>
          <w:kern w:val="0"/>
          <w:sz w:val="32"/>
          <w:szCs w:val="32"/>
          <w:highlight w:val="none"/>
        </w:rPr>
        <w:t>；开支培训费</w:t>
      </w:r>
      <w:r>
        <w:rPr>
          <w:rFonts w:hint="default" w:ascii="Times New Roman" w:hAnsi="Times New Roman" w:eastAsia="仿宋_GB2312" w:cs="Times New Roman"/>
          <w:kern w:val="0"/>
          <w:sz w:val="32"/>
          <w:szCs w:val="32"/>
          <w:highlight w:val="none"/>
          <w:lang w:val="en-US" w:eastAsia="zh-CN"/>
        </w:rPr>
        <w:t>2.</w:t>
      </w:r>
      <w:r>
        <w:rPr>
          <w:rFonts w:hint="eastAsia" w:ascii="Times New Roman" w:hAnsi="Times New Roman" w:eastAsia="仿宋_GB2312" w:cs="Times New Roman"/>
          <w:kern w:val="0"/>
          <w:sz w:val="32"/>
          <w:szCs w:val="32"/>
          <w:highlight w:val="none"/>
          <w:lang w:val="en-US" w:eastAsia="zh-CN"/>
        </w:rPr>
        <w:t>18</w:t>
      </w:r>
      <w:r>
        <w:rPr>
          <w:rFonts w:hint="default" w:ascii="Times New Roman" w:hAnsi="Times New Roman" w:eastAsia="仿宋_GB2312" w:cs="Times New Roman"/>
          <w:kern w:val="0"/>
          <w:sz w:val="32"/>
          <w:szCs w:val="32"/>
          <w:highlight w:val="none"/>
        </w:rPr>
        <w:t>万元，用于开展</w:t>
      </w:r>
      <w:r>
        <w:rPr>
          <w:rFonts w:hint="default" w:ascii="Times New Roman" w:hAnsi="Times New Roman" w:eastAsia="仿宋_GB2312" w:cs="Times New Roman"/>
          <w:kern w:val="0"/>
          <w:sz w:val="32"/>
          <w:szCs w:val="32"/>
          <w:highlight w:val="none"/>
          <w:lang w:eastAsia="zh-CN"/>
        </w:rPr>
        <w:t>业务及知识</w:t>
      </w:r>
      <w:r>
        <w:rPr>
          <w:rFonts w:hint="default" w:ascii="Times New Roman" w:hAnsi="Times New Roman" w:eastAsia="仿宋_GB2312" w:cs="Times New Roman"/>
          <w:kern w:val="0"/>
          <w:sz w:val="32"/>
          <w:szCs w:val="32"/>
          <w:highlight w:val="none"/>
        </w:rPr>
        <w:t>培训，人数</w:t>
      </w:r>
      <w:r>
        <w:rPr>
          <w:rFonts w:hint="default" w:ascii="Times New Roman" w:hAnsi="Times New Roman" w:eastAsia="仿宋_GB2312" w:cs="Times New Roman"/>
          <w:kern w:val="0"/>
          <w:sz w:val="32"/>
          <w:szCs w:val="32"/>
          <w:highlight w:val="none"/>
          <w:lang w:val="en-US" w:eastAsia="zh-CN"/>
        </w:rPr>
        <w:t>8</w:t>
      </w:r>
      <w:r>
        <w:rPr>
          <w:rFonts w:hint="eastAsia" w:ascii="Times New Roman" w:hAnsi="Times New Roman" w:eastAsia="仿宋_GB2312" w:cs="Times New Roman"/>
          <w:kern w:val="0"/>
          <w:sz w:val="32"/>
          <w:szCs w:val="32"/>
          <w:highlight w:val="none"/>
          <w:lang w:val="en-US" w:eastAsia="zh-CN"/>
        </w:rPr>
        <w:t>05</w:t>
      </w:r>
      <w:r>
        <w:rPr>
          <w:rFonts w:hint="default" w:ascii="Times New Roman" w:hAnsi="Times New Roman" w:eastAsia="仿宋_GB2312" w:cs="Times New Roman"/>
          <w:kern w:val="0"/>
          <w:sz w:val="32"/>
          <w:szCs w:val="32"/>
          <w:highlight w:val="none"/>
        </w:rPr>
        <w:t>人，内容为</w:t>
      </w:r>
      <w:r>
        <w:rPr>
          <w:rFonts w:hint="default" w:ascii="Times New Roman" w:hAnsi="Times New Roman" w:eastAsia="仿宋_GB2312" w:cs="Times New Roman"/>
          <w:sz w:val="32"/>
          <w:szCs w:val="32"/>
          <w:highlight w:val="none"/>
        </w:rPr>
        <w:t>天易学院培训及其他业务培训</w:t>
      </w:r>
      <w:r>
        <w:rPr>
          <w:rFonts w:hint="default" w:ascii="Times New Roman" w:hAnsi="Times New Roman" w:eastAsia="仿宋_GB2312" w:cs="Times New Roman"/>
          <w:kern w:val="0"/>
          <w:sz w:val="32"/>
          <w:szCs w:val="32"/>
          <w:highlight w:val="none"/>
        </w:rPr>
        <w:t>；</w:t>
      </w:r>
      <w:r>
        <w:rPr>
          <w:rFonts w:hint="default" w:ascii="Times New Roman" w:hAnsi="Times New Roman" w:eastAsia="仿宋_GB2312" w:cs="Times New Roman"/>
          <w:kern w:val="0"/>
          <w:sz w:val="32"/>
          <w:szCs w:val="32"/>
          <w:highlight w:val="none"/>
          <w:lang w:eastAsia="zh-CN"/>
        </w:rPr>
        <w:t>没有</w:t>
      </w:r>
      <w:r>
        <w:rPr>
          <w:rFonts w:hint="default" w:ascii="Times New Roman" w:hAnsi="Times New Roman" w:eastAsia="仿宋_GB2312" w:cs="Times New Roman"/>
          <w:kern w:val="0"/>
          <w:sz w:val="32"/>
          <w:szCs w:val="32"/>
          <w:highlight w:val="none"/>
        </w:rPr>
        <w:t>举办节庆、晚会、论坛、赛事活动。</w:t>
      </w:r>
    </w:p>
    <w:p w14:paraId="2C12E7E2">
      <w:pPr>
        <w:pStyle w:val="18"/>
        <w:spacing w:line="600" w:lineRule="exact"/>
        <w:ind w:firstLine="640" w:firstLineChars="200"/>
        <w:jc w:val="both"/>
        <w:rPr>
          <w:rFonts w:hAnsi="黑体" w:cs="Times New Roman"/>
          <w:sz w:val="32"/>
          <w:szCs w:val="32"/>
        </w:rPr>
      </w:pPr>
      <w:r>
        <w:rPr>
          <w:rFonts w:hint="eastAsia" w:hAnsi="黑体"/>
          <w:sz w:val="32"/>
          <w:szCs w:val="32"/>
        </w:rPr>
        <w:t>十一、关于政府采购支出说明</w:t>
      </w:r>
    </w:p>
    <w:p w14:paraId="367AB562">
      <w:pPr>
        <w:pStyle w:val="18"/>
        <w:spacing w:line="580" w:lineRule="exact"/>
        <w:ind w:firstLine="640" w:firstLineChars="200"/>
        <w:jc w:val="both"/>
        <w:rPr>
          <w:rFonts w:hint="eastAsia"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仿宋_GB2312"/>
          <w:sz w:val="32"/>
          <w:szCs w:val="32"/>
          <w:lang w:val="en-US" w:eastAsia="zh-CN"/>
        </w:rPr>
        <w:t>528</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42</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486</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528</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123</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23.3</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83.33</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8"/>
        <w:spacing w:line="580" w:lineRule="exact"/>
        <w:ind w:firstLine="640" w:firstLineChars="200"/>
        <w:jc w:val="both"/>
        <w:rPr>
          <w:rFonts w:hAnsi="黑体" w:cs="Times New Roman"/>
          <w:color w:val="auto"/>
          <w:sz w:val="32"/>
          <w:szCs w:val="32"/>
        </w:rPr>
      </w:pPr>
      <w:r>
        <w:rPr>
          <w:rFonts w:hint="eastAsia" w:hAnsi="黑体"/>
          <w:color w:val="auto"/>
          <w:sz w:val="32"/>
          <w:szCs w:val="32"/>
        </w:rPr>
        <w:t>十二、关于国有资产占用情况说明</w:t>
      </w:r>
    </w:p>
    <w:p w14:paraId="51122516">
      <w:pPr>
        <w:pStyle w:val="18"/>
        <w:spacing w:line="58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仿宋_GB2312"/>
          <w:color w:val="auto"/>
          <w:sz w:val="32"/>
          <w:szCs w:val="32"/>
          <w:lang w:val="en-US" w:eastAsia="zh-CN"/>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8"/>
        <w:spacing w:line="580" w:lineRule="exact"/>
        <w:ind w:firstLine="640" w:firstLineChars="200"/>
        <w:jc w:val="both"/>
        <w:rPr>
          <w:rFonts w:hint="eastAsia" w:hAnsi="黑体"/>
          <w:color w:val="auto"/>
          <w:sz w:val="32"/>
          <w:szCs w:val="32"/>
        </w:rPr>
      </w:pPr>
      <w:r>
        <w:rPr>
          <w:rFonts w:hint="eastAsia" w:hAnsi="黑体"/>
          <w:color w:val="auto"/>
          <w:sz w:val="32"/>
          <w:szCs w:val="32"/>
        </w:rPr>
        <w:t>十三、关于2024年度预算绩效情况的说明</w:t>
      </w:r>
    </w:p>
    <w:p w14:paraId="498625FD">
      <w:pPr>
        <w:pStyle w:val="18"/>
        <w:spacing w:line="600" w:lineRule="exact"/>
        <w:ind w:firstLine="640" w:firstLineChars="200"/>
        <w:jc w:val="both"/>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66025075">
      <w:pPr>
        <w:pStyle w:val="18"/>
        <w:spacing w:line="580" w:lineRule="exact"/>
        <w:ind w:firstLine="640" w:firstLineChars="200"/>
        <w:jc w:val="both"/>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2024年</w:t>
      </w:r>
      <w:r>
        <w:rPr>
          <w:rFonts w:hint="eastAsia" w:ascii="Times New Roman" w:hAnsi="Times New Roman" w:eastAsia="仿宋_GB2312" w:cs="仿宋_GB2312"/>
          <w:color w:val="auto"/>
          <w:sz w:val="32"/>
          <w:szCs w:val="32"/>
        </w:rPr>
        <w:t>天易经开区为贯彻落实好党中央国务院关于全面实施预算绩效管理的意见的决策部署，根据湘潭县财政局预算绩效管理工作安排，</w:t>
      </w:r>
      <w:r>
        <w:rPr>
          <w:rFonts w:hint="eastAsia" w:ascii="Times New Roman" w:hAnsi="Times New Roman" w:eastAsia="仿宋_GB2312" w:cs="仿宋_GB2312"/>
          <w:color w:val="auto"/>
          <w:sz w:val="32"/>
          <w:szCs w:val="32"/>
          <w:lang w:val="en-US" w:eastAsia="zh-CN"/>
        </w:rPr>
        <w:t>制定了年度</w:t>
      </w:r>
      <w:r>
        <w:rPr>
          <w:rFonts w:hint="eastAsia" w:ascii="Times New Roman" w:hAnsi="Times New Roman" w:eastAsia="仿宋_GB2312" w:cs="仿宋_GB2312"/>
          <w:color w:val="auto"/>
          <w:sz w:val="32"/>
          <w:szCs w:val="32"/>
        </w:rPr>
        <w:t>绩效自评方案</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14:paraId="4AF5AD68">
      <w:pPr>
        <w:pStyle w:val="18"/>
        <w:spacing w:line="600" w:lineRule="exact"/>
        <w:ind w:firstLine="640" w:firstLineChars="200"/>
        <w:jc w:val="both"/>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部门（单位）整体支出绩效情况</w:t>
      </w:r>
    </w:p>
    <w:p w14:paraId="366D7225">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产业发展再提质。聚焦食品医药、新材料和先进装备制造“一主一特一先”产业定位，深入开展“千百十”工程，认真实施“八大行动”，扎实推进“两重两新”“三改一扩”工作，全年新增规模工业企业14家，总数达199家；组织申报高新技术企业43家，总数达105家；新增省级专精特新企业7家，国、省级专精特新企业总数达45家；信诺、新大等6家企业入选省上市后备企业名单。韶力电机车、金铠电池匣钵、信诺搪瓷材料获评省制造业单项冠军。狠抓主导产业集聚发展，三大产业主营收入年均增长保持在10%以上。全年完成规模工业产值431.5亿元，增长7%以上；规模工业增加值增长11%以上；完成固定资产投资151.95亿元，占全县比重60%；完成税收13.59亿元，增长18.29%。特别是皇爷纳税2.83亿元，伍子醉纳税1.36亿元，创历史新高。规模工业增加值增速、税收增速等经济指标居全市二类园区第一。湘莲精深加工产业入选全省特色产业集群。</w:t>
      </w:r>
    </w:p>
    <w:p w14:paraId="0652C729">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招商引资再提标。把招商引资作为头等大事，细化、量化招商引资考核目标，规范优化招商引资合同。坚持领导带头招商，主要领导赴北京、上海、深圳等地招商40余次。落实“我是招商员”机制，全力推进全员招商，深入开展驻点招商、以商招商、校友招商，积极探索专业化、市场化招商，招商引资取得新成效。全年共引进产业项目49个，其中亿元以上项目20个，“三类500强”项目2个，湘商回归项目16个，湘商到位资金36.3亿元，直接利用外资191万美元，外商间接投资1.1亿元，引进外资企业2家，积极引进马来西亚闵和国际与皇爷强强联合。全年湘商到位资金、直接利用外资均为全市二类园区最多。</w:t>
      </w:r>
    </w:p>
    <w:p w14:paraId="421238A0">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3.项目建设再提效。大抓重点项目，全年铺排重点工程项目46个，累计完成投资64.58亿元，柏屹2.2期、新大粉末等项目完成主体建设，五年半食品、中润科技等15个项目建成投产。飞羊西路竣工通车，玉龙路“半拉子”工程拉通并销号。大抓争资争项，累计争取中央、省预内资金、超长期特别国债1.1亿元，争取发改、工信等政策性资金3000万元。大抓降本增效，为解决财政投资不足难题，在推进天易创新城二期项目建设中，通过变“废”为宝，将场平废弃石方资源化利用，大幅降低成本，338亩土地场平费用从7000万元压减到400万元；通过评定分离，确保项目公平公正。贺波书记批示“这个案例体现了创造性、系统性、主动性、科学性，有利于大家在攻坚克难中开阔视野、创新方法，具有推广价值，值得学习”。</w:t>
      </w:r>
    </w:p>
    <w:p w14:paraId="1FC0CBA5">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4.科技创新再提档。大力搭建创新平台，累计建成省、市工程技术研究中心（企业技术中心）42家，天易众创空间连续2年获评省级优秀众创空间。鼓励企业加大研发投入，截至11月完成规工企业研发投入12.58亿元，增长3.4%，高新技术产业营收增长8.2%，有效发明专利达231件。与岳麓山工业创新中心签订合作协议，加强企业与湖南大学、中南大学、湘潭大学、湖南科技大学等高校产学研合作，完成技术合同登记数400余项，技术合同交易额23亿元，增长25%；其中承接湘潭本土高校科技成果转化18项，金额达692万元。</w:t>
      </w:r>
    </w:p>
    <w:p w14:paraId="4EB141A2">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5.有效防控债务风险。制定一债一策，主要领导一周一碰头、一月一调度，高位推进融资化债。</w:t>
      </w:r>
    </w:p>
    <w:p w14:paraId="01C08ED0">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6.守牢安全环保底线。强化安全生产监督检查，召开区安委会5次，党工委主要领导带队开展安全生产督查21次。邀请专家开展安全生产宣传培训4次，进一步压实安全生产主体责任，提升管理水平。全年完成“三同时”40家，设计诊断66家，进一步夯实安全基础。聘请安全管家，驻点园区开展安全隐患排查服务，共排查整改隐患793条，园区安全生产大局稳定。聘请环保管家，建立园区环境监管信息平台，开展企业环保帮扶指导156次，有效提升园区环保管理水平。扎实抓好中央环保督察交办的7个问题整改，园区生态环境持续好转。</w:t>
      </w:r>
    </w:p>
    <w:p w14:paraId="690AE7C3">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7.深化公司改革。顺利将湘潭天易发展集团、湘潭莲乡发展集团优化整合为1家公司，公司人员由100人精简至55人，内设部门整合至7个，子公司减少至5家。启动清产核资，推进资源配置合理化、主营业务板块化，聚焦产业发展、资产盘活、股权投资等主营业务，加快向“投资端”转型。同时，逐步拓展特许经营权、光伏发电等新业务，加快市场化运营转型。</w:t>
      </w:r>
    </w:p>
    <w:p w14:paraId="676C37E5">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8.深化柏屹模式。着力建设天易轨道交通配套产业园和天易食品医药产业园两个市级专业示范园区，实施“五统一”市场化运营模式，得到省、市肯定推广。组建专业团队开展市场化招商、运营，通过“联合预审”加强对项目的准入把关，并提供一站式高效服务，2024年新引进投产项目27个，新开发面积300亩。轨道交通配套产业园累计开发1200亩，引进企业200余家；食品医药产业园累计开发400亩，引进企业126家。推进调区扩区，拓展发展空间。</w:t>
      </w:r>
    </w:p>
    <w:p w14:paraId="60084894">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9.开通“天易直通车”，提升服务质效。完善“三员三式”网格化管理服务，对园区559家工贸企业开展“一企一册”建档，全体干部职工下沉至8个网格，实现企业服务全覆盖。创新开设“天易直通车”，搭建“便、专、快、好”政企联心桥，企业只需一通电话、一条短信、一次扫码、一番交流即可解决难心事。2024年共受理200多家企业反映的建设管理、融资需求等11类问题共计258个，已办结250个，园区企业的获得感、归属感全面提升。</w:t>
      </w:r>
    </w:p>
    <w:p w14:paraId="0A8707C8">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10.强化要素保障，降低企业成本。大力开展低效闲置用地清理，以成本价收回胖哥二期110亩用地，保障中成科技、华远总部等项目落地。积极协调聚森热能、中石油昆仑燃气、县电力公司加大投资力度，提升供热、供气、供电保障能力。与市担保公司、县莲乡担保公司合作，制定担保白名单制度，园区财政设立200万元信贷风险补偿金，为企业提供“潭担E贷”等快捷担保贷款服务。高位推进政银企合作，新增中小企业授信额度20亿元，发放中小企业贷款16亿元，助力企业发展。</w:t>
      </w:r>
    </w:p>
    <w:p w14:paraId="3372A4E7">
      <w:pPr>
        <w:pStyle w:val="18"/>
        <w:spacing w:line="600" w:lineRule="exact"/>
        <w:ind w:firstLine="640" w:firstLineChars="200"/>
        <w:jc w:val="both"/>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（三）存在的问题及原因分析</w:t>
      </w:r>
    </w:p>
    <w:p w14:paraId="33672CFC">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绩效目标申报表和监控表的指标设置有待进一步完善，需结合本年度部门整体资金规模进行优化调整，以更加全面客观地反映部门整体支出的实施效果。</w:t>
      </w:r>
    </w:p>
    <w:p w14:paraId="62B33EA4">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园区产业结构有待提升。目前除食品产业外，新材料产业、装备制造产业中具有较强带动作用的支柱型企业和龙头企业相对不足，主特产业比重有待提高，产业链建设需要持续加强。</w:t>
      </w:r>
    </w:p>
    <w:p w14:paraId="18B5CEDA">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在人才队伍建设方面，作为落户县域的省级园区，在吸引和留住优秀人才方面面临一定挑战，特别是在招商引资、园区市场化专业化运营等领域的专业人才储备需要进一步加强。</w:t>
      </w:r>
    </w:p>
    <w:p w14:paraId="5503EE73">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p>
    <w:p w14:paraId="5002F029">
      <w:pPr>
        <w:pStyle w:val="18"/>
        <w:spacing w:line="580" w:lineRule="exact"/>
        <w:ind w:firstLine="640" w:firstLineChars="200"/>
        <w:jc w:val="both"/>
        <w:rPr>
          <w:rFonts w:hint="eastAsia" w:ascii="Times New Roman" w:hAnsi="Times New Roman" w:eastAsia="仿宋_GB2312" w:cs="仿宋_GB2312"/>
          <w:color w:val="auto"/>
          <w:sz w:val="32"/>
          <w:szCs w:val="32"/>
          <w:lang w:val="en-US" w:eastAsia="zh-CN"/>
        </w:rPr>
      </w:pPr>
    </w:p>
    <w:p w14:paraId="2A0225FE">
      <w:pPr>
        <w:pStyle w:val="18"/>
        <w:jc w:val="both"/>
        <w:rPr>
          <w:rFonts w:ascii="方正小标宋_GBK" w:hAnsi="方正小标宋_GBK" w:eastAsia="方正小标宋_GBK" w:cs="Times New Roman"/>
          <w:sz w:val="72"/>
          <w:szCs w:val="72"/>
        </w:rPr>
      </w:pPr>
    </w:p>
    <w:p w14:paraId="32467024">
      <w:pPr>
        <w:pStyle w:val="18"/>
        <w:jc w:val="both"/>
        <w:rPr>
          <w:rFonts w:ascii="方正小标宋_GBK" w:hAnsi="方正小标宋_GBK" w:eastAsia="方正小标宋_GBK" w:cs="Times New Roman"/>
          <w:sz w:val="72"/>
          <w:szCs w:val="72"/>
        </w:rPr>
      </w:pPr>
    </w:p>
    <w:p w14:paraId="34A17D0C">
      <w:pPr>
        <w:pStyle w:val="18"/>
        <w:jc w:val="both"/>
        <w:rPr>
          <w:rFonts w:hint="eastAsia" w:ascii="方正小标宋_GBK" w:hAnsi="方正小标宋_GBK" w:eastAsia="方正小标宋_GBK" w:cs="方正小标宋_GBK"/>
          <w:sz w:val="72"/>
          <w:szCs w:val="72"/>
        </w:rPr>
      </w:pPr>
    </w:p>
    <w:p w14:paraId="41B7A69E">
      <w:pPr>
        <w:pStyle w:val="18"/>
        <w:jc w:val="both"/>
        <w:rPr>
          <w:rFonts w:hint="eastAsia" w:ascii="方正小标宋_GBK" w:hAnsi="方正小标宋_GBK" w:eastAsia="方正小标宋_GBK" w:cs="方正小标宋_GBK"/>
          <w:sz w:val="72"/>
          <w:szCs w:val="72"/>
        </w:rPr>
      </w:pPr>
    </w:p>
    <w:p w14:paraId="6E1B13D0">
      <w:pPr>
        <w:pStyle w:val="18"/>
        <w:jc w:val="both"/>
        <w:rPr>
          <w:rFonts w:hint="eastAsia" w:ascii="方正小标宋_GBK" w:hAnsi="方正小标宋_GBK" w:eastAsia="方正小标宋_GBK" w:cs="方正小标宋_GBK"/>
          <w:sz w:val="72"/>
          <w:szCs w:val="72"/>
        </w:rPr>
      </w:pPr>
    </w:p>
    <w:p w14:paraId="76DE4B4E">
      <w:pPr>
        <w:pStyle w:val="18"/>
        <w:jc w:val="both"/>
        <w:rPr>
          <w:rFonts w:hint="eastAsia" w:ascii="方正小标宋_GBK" w:hAnsi="方正小标宋_GBK" w:eastAsia="方正小标宋_GBK" w:cs="方正小标宋_GBK"/>
          <w:sz w:val="72"/>
          <w:szCs w:val="72"/>
        </w:rPr>
      </w:pPr>
    </w:p>
    <w:p w14:paraId="44E9F72B">
      <w:pPr>
        <w:pStyle w:val="18"/>
        <w:jc w:val="both"/>
        <w:rPr>
          <w:rFonts w:hint="eastAsia" w:ascii="方正小标宋_GBK" w:hAnsi="方正小标宋_GBK" w:eastAsia="方正小标宋_GBK" w:cs="方正小标宋_GBK"/>
          <w:sz w:val="72"/>
          <w:szCs w:val="72"/>
        </w:rPr>
      </w:pPr>
    </w:p>
    <w:p w14:paraId="7BECC8BD">
      <w:pPr>
        <w:pStyle w:val="18"/>
        <w:jc w:val="both"/>
        <w:rPr>
          <w:rFonts w:hint="eastAsia" w:ascii="方正小标宋_GBK" w:hAnsi="方正小标宋_GBK" w:eastAsia="方正小标宋_GBK" w:cs="方正小标宋_GBK"/>
          <w:sz w:val="72"/>
          <w:szCs w:val="72"/>
        </w:rPr>
      </w:pPr>
    </w:p>
    <w:p w14:paraId="252FD56A">
      <w:pPr>
        <w:pStyle w:val="18"/>
        <w:jc w:val="both"/>
        <w:rPr>
          <w:rFonts w:hint="eastAsia" w:ascii="方正小标宋_GBK" w:hAnsi="方正小标宋_GBK" w:eastAsia="方正小标宋_GBK" w:cs="方正小标宋_GBK"/>
          <w:sz w:val="72"/>
          <w:szCs w:val="72"/>
        </w:rPr>
      </w:pPr>
    </w:p>
    <w:p w14:paraId="72CDDE94">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F69156D">
      <w:pPr>
        <w:widowControl/>
        <w:jc w:val="both"/>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5A06A72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、机关运行经费：是指各部门的公用经费，包括办公及印刷费、邮电费、差旅费、会议费、福利费、日常维修费、专用资料及一般设备购置费、办公用房水电费、</w:t>
      </w:r>
      <w:r>
        <w:rPr>
          <w:rFonts w:hint="default" w:ascii="Times New Roman" w:hAnsi="Times New Roman" w:eastAsia="仿宋_GB2312" w:cs="Times New Roman"/>
          <w:sz w:val="32"/>
          <w:szCs w:val="32"/>
          <w:lang w:eastAsia="zh-CN"/>
        </w:rPr>
        <w:t>公</w:t>
      </w:r>
      <w:r>
        <w:rPr>
          <w:rFonts w:hint="default" w:ascii="Times New Roman" w:hAnsi="Times New Roman" w:eastAsia="仿宋_GB2312" w:cs="Times New Roman"/>
          <w:sz w:val="32"/>
          <w:szCs w:val="32"/>
        </w:rPr>
        <w:t>务用车运行维护费以及其他费用。</w:t>
      </w:r>
    </w:p>
    <w:p w14:paraId="3A6C7F50">
      <w:pPr>
        <w:pStyle w:val="18"/>
        <w:ind w:firstLine="640" w:firstLineChars="200"/>
        <w:jc w:val="both"/>
        <w:rPr>
          <w:rFonts w:cs="Times New Roman"/>
          <w:sz w:val="72"/>
          <w:szCs w:val="72"/>
        </w:rPr>
      </w:pPr>
      <w:r>
        <w:rPr>
          <w:rFonts w:hint="eastAsia"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w:t>
      </w:r>
    </w:p>
    <w:p w14:paraId="18A41287">
      <w:pPr>
        <w:pStyle w:val="18"/>
        <w:jc w:val="both"/>
        <w:rPr>
          <w:rFonts w:cs="Times New Roman"/>
          <w:sz w:val="72"/>
          <w:szCs w:val="72"/>
        </w:rPr>
      </w:pPr>
    </w:p>
    <w:p w14:paraId="7FE28078">
      <w:pPr>
        <w:pStyle w:val="18"/>
        <w:jc w:val="both"/>
        <w:rPr>
          <w:rFonts w:cs="Times New Roman"/>
          <w:sz w:val="72"/>
          <w:szCs w:val="72"/>
        </w:rPr>
      </w:pPr>
    </w:p>
    <w:p w14:paraId="35CCE75F">
      <w:pPr>
        <w:pStyle w:val="18"/>
        <w:jc w:val="both"/>
        <w:rPr>
          <w:rFonts w:cs="Times New Roman"/>
          <w:sz w:val="72"/>
          <w:szCs w:val="72"/>
        </w:rPr>
      </w:pPr>
    </w:p>
    <w:p w14:paraId="40FE3B39">
      <w:pPr>
        <w:pStyle w:val="18"/>
        <w:jc w:val="both"/>
        <w:rPr>
          <w:rFonts w:cs="Times New Roman"/>
          <w:sz w:val="72"/>
          <w:szCs w:val="72"/>
        </w:rPr>
      </w:pPr>
    </w:p>
    <w:p w14:paraId="2FF2C983">
      <w:pPr>
        <w:pStyle w:val="18"/>
        <w:jc w:val="both"/>
        <w:rPr>
          <w:rFonts w:cs="Times New Roman"/>
          <w:sz w:val="72"/>
          <w:szCs w:val="72"/>
        </w:rPr>
      </w:pPr>
    </w:p>
    <w:p w14:paraId="6C6F2EA8">
      <w:pPr>
        <w:pStyle w:val="18"/>
        <w:jc w:val="both"/>
        <w:rPr>
          <w:rFonts w:cs="Times New Roman"/>
          <w:sz w:val="72"/>
          <w:szCs w:val="72"/>
        </w:rPr>
      </w:pPr>
    </w:p>
    <w:p w14:paraId="25BB566A">
      <w:pPr>
        <w:jc w:val="both"/>
        <w:rPr>
          <w:rFonts w:cs="Times New Roman"/>
          <w:sz w:val="72"/>
          <w:szCs w:val="72"/>
        </w:rPr>
      </w:pPr>
      <w:r>
        <w:rPr>
          <w:rFonts w:cs="Times New Roman"/>
          <w:sz w:val="72"/>
          <w:szCs w:val="72"/>
        </w:rPr>
        <w:br w:type="page"/>
      </w:r>
    </w:p>
    <w:p w14:paraId="55B51B93">
      <w:pPr>
        <w:pStyle w:val="18"/>
        <w:jc w:val="both"/>
        <w:rPr>
          <w:rFonts w:ascii="方正小标宋_GBK" w:hAnsi="方正小标宋_GBK" w:eastAsia="方正小标宋_GBK" w:cs="Times New Roman"/>
          <w:sz w:val="72"/>
          <w:szCs w:val="72"/>
        </w:rPr>
      </w:pPr>
    </w:p>
    <w:p w14:paraId="15F34923">
      <w:pPr>
        <w:pStyle w:val="18"/>
        <w:jc w:val="both"/>
        <w:rPr>
          <w:rFonts w:ascii="方正小标宋_GBK" w:hAnsi="方正小标宋_GBK" w:eastAsia="方正小标宋_GBK" w:cs="Times New Roman"/>
          <w:sz w:val="72"/>
          <w:szCs w:val="72"/>
        </w:rPr>
      </w:pPr>
    </w:p>
    <w:p w14:paraId="1E60D8CA">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8"/>
        <w:jc w:val="center"/>
        <w:rPr>
          <w:rFonts w:ascii="方正小标宋_GBK" w:hAnsi="方正小标宋_GBK" w:eastAsia="方正小标宋_GBK" w:cs="Times New Roman"/>
          <w:sz w:val="70"/>
          <w:szCs w:val="70"/>
        </w:rPr>
      </w:pPr>
    </w:p>
    <w:p w14:paraId="45B89EFA">
      <w:pPr>
        <w:pStyle w:val="18"/>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jc w:val="both"/>
        <w:rPr>
          <w:rFonts w:cs="Times New Roman"/>
          <w:sz w:val="72"/>
          <w:szCs w:val="72"/>
        </w:rPr>
      </w:pPr>
      <w:r>
        <w:rPr>
          <w:rFonts w:cs="Times New Roman"/>
          <w:sz w:val="72"/>
          <w:szCs w:val="72"/>
        </w:rPr>
        <w:br w:type="page"/>
      </w:r>
    </w:p>
    <w:p w14:paraId="7F4B164D">
      <w:pPr>
        <w:tabs>
          <w:tab w:val="left" w:pos="6480"/>
        </w:tabs>
        <w:spacing w:line="600" w:lineRule="exact"/>
        <w:jc w:val="center"/>
        <w:rPr>
          <w:rFonts w:ascii="宋体" w:hAnsi="宋体" w:cs="方正小标宋_GBK"/>
          <w:b/>
          <w:sz w:val="36"/>
          <w:szCs w:val="36"/>
          <w:highlight w:val="none"/>
        </w:rPr>
      </w:pPr>
      <w:r>
        <w:rPr>
          <w:rFonts w:hint="eastAsia" w:ascii="宋体" w:hAnsi="宋体" w:cs="方正小标宋_GBK"/>
          <w:b/>
          <w:sz w:val="36"/>
          <w:szCs w:val="36"/>
          <w:highlight w:val="none"/>
        </w:rPr>
        <w:t>湖南湘潭天易经济开发区管理委员会</w:t>
      </w:r>
    </w:p>
    <w:p w14:paraId="7670A8DC">
      <w:pPr>
        <w:tabs>
          <w:tab w:val="left" w:pos="6480"/>
        </w:tabs>
        <w:spacing w:line="600" w:lineRule="exact"/>
        <w:jc w:val="center"/>
        <w:rPr>
          <w:rFonts w:ascii="宋体" w:hAnsi="宋体" w:cs="方正小标宋_GBK"/>
          <w:b/>
          <w:sz w:val="36"/>
          <w:szCs w:val="36"/>
          <w:highlight w:val="none"/>
        </w:rPr>
      </w:pPr>
      <w:r>
        <w:rPr>
          <w:rFonts w:hint="eastAsia" w:ascii="宋体" w:hAnsi="宋体" w:cs="方正小标宋_GBK"/>
          <w:b/>
          <w:bCs/>
          <w:sz w:val="36"/>
          <w:szCs w:val="36"/>
          <w:highlight w:val="none"/>
          <w:lang w:val="en-US" w:eastAsia="zh-CN"/>
        </w:rPr>
        <w:t>2024年度</w:t>
      </w:r>
      <w:r>
        <w:rPr>
          <w:rFonts w:hint="eastAsia" w:ascii="宋体" w:hAnsi="宋体" w:cs="方正小标宋_GBK"/>
          <w:b/>
          <w:bCs/>
          <w:sz w:val="36"/>
          <w:szCs w:val="36"/>
          <w:highlight w:val="none"/>
        </w:rPr>
        <w:t>部门整体支出绩效评价报告</w:t>
      </w:r>
    </w:p>
    <w:tbl>
      <w:tblPr>
        <w:tblStyle w:val="8"/>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702"/>
      </w:tblGrid>
      <w:tr w14:paraId="4967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503FDCCA">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部门概况</w:t>
            </w:r>
          </w:p>
        </w:tc>
        <w:tc>
          <w:tcPr>
            <w:tcW w:w="1985" w:type="dxa"/>
            <w:vAlign w:val="center"/>
          </w:tcPr>
          <w:p w14:paraId="1140C10D">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单位名称</w:t>
            </w:r>
          </w:p>
        </w:tc>
        <w:tc>
          <w:tcPr>
            <w:tcW w:w="5702" w:type="dxa"/>
            <w:vAlign w:val="center"/>
          </w:tcPr>
          <w:p w14:paraId="429A3540">
            <w:pPr>
              <w:spacing w:line="576" w:lineRule="exact"/>
              <w:ind w:right="879" w:rightChars="419"/>
              <w:jc w:val="center"/>
              <w:rPr>
                <w:rFonts w:hint="eastAsia" w:ascii="仿宋" w:hAnsi="仿宋" w:eastAsia="仿宋" w:cs="仿宋"/>
                <w:szCs w:val="21"/>
                <w:highlight w:val="none"/>
              </w:rPr>
            </w:pPr>
            <w:r>
              <w:rPr>
                <w:rFonts w:hint="eastAsia" w:ascii="仿宋" w:hAnsi="仿宋" w:eastAsia="仿宋" w:cs="仿宋"/>
                <w:szCs w:val="21"/>
                <w:highlight w:val="none"/>
              </w:rPr>
              <w:t>湖南湘潭天易经济开发区管理委员会</w:t>
            </w:r>
          </w:p>
        </w:tc>
      </w:tr>
      <w:tr w14:paraId="0A2D3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3B98258">
            <w:pPr>
              <w:spacing w:line="576" w:lineRule="exact"/>
              <w:jc w:val="center"/>
              <w:rPr>
                <w:rFonts w:hint="eastAsia" w:ascii="仿宋" w:hAnsi="仿宋" w:eastAsia="仿宋" w:cs="仿宋"/>
                <w:szCs w:val="21"/>
                <w:highlight w:val="none"/>
              </w:rPr>
            </w:pPr>
          </w:p>
        </w:tc>
        <w:tc>
          <w:tcPr>
            <w:tcW w:w="1985" w:type="dxa"/>
            <w:vAlign w:val="center"/>
          </w:tcPr>
          <w:p w14:paraId="15CEDD86">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年度预算金额</w:t>
            </w:r>
          </w:p>
        </w:tc>
        <w:tc>
          <w:tcPr>
            <w:tcW w:w="5702" w:type="dxa"/>
            <w:vAlign w:val="center"/>
          </w:tcPr>
          <w:p w14:paraId="126C5995">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2024年，天易经开区年初批复预算收入为73811万元，其中财政预算内拨款13811万元，政府性基金收入60000万元。2024年，天易经开区年初批复预算支出73811万元，其中一般公共预算拨款支出13811万元（包含基本支出1253万元，项目支出12558万元），政府性基金预算支出60000万元(均为项目支出)。</w:t>
            </w:r>
          </w:p>
        </w:tc>
      </w:tr>
      <w:tr w14:paraId="3EA16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67D2FD7">
            <w:pPr>
              <w:spacing w:line="576" w:lineRule="exact"/>
              <w:jc w:val="center"/>
              <w:rPr>
                <w:rFonts w:hint="eastAsia" w:ascii="仿宋" w:hAnsi="仿宋" w:eastAsia="仿宋" w:cs="仿宋"/>
                <w:szCs w:val="21"/>
                <w:highlight w:val="none"/>
              </w:rPr>
            </w:pPr>
          </w:p>
        </w:tc>
        <w:tc>
          <w:tcPr>
            <w:tcW w:w="1985" w:type="dxa"/>
            <w:vAlign w:val="center"/>
          </w:tcPr>
          <w:p w14:paraId="7884261A">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主管部门</w:t>
            </w:r>
          </w:p>
        </w:tc>
        <w:tc>
          <w:tcPr>
            <w:tcW w:w="5702" w:type="dxa"/>
            <w:vAlign w:val="center"/>
          </w:tcPr>
          <w:p w14:paraId="2C929EB7">
            <w:pPr>
              <w:spacing w:line="576" w:lineRule="exact"/>
              <w:ind w:right="879" w:rightChars="419"/>
              <w:jc w:val="center"/>
              <w:rPr>
                <w:rFonts w:hint="eastAsia" w:ascii="仿宋" w:hAnsi="仿宋" w:eastAsia="仿宋" w:cs="仿宋"/>
                <w:szCs w:val="21"/>
                <w:highlight w:val="none"/>
              </w:rPr>
            </w:pPr>
            <w:r>
              <w:rPr>
                <w:rFonts w:hint="eastAsia" w:ascii="仿宋" w:hAnsi="仿宋" w:eastAsia="仿宋" w:cs="仿宋"/>
                <w:szCs w:val="21"/>
                <w:highlight w:val="none"/>
              </w:rPr>
              <w:t>湖南湘潭天易经济开发区管理委员会</w:t>
            </w:r>
          </w:p>
        </w:tc>
      </w:tr>
      <w:tr w14:paraId="0F41C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FAA3C8D">
            <w:pPr>
              <w:spacing w:line="576" w:lineRule="exact"/>
              <w:jc w:val="center"/>
              <w:rPr>
                <w:rFonts w:hint="eastAsia" w:ascii="仿宋" w:hAnsi="仿宋" w:eastAsia="仿宋" w:cs="仿宋"/>
                <w:szCs w:val="21"/>
                <w:highlight w:val="none"/>
              </w:rPr>
            </w:pPr>
          </w:p>
        </w:tc>
        <w:tc>
          <w:tcPr>
            <w:tcW w:w="1985" w:type="dxa"/>
            <w:vAlign w:val="center"/>
          </w:tcPr>
          <w:p w14:paraId="55B6E45A">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单位基本职能</w:t>
            </w:r>
          </w:p>
        </w:tc>
        <w:tc>
          <w:tcPr>
            <w:tcW w:w="5702" w:type="dxa"/>
            <w:vAlign w:val="center"/>
          </w:tcPr>
          <w:p w14:paraId="4AF5C832">
            <w:pPr>
              <w:spacing w:line="300" w:lineRule="exact"/>
              <w:rPr>
                <w:rFonts w:hint="eastAsia" w:ascii="仿宋" w:hAnsi="仿宋" w:eastAsia="仿宋" w:cs="仿宋"/>
                <w:highlight w:val="none"/>
              </w:rPr>
            </w:pPr>
            <w:r>
              <w:rPr>
                <w:rFonts w:hint="eastAsia" w:ascii="仿宋" w:hAnsi="仿宋" w:eastAsia="仿宋" w:cs="仿宋"/>
                <w:highlight w:val="none"/>
              </w:rPr>
              <w:t>1.负责贯彻执行党和国家关于发展开发区的方针政策、法律法规和决策部署。</w:t>
            </w:r>
          </w:p>
          <w:p w14:paraId="44D2F194">
            <w:pPr>
              <w:spacing w:line="300" w:lineRule="exact"/>
              <w:rPr>
                <w:rFonts w:hint="eastAsia" w:ascii="仿宋" w:hAnsi="仿宋" w:eastAsia="仿宋" w:cs="仿宋"/>
                <w:highlight w:val="none"/>
              </w:rPr>
            </w:pPr>
            <w:r>
              <w:rPr>
                <w:rFonts w:hint="eastAsia" w:ascii="仿宋" w:hAnsi="仿宋" w:eastAsia="仿宋" w:cs="仿宋"/>
                <w:highlight w:val="none"/>
              </w:rPr>
              <w:t>2.负责研究拟订和组织实施天易经开区重大发展战略、发展规划和工作计划。</w:t>
            </w:r>
          </w:p>
          <w:p w14:paraId="51EDDCD1">
            <w:pPr>
              <w:spacing w:line="300" w:lineRule="exact"/>
              <w:rPr>
                <w:rFonts w:hint="eastAsia" w:ascii="仿宋" w:hAnsi="仿宋" w:eastAsia="仿宋" w:cs="仿宋"/>
                <w:highlight w:val="none"/>
              </w:rPr>
            </w:pPr>
            <w:r>
              <w:rPr>
                <w:rFonts w:hint="eastAsia" w:ascii="仿宋" w:hAnsi="仿宋" w:eastAsia="仿宋" w:cs="仿宋"/>
                <w:highlight w:val="none"/>
              </w:rPr>
              <w:t>3.根据湘潭市、湘潭县国土空间总体规划、土地利用总体规划以及国民经济产业总体规划的要求和相关权限，负责统筹建设发展空间布局。负责拟订天易经开区经济发展总体规划、产业发展规划、产业政策、项目准入标准等并组织实施，统一规划产业布局。</w:t>
            </w:r>
          </w:p>
          <w:p w14:paraId="55DEB466">
            <w:pPr>
              <w:spacing w:line="300" w:lineRule="exact"/>
              <w:rPr>
                <w:rFonts w:hint="eastAsia" w:ascii="仿宋" w:hAnsi="仿宋" w:eastAsia="仿宋" w:cs="仿宋"/>
                <w:highlight w:val="none"/>
              </w:rPr>
            </w:pPr>
            <w:r>
              <w:rPr>
                <w:rFonts w:hint="eastAsia" w:ascii="仿宋" w:hAnsi="仿宋" w:eastAsia="仿宋" w:cs="仿宋"/>
                <w:highlight w:val="none"/>
              </w:rPr>
              <w:t>4.负责天易经开区招商引资工作，组织对外经济技术合作与交流。负责统筹推进基础设施、公用事业、重大项目的建设等相关工作。</w:t>
            </w:r>
          </w:p>
          <w:p w14:paraId="608613F8">
            <w:pPr>
              <w:spacing w:line="300" w:lineRule="exact"/>
              <w:rPr>
                <w:rFonts w:hint="eastAsia" w:ascii="仿宋" w:hAnsi="仿宋" w:eastAsia="仿宋" w:cs="仿宋"/>
                <w:highlight w:val="none"/>
              </w:rPr>
            </w:pPr>
            <w:r>
              <w:rPr>
                <w:rFonts w:hint="eastAsia" w:ascii="仿宋" w:hAnsi="仿宋" w:eastAsia="仿宋" w:cs="仿宋"/>
                <w:highlight w:val="none"/>
              </w:rPr>
              <w:t>5.负责天易经开区优化营商环境工作，根据权限依法承担有关行政审批工作，履行行政审批服务职责。</w:t>
            </w:r>
          </w:p>
          <w:p w14:paraId="3F0E50F6">
            <w:pPr>
              <w:spacing w:line="300" w:lineRule="exact"/>
              <w:rPr>
                <w:rFonts w:hint="eastAsia" w:ascii="仿宋" w:hAnsi="仿宋" w:eastAsia="仿宋" w:cs="仿宋"/>
                <w:highlight w:val="none"/>
              </w:rPr>
            </w:pPr>
            <w:r>
              <w:rPr>
                <w:rFonts w:hint="eastAsia" w:ascii="仿宋" w:hAnsi="仿宋" w:eastAsia="仿宋" w:cs="仿宋"/>
                <w:highlight w:val="none"/>
              </w:rPr>
              <w:t>6.负责天易经开区内企业的管理和服务，协助企业开展科技创新以及申报高新技术项目、高新技术企业和项目扶持资金。指导区内企业建立现代企业制度，推进高新技术产业化、国际化。</w:t>
            </w:r>
          </w:p>
          <w:p w14:paraId="1A199AB0">
            <w:pPr>
              <w:spacing w:line="300" w:lineRule="exact"/>
              <w:rPr>
                <w:rFonts w:hint="eastAsia" w:ascii="仿宋" w:hAnsi="仿宋" w:eastAsia="仿宋" w:cs="仿宋"/>
                <w:highlight w:val="none"/>
              </w:rPr>
            </w:pPr>
            <w:r>
              <w:rPr>
                <w:rFonts w:hint="eastAsia" w:ascii="仿宋" w:hAnsi="仿宋" w:eastAsia="仿宋" w:cs="仿宋"/>
                <w:highlight w:val="none"/>
              </w:rPr>
              <w:t>7.根据有关要求和职责分工，承担天易经开区综合管理、统计、内部审计、信息、财政收支管理、国有资产管理、安全生产监督管理、生态环境保护等工作。</w:t>
            </w:r>
          </w:p>
          <w:p w14:paraId="1DFF1CD4">
            <w:pPr>
              <w:spacing w:line="300" w:lineRule="exact"/>
              <w:rPr>
                <w:rFonts w:hint="eastAsia" w:ascii="仿宋" w:hAnsi="仿宋" w:eastAsia="仿宋" w:cs="仿宋"/>
                <w:highlight w:val="none"/>
              </w:rPr>
            </w:pPr>
            <w:r>
              <w:rPr>
                <w:rFonts w:hint="eastAsia" w:ascii="仿宋" w:hAnsi="仿宋" w:eastAsia="仿宋" w:cs="仿宋"/>
                <w:highlight w:val="none"/>
              </w:rPr>
              <w:t>8.负责天易经开区党的建设和“两新”组织党建等工作。</w:t>
            </w:r>
          </w:p>
          <w:p w14:paraId="55E4B5C3">
            <w:pPr>
              <w:spacing w:line="300" w:lineRule="exact"/>
              <w:rPr>
                <w:rFonts w:hint="eastAsia" w:ascii="仿宋" w:hAnsi="仿宋" w:eastAsia="仿宋" w:cs="仿宋"/>
                <w:highlight w:val="none"/>
              </w:rPr>
            </w:pPr>
            <w:r>
              <w:rPr>
                <w:rFonts w:hint="eastAsia" w:ascii="仿宋" w:hAnsi="仿宋" w:eastAsia="仿宋" w:cs="仿宋"/>
                <w:highlight w:val="none"/>
              </w:rPr>
              <w:t>9.负责天易经开区人才队伍建设，协助企业做好人才引进和服务工作。</w:t>
            </w:r>
          </w:p>
          <w:p w14:paraId="7DF45AB8">
            <w:pPr>
              <w:spacing w:line="300" w:lineRule="exact"/>
              <w:rPr>
                <w:rFonts w:hint="eastAsia" w:ascii="仿宋" w:hAnsi="仿宋" w:eastAsia="仿宋" w:cs="仿宋"/>
                <w:szCs w:val="21"/>
                <w:highlight w:val="none"/>
                <w:lang w:eastAsia="zh-CN"/>
              </w:rPr>
            </w:pPr>
            <w:r>
              <w:rPr>
                <w:rFonts w:hint="eastAsia" w:ascii="仿宋" w:hAnsi="仿宋" w:eastAsia="仿宋" w:cs="仿宋"/>
                <w:highlight w:val="none"/>
              </w:rPr>
              <w:t>10.承办湘潭市委、湘潭市人民政府和湘潭县委、湘潭县人民政府交办的其他事项。</w:t>
            </w:r>
          </w:p>
        </w:tc>
      </w:tr>
      <w:tr w14:paraId="76401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5CC1903F">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绩效完成情况</w:t>
            </w:r>
          </w:p>
        </w:tc>
        <w:tc>
          <w:tcPr>
            <w:tcW w:w="1985" w:type="dxa"/>
            <w:vAlign w:val="center"/>
          </w:tcPr>
          <w:p w14:paraId="41935E80">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部门整体支出管理和使用基本情况</w:t>
            </w:r>
          </w:p>
        </w:tc>
        <w:tc>
          <w:tcPr>
            <w:tcW w:w="5702" w:type="dxa"/>
          </w:tcPr>
          <w:p w14:paraId="62E4A954">
            <w:pPr>
              <w:spacing w:line="300" w:lineRule="exact"/>
              <w:ind w:firstLine="420" w:firstLineChars="200"/>
              <w:rPr>
                <w:rFonts w:hint="eastAsia" w:ascii="仿宋" w:hAnsi="仿宋" w:eastAsia="仿宋" w:cs="仿宋"/>
                <w:highlight w:val="none"/>
                <w:lang w:eastAsia="zh-CN"/>
              </w:rPr>
            </w:pPr>
            <w:r>
              <w:rPr>
                <w:rFonts w:hint="eastAsia" w:ascii="仿宋" w:hAnsi="仿宋" w:eastAsia="仿宋" w:cs="仿宋"/>
                <w:highlight w:val="none"/>
                <w:lang w:eastAsia="zh-CN"/>
              </w:rPr>
              <w:t>2024年</w:t>
            </w:r>
            <w:r>
              <w:rPr>
                <w:rFonts w:hint="eastAsia" w:ascii="仿宋" w:hAnsi="仿宋" w:eastAsia="仿宋" w:cs="仿宋"/>
                <w:highlight w:val="none"/>
              </w:rPr>
              <w:t>，天易经开区坚持以习近平新时代中国特色社会主义思想为指导</w:t>
            </w:r>
            <w:r>
              <w:rPr>
                <w:rFonts w:hint="eastAsia" w:ascii="仿宋" w:hAnsi="仿宋" w:eastAsia="仿宋" w:cs="仿宋"/>
                <w:highlight w:val="none"/>
                <w:lang w:eastAsia="zh-CN"/>
              </w:rPr>
              <w:t>，在县委县政府的坚强领导下，</w:t>
            </w:r>
            <w:r>
              <w:rPr>
                <w:rFonts w:hint="eastAsia" w:ascii="仿宋" w:hAnsi="仿宋" w:eastAsia="仿宋" w:cs="仿宋"/>
                <w:highlight w:val="none"/>
              </w:rPr>
              <w:t>落实“四敢”要求，树立</w:t>
            </w:r>
            <w:r>
              <w:rPr>
                <w:rFonts w:hint="eastAsia" w:ascii="仿宋" w:hAnsi="仿宋" w:eastAsia="仿宋" w:cs="仿宋"/>
                <w:highlight w:val="none"/>
                <w:lang w:eastAsia="zh-CN"/>
              </w:rPr>
              <w:t>和践行</w:t>
            </w:r>
            <w:r>
              <w:rPr>
                <w:rFonts w:hint="eastAsia" w:ascii="仿宋" w:hAnsi="仿宋" w:eastAsia="仿宋" w:cs="仿宋"/>
                <w:highlight w:val="none"/>
              </w:rPr>
              <w:t>正确政绩观，以敢闯敢拼、不怕风雨的干劲，开创</w:t>
            </w:r>
            <w:r>
              <w:rPr>
                <w:rFonts w:hint="eastAsia" w:ascii="仿宋" w:hAnsi="仿宋" w:eastAsia="仿宋" w:cs="仿宋"/>
                <w:highlight w:val="none"/>
                <w:lang w:eastAsia="zh-CN"/>
              </w:rPr>
              <w:t>了</w:t>
            </w:r>
            <w:r>
              <w:rPr>
                <w:rFonts w:hint="eastAsia" w:ascii="仿宋" w:hAnsi="仿宋" w:eastAsia="仿宋" w:cs="仿宋"/>
                <w:highlight w:val="none"/>
              </w:rPr>
              <w:t>高质量发展新局面</w:t>
            </w:r>
            <w:r>
              <w:rPr>
                <w:rFonts w:hint="eastAsia" w:ascii="仿宋" w:hAnsi="仿宋" w:eastAsia="仿宋" w:cs="仿宋"/>
                <w:highlight w:val="none"/>
                <w:lang w:eastAsia="zh-CN"/>
              </w:rPr>
              <w:t>。</w:t>
            </w:r>
          </w:p>
          <w:p w14:paraId="380950DC">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szCs w:val="21"/>
                <w:highlight w:val="none"/>
                <w:lang w:val="en-US" w:eastAsia="zh-CN"/>
              </w:rPr>
              <w:t>一、预算执行情况</w:t>
            </w:r>
          </w:p>
          <w:p w14:paraId="14988972">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eastAsia="zh-CN"/>
              </w:rPr>
              <w:t>1、</w:t>
            </w:r>
            <w:r>
              <w:rPr>
                <w:rFonts w:hint="eastAsia" w:ascii="仿宋" w:hAnsi="仿宋" w:eastAsia="仿宋" w:cs="仿宋"/>
                <w:highlight w:val="none"/>
                <w:lang w:val="zh-CN" w:eastAsia="zh-CN"/>
              </w:rPr>
              <w:t>2024年</w:t>
            </w:r>
            <w:r>
              <w:rPr>
                <w:rFonts w:hint="eastAsia" w:ascii="仿宋" w:hAnsi="仿宋" w:eastAsia="仿宋" w:cs="仿宋"/>
                <w:highlight w:val="none"/>
                <w:lang w:val="en-US" w:eastAsia="zh-CN"/>
              </w:rPr>
              <w:t>收入</w:t>
            </w:r>
            <w:r>
              <w:rPr>
                <w:rFonts w:hint="eastAsia" w:ascii="仿宋" w:hAnsi="仿宋" w:eastAsia="仿宋" w:cs="仿宋"/>
                <w:highlight w:val="none"/>
                <w:lang w:val="zh-CN" w:eastAsia="zh-CN"/>
              </w:rPr>
              <w:t>决算数为</w:t>
            </w:r>
            <w:r>
              <w:rPr>
                <w:rFonts w:hint="eastAsia" w:ascii="仿宋" w:hAnsi="仿宋" w:eastAsia="仿宋" w:cs="仿宋"/>
                <w:highlight w:val="none"/>
                <w:lang w:val="en-US" w:eastAsia="zh-CN"/>
              </w:rPr>
              <w:t>27749.49</w:t>
            </w:r>
            <w:r>
              <w:rPr>
                <w:rFonts w:hint="eastAsia" w:ascii="仿宋" w:hAnsi="仿宋" w:eastAsia="仿宋" w:cs="仿宋"/>
                <w:highlight w:val="none"/>
                <w:lang w:val="zh-CN" w:eastAsia="zh-CN"/>
              </w:rPr>
              <w:t>万元，其中：</w:t>
            </w:r>
            <w:r>
              <w:rPr>
                <w:rFonts w:hint="eastAsia" w:ascii="仿宋" w:hAnsi="仿宋" w:eastAsia="仿宋" w:cs="仿宋"/>
                <w:highlight w:val="none"/>
                <w:lang w:val="en-US" w:eastAsia="zh-CN"/>
              </w:rPr>
              <w:t>一般公共预算财政拨款收入11067.84万元，占总收入的39.88%；纳入预算管理的非税收入16565.35万元，占总收入的59.7%;</w:t>
            </w:r>
          </w:p>
          <w:p w14:paraId="67753BD8">
            <w:pPr>
              <w:spacing w:line="300" w:lineRule="exact"/>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其他收入116.3万元，占总收入的0.42%。</w:t>
            </w:r>
          </w:p>
          <w:p w14:paraId="67892052">
            <w:pPr>
              <w:spacing w:line="300" w:lineRule="exact"/>
              <w:ind w:firstLine="420" w:firstLineChars="200"/>
              <w:rPr>
                <w:rFonts w:hint="eastAsia" w:ascii="仿宋" w:hAnsi="仿宋" w:eastAsia="仿宋" w:cs="仿宋"/>
                <w:highlight w:val="none"/>
                <w:lang w:val="zh-CN" w:eastAsia="zh-CN"/>
              </w:rPr>
            </w:pPr>
            <w:r>
              <w:rPr>
                <w:rFonts w:hint="eastAsia" w:ascii="仿宋" w:hAnsi="仿宋" w:eastAsia="仿宋" w:cs="仿宋"/>
                <w:highlight w:val="none"/>
                <w:lang w:eastAsia="zh-CN"/>
              </w:rPr>
              <w:t>2、</w:t>
            </w:r>
            <w:r>
              <w:rPr>
                <w:rFonts w:hint="eastAsia" w:ascii="仿宋" w:hAnsi="仿宋" w:eastAsia="仿宋" w:cs="仿宋"/>
                <w:highlight w:val="none"/>
                <w:lang w:val="zh-CN" w:eastAsia="zh-CN"/>
              </w:rPr>
              <w:t>2024年支出决算</w:t>
            </w:r>
            <w:r>
              <w:rPr>
                <w:rFonts w:hint="eastAsia" w:ascii="仿宋" w:hAnsi="仿宋" w:eastAsia="仿宋" w:cs="仿宋"/>
                <w:highlight w:val="none"/>
                <w:lang w:val="en-US" w:eastAsia="zh-CN"/>
              </w:rPr>
              <w:t>数</w:t>
            </w:r>
            <w:r>
              <w:rPr>
                <w:rFonts w:hint="eastAsia" w:ascii="仿宋" w:hAnsi="仿宋" w:eastAsia="仿宋" w:cs="仿宋"/>
                <w:highlight w:val="none"/>
                <w:lang w:val="zh-CN" w:eastAsia="zh-CN"/>
              </w:rPr>
              <w:t>为</w:t>
            </w:r>
            <w:r>
              <w:rPr>
                <w:rFonts w:hint="eastAsia" w:ascii="仿宋" w:hAnsi="仿宋" w:eastAsia="仿宋" w:cs="仿宋"/>
                <w:highlight w:val="none"/>
                <w:lang w:val="en-US" w:eastAsia="zh-CN"/>
              </w:rPr>
              <w:t>27749.49</w:t>
            </w:r>
            <w:r>
              <w:rPr>
                <w:rFonts w:hint="eastAsia" w:ascii="仿宋" w:hAnsi="仿宋" w:eastAsia="仿宋" w:cs="仿宋"/>
                <w:highlight w:val="none"/>
                <w:lang w:val="zh-CN" w:eastAsia="zh-CN"/>
              </w:rPr>
              <w:t>万元，其中基本支出</w:t>
            </w:r>
            <w:r>
              <w:rPr>
                <w:rFonts w:hint="eastAsia" w:ascii="仿宋" w:hAnsi="仿宋" w:eastAsia="仿宋" w:cs="仿宋"/>
                <w:highlight w:val="none"/>
                <w:lang w:val="en-US" w:eastAsia="zh-CN"/>
              </w:rPr>
              <w:t>1139.3</w:t>
            </w:r>
            <w:r>
              <w:rPr>
                <w:rFonts w:hint="eastAsia" w:ascii="仿宋" w:hAnsi="仿宋" w:eastAsia="仿宋" w:cs="仿宋"/>
                <w:highlight w:val="none"/>
                <w:lang w:val="zh-CN" w:eastAsia="zh-CN"/>
              </w:rPr>
              <w:t>万元，占总支出的</w:t>
            </w:r>
            <w:r>
              <w:rPr>
                <w:rFonts w:hint="eastAsia" w:ascii="仿宋" w:hAnsi="仿宋" w:eastAsia="仿宋" w:cs="仿宋"/>
                <w:highlight w:val="none"/>
                <w:lang w:val="en-US" w:eastAsia="zh-CN"/>
              </w:rPr>
              <w:t>4.11</w:t>
            </w:r>
            <w:r>
              <w:rPr>
                <w:rFonts w:hint="eastAsia" w:ascii="仿宋" w:hAnsi="仿宋" w:eastAsia="仿宋" w:cs="仿宋"/>
                <w:highlight w:val="none"/>
                <w:lang w:val="zh-CN" w:eastAsia="zh-CN"/>
              </w:rPr>
              <w:t>%；项目支出</w:t>
            </w:r>
            <w:r>
              <w:rPr>
                <w:rFonts w:hint="eastAsia" w:ascii="仿宋" w:hAnsi="仿宋" w:eastAsia="仿宋" w:cs="仿宋"/>
                <w:highlight w:val="none"/>
                <w:lang w:val="en-US" w:eastAsia="zh-CN"/>
              </w:rPr>
              <w:t>26610.19</w:t>
            </w:r>
            <w:r>
              <w:rPr>
                <w:rFonts w:hint="eastAsia" w:ascii="仿宋" w:hAnsi="仿宋" w:eastAsia="仿宋" w:cs="仿宋"/>
                <w:highlight w:val="none"/>
                <w:lang w:val="zh-CN" w:eastAsia="zh-CN"/>
              </w:rPr>
              <w:t>万元，占总支出的</w:t>
            </w:r>
            <w:r>
              <w:rPr>
                <w:rFonts w:hint="eastAsia" w:ascii="仿宋" w:hAnsi="仿宋" w:eastAsia="仿宋" w:cs="仿宋"/>
                <w:highlight w:val="none"/>
                <w:lang w:val="en-US" w:eastAsia="zh-CN"/>
              </w:rPr>
              <w:t>95.89</w:t>
            </w:r>
            <w:r>
              <w:rPr>
                <w:rFonts w:hint="eastAsia" w:ascii="仿宋" w:hAnsi="仿宋" w:eastAsia="仿宋" w:cs="仿宋"/>
                <w:highlight w:val="none"/>
                <w:lang w:val="zh-CN" w:eastAsia="zh-CN"/>
              </w:rPr>
              <w:t>%。</w:t>
            </w:r>
          </w:p>
          <w:p w14:paraId="74CBF2E4">
            <w:pPr>
              <w:spacing w:line="300" w:lineRule="exact"/>
              <w:ind w:firstLine="420" w:firstLineChars="200"/>
              <w:rPr>
                <w:rFonts w:hint="eastAsia" w:ascii="仿宋" w:hAnsi="仿宋" w:eastAsia="仿宋" w:cs="仿宋"/>
                <w:highlight w:val="none"/>
                <w:lang w:val="zh-CN" w:eastAsia="zh-CN"/>
              </w:rPr>
            </w:pPr>
            <w:r>
              <w:rPr>
                <w:rFonts w:hint="eastAsia" w:ascii="仿宋" w:hAnsi="仿宋" w:eastAsia="仿宋" w:cs="仿宋"/>
                <w:highlight w:val="none"/>
                <w:lang w:val="en-US" w:eastAsia="zh-CN"/>
              </w:rPr>
              <w:t>3、</w:t>
            </w:r>
            <w:r>
              <w:rPr>
                <w:rFonts w:hint="eastAsia" w:ascii="仿宋" w:hAnsi="仿宋" w:eastAsia="仿宋" w:cs="仿宋"/>
                <w:highlight w:val="none"/>
                <w:lang w:val="zh-CN" w:eastAsia="zh-CN"/>
              </w:rPr>
              <w:t>“三公”经费情况</w:t>
            </w:r>
          </w:p>
          <w:p w14:paraId="6152B6EF">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zh-CN" w:eastAsia="zh-CN"/>
              </w:rPr>
              <w:t>2024年度“三公经费”预算数</w:t>
            </w:r>
            <w:r>
              <w:rPr>
                <w:rFonts w:hint="eastAsia" w:ascii="仿宋" w:hAnsi="仿宋" w:eastAsia="仿宋" w:cs="仿宋"/>
                <w:highlight w:val="none"/>
                <w:lang w:val="en-US" w:eastAsia="zh-CN"/>
              </w:rPr>
              <w:t>24.6</w:t>
            </w:r>
            <w:r>
              <w:rPr>
                <w:rFonts w:hint="eastAsia" w:ascii="仿宋" w:hAnsi="仿宋" w:eastAsia="仿宋" w:cs="仿宋"/>
                <w:highlight w:val="none"/>
                <w:lang w:val="zh-CN" w:eastAsia="zh-CN"/>
              </w:rPr>
              <w:t>万元，实际支出数</w:t>
            </w:r>
            <w:r>
              <w:rPr>
                <w:rFonts w:hint="eastAsia" w:ascii="仿宋" w:hAnsi="仿宋" w:eastAsia="仿宋" w:cs="仿宋"/>
                <w:highlight w:val="none"/>
                <w:lang w:val="en-US" w:eastAsia="zh-CN"/>
              </w:rPr>
              <w:t>14.21</w:t>
            </w:r>
            <w:r>
              <w:rPr>
                <w:rFonts w:hint="eastAsia" w:ascii="仿宋" w:hAnsi="仿宋" w:eastAsia="仿宋" w:cs="仿宋"/>
                <w:highlight w:val="none"/>
                <w:lang w:val="zh-CN" w:eastAsia="zh-CN"/>
              </w:rPr>
              <w:t>万元，</w:t>
            </w:r>
            <w:r>
              <w:rPr>
                <w:rFonts w:hint="eastAsia" w:ascii="仿宋" w:hAnsi="仿宋" w:eastAsia="仿宋" w:cs="仿宋"/>
                <w:highlight w:val="none"/>
                <w:lang w:val="en-US" w:eastAsia="zh-CN"/>
              </w:rPr>
              <w:t>费用控制率57.76</w:t>
            </w:r>
            <w:r>
              <w:rPr>
                <w:rFonts w:hint="eastAsia" w:ascii="仿宋" w:hAnsi="仿宋" w:eastAsia="仿宋" w:cs="仿宋"/>
                <w:highlight w:val="none"/>
                <w:lang w:val="zh-CN" w:eastAsia="zh-CN"/>
              </w:rPr>
              <w:t>%。</w:t>
            </w:r>
          </w:p>
          <w:p w14:paraId="7DB206D3">
            <w:pPr>
              <w:spacing w:line="30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二</w:t>
            </w:r>
            <w:r>
              <w:rPr>
                <w:rFonts w:hint="eastAsia" w:ascii="仿宋" w:hAnsi="仿宋" w:eastAsia="仿宋" w:cs="仿宋"/>
                <w:highlight w:val="none"/>
              </w:rPr>
              <w:t>、</w:t>
            </w:r>
            <w:r>
              <w:rPr>
                <w:rFonts w:hint="eastAsia" w:ascii="仿宋" w:hAnsi="仿宋" w:eastAsia="仿宋" w:cs="仿宋"/>
                <w:highlight w:val="none"/>
                <w:lang w:val="en-US" w:eastAsia="zh-CN"/>
              </w:rPr>
              <w:t>专项</w:t>
            </w:r>
            <w:r>
              <w:rPr>
                <w:rFonts w:hint="eastAsia" w:ascii="仿宋" w:hAnsi="仿宋" w:eastAsia="仿宋" w:cs="仿宋"/>
                <w:highlight w:val="none"/>
              </w:rPr>
              <w:t>项目情况</w:t>
            </w:r>
          </w:p>
          <w:p w14:paraId="0957E866">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(1)水电气物业绿化支出</w:t>
            </w:r>
          </w:p>
          <w:p w14:paraId="74282041">
            <w:pPr>
              <w:numPr>
                <w:ilvl w:val="0"/>
                <w:numId w:val="0"/>
              </w:numPr>
              <w:spacing w:line="300" w:lineRule="exact"/>
              <w:ind w:firstLine="420" w:firstLineChars="200"/>
              <w:rPr>
                <w:rFonts w:hint="default" w:ascii="仿宋" w:hAnsi="仿宋" w:eastAsia="仿宋" w:cs="仿宋"/>
                <w:highlight w:val="none"/>
                <w:lang w:val="en-US" w:eastAsia="zh-CN"/>
              </w:rPr>
            </w:pPr>
            <w:r>
              <w:rPr>
                <w:rFonts w:hint="eastAsia" w:ascii="仿宋" w:hAnsi="仿宋" w:eastAsia="仿宋" w:cs="仿宋"/>
                <w:highlight w:val="none"/>
                <w:lang w:val="en-US" w:eastAsia="zh-CN"/>
              </w:rPr>
              <w:t>为保证公共服务的正常运行以及服务管理工作的正常运转，保证办公、办事环境，提高行政中心的物业管理水平，加强行政服务中心事务管理，确保行政服务中心平稳运行，对管委会大楼的设施设备日常保养维护、环境卫生日常清理优化，维护良好的工作秩序、排除安全隐患，特设立本项目。年初预算资金380万元，本年实际支出数372.65万元，预算执行率98%。全年提供会务服务1684场，消防设备巡查1443次，日常保洁覆盖率100%，做到日产日清，环境整洁，实行24小时值班巡逻工作制，定人定岗，对重点区域、重点部位进行昼夜巡查，有效保障县行政服务中心财产安全。通过汇总调查问卷结果，抽查的单位职工对项目实施的满意度为100%。</w:t>
            </w:r>
          </w:p>
          <w:p w14:paraId="38845E3D">
            <w:pPr>
              <w:numPr>
                <w:ilvl w:val="0"/>
                <w:numId w:val="0"/>
              </w:num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(2)投资评审项目</w:t>
            </w:r>
          </w:p>
          <w:p w14:paraId="6F3ABF80">
            <w:pPr>
              <w:numPr>
                <w:ilvl w:val="0"/>
                <w:numId w:val="0"/>
              </w:num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投资评审项目是天易经开区为加强评审工作履职所需的辅助性服务，为提高天易经开区政府投资项目评审质量和效率，将部分工程项目的评审通过政府采购程序，委托给具有相关资质的第三方中介机构进行评审,确保年度评审工作任务应审尽审。年初预算资金200万元，本年实际支出数195.78万元，预算执行率97.89%。2024年共完成政府性投资预算评审项目9个，完成政府性投资项目结算评审30个。根据上级政策，结合部门职责，综合历年审计经验，修编了经开区新的《湘潭天易经开区项目投资评审管理办法》和《湘潭天易经开区投资评审工作联席会议制度》。实行“内外两审、三审一批”等评审流程，为有序推进工作提供了制度遵循。针对经开区历年来累积的审计遗留问题，投资评审中心积极担当、主动作为，推动了遗留问题的解决。积极推动审计局退还项目天马路、滨江路等交通设施优化工程10个项目结算评审工作，较好地完成了各项工作任务。</w:t>
            </w:r>
          </w:p>
          <w:p w14:paraId="42214E94">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(3)被征地农民社保经费</w:t>
            </w:r>
          </w:p>
          <w:p w14:paraId="156F1FA5">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为妥善处理被征地农民社会保障问题，及时将被征地农民社会保障对象纳入基本养老保险范围,全面落实被征地农民社会保障对象养老保险缴费补贴,全力维护被征地农民社会保障对象权益,确保被征地农民社会保障对象当前生活有改善、长远生计有保障，特设立被征地农民社保经费项目。年初预算资金数1000万元，实际支出数952.81万元，预算执行率95.28%。2024年天易经开区应为1115名被征地农民全额缴纳养老保险，实际完成缴费624名。第一批206名，第二批418名（其中31人为部分缴费），剩余人数为就业人员已经由参保单位或个人进行缴费，无法缴费，拟采用缴费补贴的方式将该部分资金补贴给个人。</w:t>
            </w:r>
          </w:p>
          <w:p w14:paraId="0713C67F">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2025年4月天易经开区为522名（其中31人为部分缴费）已自行缴费的被征地农民办理政府补贴退费。截至2025年4月，2024年天易经开区逐年缴费的1115名被征地农民政府补贴已全部缴纳到位。</w:t>
            </w:r>
          </w:p>
          <w:p w14:paraId="73B87AA1">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(4)PPP项目</w:t>
            </w:r>
          </w:p>
          <w:p w14:paraId="734E73FB">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市政物流园PPP项目是根据《市政工程PPP项目合同》的约定，履行政府付费义务而设立的项目。年初预算资金4,600.00万元，实际支出4599.37万元，项目通车后，大幅缓解了原有道路的交通压力，缩短了区域间的出行时间，提高了运输效率，对促进沿线产业集聚发展和城乡一体化进程具有重要意义。项目的实施带动了沿线物流运输等相关产业的发展，增强了区域经济活力。同时，通过优化交通条件，吸引了更多企业投资落户，为地方经济发展注入了新动能。</w:t>
            </w:r>
          </w:p>
        </w:tc>
      </w:tr>
      <w:tr w14:paraId="7A8F5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55C2A90E">
            <w:pPr>
              <w:spacing w:line="576" w:lineRule="exact"/>
              <w:jc w:val="center"/>
              <w:rPr>
                <w:rFonts w:hint="eastAsia" w:ascii="仿宋" w:hAnsi="仿宋" w:eastAsia="仿宋" w:cs="仿宋"/>
                <w:szCs w:val="21"/>
                <w:highlight w:val="none"/>
              </w:rPr>
            </w:pPr>
          </w:p>
        </w:tc>
        <w:tc>
          <w:tcPr>
            <w:tcW w:w="1985" w:type="dxa"/>
            <w:vAlign w:val="center"/>
          </w:tcPr>
          <w:p w14:paraId="1CB6E444">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绩效目标完成情况</w:t>
            </w:r>
          </w:p>
        </w:tc>
        <w:tc>
          <w:tcPr>
            <w:tcW w:w="5702" w:type="dxa"/>
          </w:tcPr>
          <w:p w14:paraId="2906D314">
            <w:pPr>
              <w:spacing w:line="30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一</w:t>
            </w:r>
            <w:r>
              <w:rPr>
                <w:rFonts w:hint="eastAsia" w:ascii="仿宋" w:hAnsi="仿宋" w:eastAsia="仿宋" w:cs="仿宋"/>
                <w:szCs w:val="21"/>
                <w:highlight w:val="none"/>
              </w:rPr>
              <w:t>）预算管理绩效</w:t>
            </w:r>
            <w:r>
              <w:rPr>
                <w:rFonts w:hint="eastAsia" w:ascii="仿宋" w:hAnsi="仿宋" w:eastAsia="仿宋" w:cs="仿宋"/>
                <w:szCs w:val="21"/>
                <w:highlight w:val="none"/>
                <w:lang w:val="en-US" w:eastAsia="zh-CN"/>
              </w:rPr>
              <w:t>情况</w:t>
            </w:r>
          </w:p>
          <w:p w14:paraId="1B1D75DE">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eastAsia="zh-CN"/>
              </w:rPr>
              <w:t>2024年</w:t>
            </w:r>
            <w:r>
              <w:rPr>
                <w:rFonts w:hint="eastAsia" w:ascii="仿宋" w:hAnsi="仿宋" w:eastAsia="仿宋" w:cs="仿宋"/>
                <w:szCs w:val="21"/>
                <w:highlight w:val="none"/>
              </w:rPr>
              <w:t>天易经开区为贯彻落实好党中央国务院关于全面实施预算绩效管理的意见的决策部署，根据湘潭县财政局预算绩效管理工作安排，</w:t>
            </w:r>
            <w:r>
              <w:rPr>
                <w:rFonts w:hint="eastAsia" w:ascii="仿宋" w:hAnsi="仿宋" w:eastAsia="仿宋" w:cs="仿宋"/>
                <w:szCs w:val="21"/>
                <w:highlight w:val="none"/>
                <w:lang w:val="en-US" w:eastAsia="zh-CN"/>
              </w:rPr>
              <w:t>制定了年度</w:t>
            </w:r>
            <w:r>
              <w:rPr>
                <w:rFonts w:hint="eastAsia" w:ascii="仿宋" w:hAnsi="仿宋" w:eastAsia="仿宋" w:cs="仿宋"/>
                <w:szCs w:val="21"/>
                <w:highlight w:val="none"/>
              </w:rPr>
              <w:t>绩效自评方案</w:t>
            </w:r>
            <w:r>
              <w:rPr>
                <w:rFonts w:hint="eastAsia" w:ascii="仿宋" w:hAnsi="仿宋" w:eastAsia="仿宋" w:cs="仿宋"/>
                <w:szCs w:val="21"/>
                <w:highlight w:val="none"/>
                <w:lang w:eastAsia="zh-CN"/>
              </w:rPr>
              <w:t>，</w:t>
            </w:r>
            <w:r>
              <w:rPr>
                <w:rFonts w:hint="eastAsia" w:ascii="仿宋" w:hAnsi="仿宋" w:eastAsia="仿宋" w:cs="仿宋"/>
                <w:szCs w:val="21"/>
                <w:highlight w:val="none"/>
              </w:rPr>
              <w:t>开展了年度内预算资金绩效目标管理、绩效跟踪监控和绩效评价工作；对预算绩效管理实行全覆盖，实现预算和绩效管理一体化，着力于提高财政资源配置效率和使用效益，持续推进“全方位、全过程、全覆盖”的绩效管理机制。</w:t>
            </w:r>
          </w:p>
          <w:p w14:paraId="77C7DCC8">
            <w:pPr>
              <w:spacing w:line="300" w:lineRule="exact"/>
              <w:ind w:firstLine="420" w:firstLineChars="200"/>
              <w:rPr>
                <w:rFonts w:hint="default" w:ascii="仿宋" w:hAnsi="仿宋" w:eastAsia="仿宋" w:cs="仿宋"/>
                <w:szCs w:val="21"/>
                <w:highlight w:val="none"/>
                <w:lang w:val="en-US" w:eastAsia="zh-CN"/>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二</w:t>
            </w:r>
            <w:r>
              <w:rPr>
                <w:rFonts w:hint="eastAsia" w:ascii="仿宋" w:hAnsi="仿宋" w:eastAsia="仿宋" w:cs="仿宋"/>
                <w:szCs w:val="21"/>
                <w:highlight w:val="none"/>
              </w:rPr>
              <w:t>）预算</w:t>
            </w:r>
            <w:r>
              <w:rPr>
                <w:rFonts w:hint="eastAsia" w:ascii="仿宋" w:hAnsi="仿宋" w:eastAsia="仿宋" w:cs="仿宋"/>
                <w:szCs w:val="21"/>
                <w:highlight w:val="none"/>
                <w:lang w:val="en-US" w:eastAsia="zh-CN"/>
              </w:rPr>
              <w:t>绩效目标完成情况</w:t>
            </w:r>
          </w:p>
          <w:p w14:paraId="43AA0924">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1.产业发展再提质。聚焦食品医药、新材料和先进装备制造“一主一特一先”产业定位，深入开展“千百十”工程，认真实施“八大行动”，扎实推进“两重两新”“三改一扩”工作，全年新增规模工业企业14家，总数达199家；组织申报高新技术企业43家，总数达105家；新增省级专精特新企业7家，国、省级专精特新企业总数达45家；信诺、新大等6家企业入选省上市后备企业名单。韶力电机车、金铠电池匣钵、信诺搪瓷材料获评省制造业单项冠军。狠抓主导产业集聚发展，三大产业主营收入年均增长保持在10%以上。全年完成规模工业产值431.5亿元，增长7%以上；规模工业增加值增长11%以上；完成固定资产投资151.95亿元，占全县比重60%；完成税收13.59亿元，增长18.29%。特别是皇爷纳税2.83亿元，伍子醉纳税1.36亿元，创历史新高。规模工业增加值增速、税收增速等经济指标居全市二类园区第一。湘莲精深加工产业入选全省特色产业集群。</w:t>
            </w:r>
          </w:p>
          <w:p w14:paraId="0733BF98">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2.招商引资再提标。把招商引资作为头等大事，细化、量化招商引资考核目标，规范优化招商引资合同。坚持领导带头招商，主要领导赴北京、上海、深圳等地招商40余次。落实“我是招商员”机制，全力推进全员招商，深入开展驻点招商、以商招商、校友招商，积极探索专业化、市场化招商，招商引资取得新成效。全年共引进产业项目49个，其中亿元以上项目20个，“三类500强”项目2个，湘商回归项目16个，湘商到位资金36.3亿元，直接利用外资191万美元，外商间接投资1.1亿元，引进外资企业2家，积极引进马来西亚闵和国际与皇爷强强联合。全年湘商到位资金、直接利用外资均为全市二类园区最多。</w:t>
            </w:r>
          </w:p>
          <w:p w14:paraId="3CB86B7C">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3.项目建设再提效。大抓重点项目，全年铺排重点工程项目46个，累计完成投资64.58亿元，柏屹2.2期、新大粉末等项目完成主体建设，五年半食品、中润科技等15个项目建成投产。飞羊西路竣工通车，玉龙路“半拉子”工程拉通并销号。大抓争资争项，累计争取中央、省预内资金、超长期特别国债1.1亿元，争取发改、工信等政策性资金3000万元。大抓降本增效，为解决财政投资不足难题，在推进天易创新城二期项目建设中，通过变“废”为宝，将场平废弃石方资源化利用，大幅降低成本，338亩土地场平费用从7000万元压减到400万元；通过评定分离，确保项目公平公正。贺波书记批示“这个案例体现了创造性、系统性、主动性、科学性，有利于大家在攻坚克难中开阔视野、创新方法，具有推广价值，值得学习”。</w:t>
            </w:r>
          </w:p>
          <w:p w14:paraId="78A9B767">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4.科技创新再提档。大力搭建创新平台，累计建成省、市工程技术研究中心（企业技术中心）42家，天易众创空间连续2年获评省级优秀众创空间。鼓励企业加大研发投入，截至11月完成规工企业研发投入12.58亿元，增长3.4%，高新技术产业营收增长8.2%，有效发明专利达231件。与岳麓山工业创新中心签订合作协议，加强企业与湖南大学、中南大学、湘潭大学、湖南科技大学等高校产学研合作，完成技术合同登记数400余项，技术合同交易额23亿元，增长25%；其中承接湘潭本土高校科技成果转化18项，金额达692万元。</w:t>
            </w:r>
          </w:p>
          <w:p w14:paraId="5884C71F">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5.有效防控债务风险。制定一债一策，主要领导一周一碰头、一月一调度，高位推进融资化债。</w:t>
            </w:r>
          </w:p>
          <w:p w14:paraId="037D0FF8">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6.守牢安全环保底线。强化安全生产监督检查，召开区安委会5次，党工委主要领导带队开展安全生产督查21次。邀请专家开展安全生产宣传培训4次，进一步压实安全生产主体责任，提升管理水平。全年完成“三同时”40家，设计诊断66家，进一步夯实安全基础。聘请安全管家，驻点园区开展安全隐患排查服务，共排查整改隐患793条，园区安全生产大局稳定。聘请环保管家，建立园区环境监管信息平台，开展企业环保帮扶指导156次，有效提升园区环保管理水平。扎实抓好中央环保督察交办的7个问题整改，园区生态环境持续好转。</w:t>
            </w:r>
          </w:p>
          <w:p w14:paraId="5C86BFAD">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7.深化公司改革。顺利将湘潭天易发展集团、湘潭莲乡发展集团优化整合为1家公司，公司人员由100人精简至55人，内设部门整合至7个，子公司减少至5家。启动清产核资，推进资源配置合理化、主营业务板块化，聚焦产业发展、资产盘活、股权投资等主营业务，加快向“投资端”转型。同时，逐步拓展特许经营权、光伏发电等新业务，加快市场化运营转型。</w:t>
            </w:r>
          </w:p>
          <w:p w14:paraId="0D4FFD96">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8.深化柏屹模式。着力建设天易轨道交通配套产业园和天易食品医药产业园两个市级专业示范园区，实施“五统一”市场化运营模式，得到省、市肯定推广。组建专业团队开展市场化招商、运营，通过“联合预审”加强对项目的准入把关，并提供一站式高效服务，2024年新引进投产项目27个，新开发面积300亩。轨道交通配套产业园累计开发1200亩，引进企业200余家；食品医药产业园累计开发400亩，引进企业126家。推进调区扩区，拓展发展空间。</w:t>
            </w:r>
          </w:p>
          <w:p w14:paraId="073E3783">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9.开通“天易直通车”，提升服务质效。完善“三员三式”网格化管理服务，对园区559家工贸企业开展“一企一册”建档，全体干部职工下沉至8个网格，实现企业服务全覆盖。创新开设“天易直通车”，搭建“便、专、快、好”政企联心桥，企业只需一通电话、一条短信、一次扫码、一番交流即可解决难心事。2024年共受理200多家企业反映的建设管理、融资需求等11类问题共计258个，已办结250个，园区企业的获得感、归属感全面提升。</w:t>
            </w:r>
          </w:p>
          <w:p w14:paraId="1CA9066E">
            <w:pPr>
              <w:spacing w:line="300" w:lineRule="exact"/>
              <w:ind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10.强化要素保障，降低企业成本。大力开展低效闲置用地清理，以成本价收回胖哥二期110亩用地，保障中成科技、华远总部等项目落地。积极协调聚森热能、中石油昆仑燃气、县电力公司加大投资力度，提升供热、供气、供电保障能力。与市担保公司、县莲乡担保公司合作，制定担保白名单制度，园区财政设立200万元信贷风险补偿金，为企业提供“潭担E贷”等快捷担保贷款服务。高位推进政银企合作，新增中小企业授信额度20亿元，发放中小企业贷款16亿元，助力企业发展。</w:t>
            </w:r>
          </w:p>
        </w:tc>
      </w:tr>
      <w:tr w14:paraId="6473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5DC7953F">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存在的问题分析及改进措施</w:t>
            </w:r>
          </w:p>
        </w:tc>
        <w:tc>
          <w:tcPr>
            <w:tcW w:w="1985" w:type="dxa"/>
            <w:vAlign w:val="center"/>
          </w:tcPr>
          <w:p w14:paraId="5CE20760">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存在的问题</w:t>
            </w:r>
          </w:p>
        </w:tc>
        <w:tc>
          <w:tcPr>
            <w:tcW w:w="5702" w:type="dxa"/>
            <w:vAlign w:val="center"/>
          </w:tcPr>
          <w:p w14:paraId="6811BBD5">
            <w:pPr>
              <w:numPr>
                <w:ilvl w:val="0"/>
                <w:numId w:val="2"/>
              </w:numPr>
              <w:spacing w:line="300" w:lineRule="exact"/>
              <w:ind w:left="0" w:leftChars="0" w:firstLine="420" w:firstLineChars="200"/>
              <w:rPr>
                <w:rFonts w:hint="eastAsia" w:ascii="仿宋" w:hAnsi="仿宋" w:eastAsia="仿宋" w:cs="仿宋"/>
                <w:highlight w:val="none"/>
                <w:lang w:val="en-US" w:eastAsia="zh-CN"/>
              </w:rPr>
            </w:pPr>
            <w:r>
              <w:rPr>
                <w:rFonts w:hint="eastAsia" w:ascii="仿宋" w:hAnsi="仿宋" w:eastAsia="仿宋" w:cs="仿宋"/>
                <w:highlight w:val="none"/>
                <w:lang w:val="en-US" w:eastAsia="zh-CN"/>
              </w:rPr>
              <w:t>绩效目标申报表和监控表的指标设置有待进一步完善，需结合本年度部门整体资金规模进行优化调整，以更加全面客观地反映部门整体支出的实施效果。</w:t>
            </w:r>
          </w:p>
          <w:p w14:paraId="4BB9A70E">
            <w:pPr>
              <w:numPr>
                <w:ilvl w:val="0"/>
                <w:numId w:val="2"/>
              </w:numPr>
              <w:spacing w:line="300" w:lineRule="exact"/>
              <w:ind w:left="0" w:leftChars="0"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园区产业结构有待提升。目前除食品产业外，新材料产业、装备制造产业中具有较强带动作用的支柱型企业和龙头企业相对不足，主特产业比重有待提高，产业链建设需要持续加强。</w:t>
            </w:r>
          </w:p>
          <w:p w14:paraId="23C0C881">
            <w:pPr>
              <w:numPr>
                <w:ilvl w:val="0"/>
                <w:numId w:val="2"/>
              </w:numPr>
              <w:spacing w:line="300" w:lineRule="exact"/>
              <w:ind w:left="0" w:leftChars="0" w:firstLine="420" w:firstLineChars="200"/>
              <w:rPr>
                <w:rFonts w:hint="eastAsia" w:ascii="仿宋" w:hAnsi="仿宋" w:eastAsia="仿宋" w:cs="仿宋"/>
                <w:szCs w:val="21"/>
                <w:highlight w:val="none"/>
              </w:rPr>
            </w:pPr>
            <w:r>
              <w:rPr>
                <w:rFonts w:hint="eastAsia" w:ascii="仿宋" w:hAnsi="仿宋" w:eastAsia="仿宋" w:cs="仿宋"/>
                <w:highlight w:val="none"/>
                <w:lang w:val="en-US" w:eastAsia="zh-CN"/>
              </w:rPr>
              <w:t>在人才队伍建设方面，作为落户县域的省级园区，在吸引和留住优秀人才方面面临一定挑战，特别是在招商引资、园区市场化专业化运营等领域的专业人才储备需要进一步加强。</w:t>
            </w:r>
          </w:p>
        </w:tc>
      </w:tr>
      <w:tr w14:paraId="7D48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54D3F194">
            <w:pPr>
              <w:spacing w:line="576" w:lineRule="exact"/>
              <w:jc w:val="center"/>
              <w:rPr>
                <w:rFonts w:hint="eastAsia" w:ascii="仿宋" w:hAnsi="仿宋" w:eastAsia="仿宋" w:cs="仿宋"/>
                <w:szCs w:val="21"/>
                <w:highlight w:val="none"/>
              </w:rPr>
            </w:pPr>
          </w:p>
        </w:tc>
        <w:tc>
          <w:tcPr>
            <w:tcW w:w="1985" w:type="dxa"/>
            <w:vAlign w:val="center"/>
          </w:tcPr>
          <w:p w14:paraId="6FD0F0C2">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改进措施</w:t>
            </w:r>
          </w:p>
        </w:tc>
        <w:tc>
          <w:tcPr>
            <w:tcW w:w="5702" w:type="dxa"/>
          </w:tcPr>
          <w:p w14:paraId="5A1230E6">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1.不断提高预算管理水平，督促基层部门开展预算绩效管理工作，从具体业务方面入手，制定适合部门支出特点的绩效指标。根据园区发展战略，制定涵盖经济效益、社会效益、环境效益等多维度的（关键绩效指标），并定期更新以适应变化的需求</w:t>
            </w:r>
            <w:r>
              <w:rPr>
                <w:rFonts w:hint="eastAsia" w:ascii="仿宋" w:hAnsi="仿宋" w:eastAsia="仿宋" w:cs="仿宋"/>
                <w:szCs w:val="21"/>
                <w:highlight w:val="none"/>
                <w:lang w:eastAsia="zh-CN"/>
              </w:rPr>
              <w:t>，</w:t>
            </w:r>
            <w:r>
              <w:rPr>
                <w:rFonts w:hint="eastAsia" w:ascii="仿宋" w:hAnsi="仿宋" w:eastAsia="仿宋" w:cs="仿宋"/>
                <w:szCs w:val="21"/>
                <w:highlight w:val="none"/>
              </w:rPr>
              <w:t>提供更全面的数据支持决策，促进园区均衡发展。</w:t>
            </w:r>
          </w:p>
          <w:p w14:paraId="4F38EE17">
            <w:pPr>
              <w:spacing w:line="30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2．明确产业发展方向，突出主特产业定位</w:t>
            </w:r>
            <w:r>
              <w:rPr>
                <w:rFonts w:hint="eastAsia" w:ascii="仿宋" w:hAnsi="仿宋" w:eastAsia="仿宋" w:cs="仿宋"/>
                <w:szCs w:val="21"/>
                <w:highlight w:val="none"/>
                <w:lang w:eastAsia="zh-CN"/>
              </w:rPr>
              <w:t>。</w:t>
            </w:r>
            <w:r>
              <w:rPr>
                <w:rFonts w:hint="eastAsia" w:ascii="仿宋" w:hAnsi="仿宋" w:eastAsia="仿宋" w:cs="仿宋"/>
                <w:szCs w:val="21"/>
                <w:highlight w:val="none"/>
              </w:rPr>
              <w:t>结合区域资源禀赋和发展基础，聚焦食品、新材料、装备制造等重点产业，打造“一主一特”或“一主多特”格局</w:t>
            </w:r>
            <w:r>
              <w:rPr>
                <w:rFonts w:hint="eastAsia" w:ascii="仿宋" w:hAnsi="仿宋" w:eastAsia="仿宋" w:cs="仿宋"/>
                <w:szCs w:val="21"/>
                <w:highlight w:val="none"/>
                <w:lang w:eastAsia="zh-CN"/>
              </w:rPr>
              <w:t>，</w:t>
            </w:r>
            <w:r>
              <w:rPr>
                <w:rFonts w:hint="eastAsia" w:ascii="仿宋" w:hAnsi="仿宋" w:eastAsia="仿宋" w:cs="仿宋"/>
                <w:szCs w:val="21"/>
                <w:highlight w:val="none"/>
              </w:rPr>
              <w:t>制定产业发展路线图，明确各阶段发展目标和支持政策。加大招商引资力度，引进龙头企业带动集群发展</w:t>
            </w:r>
            <w:r>
              <w:rPr>
                <w:rFonts w:hint="eastAsia" w:ascii="仿宋" w:hAnsi="仿宋" w:eastAsia="仿宋" w:cs="仿宋"/>
                <w:szCs w:val="21"/>
                <w:highlight w:val="none"/>
                <w:lang w:eastAsia="zh-CN"/>
              </w:rPr>
              <w:t>。</w:t>
            </w:r>
            <w:r>
              <w:rPr>
                <w:rFonts w:hint="eastAsia" w:ascii="仿宋" w:hAnsi="仿宋" w:eastAsia="仿宋" w:cs="仿宋"/>
                <w:szCs w:val="21"/>
                <w:highlight w:val="none"/>
              </w:rPr>
              <w:t>推动本地企业转型升级，促进上下游协同发展</w:t>
            </w:r>
            <w:r>
              <w:rPr>
                <w:rFonts w:hint="eastAsia" w:ascii="仿宋" w:hAnsi="仿宋" w:eastAsia="仿宋" w:cs="仿宋"/>
                <w:szCs w:val="21"/>
                <w:highlight w:val="none"/>
                <w:lang w:eastAsia="zh-CN"/>
              </w:rPr>
              <w:t>。</w:t>
            </w:r>
          </w:p>
          <w:p w14:paraId="7C1E6BB2">
            <w:pPr>
              <w:spacing w:line="30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val="en-US" w:eastAsia="zh-CN"/>
              </w:rPr>
              <w:t>3.加强人才培养和梯队建设。开展定期培训、外出考察学习等活动，提升现有队伍业务能力和综合素质，与高等院校、职业院校合作共建实训基地，定向培养适用型人才。</w:t>
            </w:r>
          </w:p>
        </w:tc>
      </w:tr>
      <w:tr w14:paraId="18FC7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384" w:type="dxa"/>
            <w:vMerge w:val="continue"/>
          </w:tcPr>
          <w:p w14:paraId="703E93C8">
            <w:pPr>
              <w:spacing w:line="576" w:lineRule="exact"/>
              <w:jc w:val="center"/>
              <w:rPr>
                <w:rFonts w:hint="eastAsia" w:ascii="仿宋" w:hAnsi="仿宋" w:eastAsia="仿宋" w:cs="仿宋"/>
                <w:szCs w:val="21"/>
                <w:highlight w:val="none"/>
              </w:rPr>
            </w:pPr>
          </w:p>
        </w:tc>
        <w:tc>
          <w:tcPr>
            <w:tcW w:w="1985" w:type="dxa"/>
            <w:vAlign w:val="center"/>
          </w:tcPr>
          <w:p w14:paraId="46C7B622">
            <w:pPr>
              <w:spacing w:line="576" w:lineRule="exact"/>
              <w:jc w:val="center"/>
              <w:rPr>
                <w:rFonts w:hint="eastAsia" w:ascii="仿宋" w:hAnsi="仿宋" w:eastAsia="仿宋" w:cs="仿宋"/>
                <w:szCs w:val="21"/>
                <w:highlight w:val="none"/>
              </w:rPr>
            </w:pPr>
            <w:r>
              <w:rPr>
                <w:rFonts w:hint="eastAsia" w:ascii="仿宋" w:hAnsi="仿宋" w:eastAsia="仿宋" w:cs="仿宋"/>
                <w:szCs w:val="21"/>
                <w:highlight w:val="none"/>
              </w:rPr>
              <w:t>其他需要说明问题</w:t>
            </w:r>
          </w:p>
        </w:tc>
        <w:tc>
          <w:tcPr>
            <w:tcW w:w="5702" w:type="dxa"/>
            <w:vAlign w:val="center"/>
          </w:tcPr>
          <w:p w14:paraId="035BF76C">
            <w:pPr>
              <w:spacing w:line="576" w:lineRule="exact"/>
              <w:ind w:right="879" w:rightChars="419"/>
              <w:jc w:val="center"/>
              <w:rPr>
                <w:rFonts w:hint="eastAsia" w:ascii="仿宋" w:hAnsi="仿宋" w:eastAsia="仿宋" w:cs="仿宋"/>
                <w:szCs w:val="21"/>
                <w:highlight w:val="none"/>
              </w:rPr>
            </w:pPr>
            <w:r>
              <w:rPr>
                <w:rFonts w:hint="eastAsia" w:ascii="仿宋" w:hAnsi="仿宋" w:eastAsia="仿宋" w:cs="仿宋"/>
                <w:szCs w:val="21"/>
                <w:highlight w:val="none"/>
              </w:rPr>
              <w:t>无</w:t>
            </w:r>
          </w:p>
        </w:tc>
      </w:tr>
    </w:tbl>
    <w:p w14:paraId="24151AB3">
      <w:pPr>
        <w:pStyle w:val="18"/>
        <w:spacing w:line="600" w:lineRule="exact"/>
        <w:ind w:firstLine="640" w:firstLineChars="200"/>
        <w:jc w:val="both"/>
        <w:rPr>
          <w:rFonts w:ascii="Times New Roman" w:hAnsi="Times New Roman" w:eastAsia="仿宋_GB2312" w:cs="Times New Roman"/>
          <w:sz w:val="32"/>
          <w:szCs w:val="32"/>
        </w:rPr>
      </w:pPr>
    </w:p>
    <w:p w14:paraId="6242D675">
      <w:pPr>
        <w:pStyle w:val="18"/>
        <w:jc w:val="both"/>
        <w:rPr>
          <w:rFonts w:cs="Times New Roman"/>
          <w:sz w:val="72"/>
          <w:szCs w:val="72"/>
        </w:rPr>
      </w:pPr>
    </w:p>
    <w:p w14:paraId="57E8248B">
      <w:pPr>
        <w:pStyle w:val="18"/>
        <w:jc w:val="both"/>
        <w:rPr>
          <w:rFonts w:cs="Times New Roman"/>
          <w:sz w:val="72"/>
          <w:szCs w:val="72"/>
        </w:rPr>
      </w:pPr>
    </w:p>
    <w:p w14:paraId="25AAC56B">
      <w:pPr>
        <w:jc w:val="both"/>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7308E0-02F7-4292-A02D-C26526C674E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919609AF-90AA-454F-97F2-744D44D01555}"/>
  </w:font>
  <w:font w:name="方正小标宋_GBK">
    <w:panose1 w:val="02000000000000000000"/>
    <w:charset w:val="86"/>
    <w:family w:val="script"/>
    <w:pitch w:val="default"/>
    <w:sig w:usb0="A00002BF" w:usb1="38CF7CFA" w:usb2="00082016" w:usb3="00000000" w:csb0="00040001" w:csb1="00000000"/>
    <w:embedRegular r:id="rId3" w:fontKey="{C2CF0E8D-8EEC-423B-BB62-4577C60FEF4C}"/>
  </w:font>
  <w:font w:name="仿宋_GB2312">
    <w:panose1 w:val="02010609030101010101"/>
    <w:charset w:val="86"/>
    <w:family w:val="modern"/>
    <w:pitch w:val="default"/>
    <w:sig w:usb0="00000001" w:usb1="080E0000" w:usb2="00000000" w:usb3="00000000" w:csb0="00040000" w:csb1="00000000"/>
    <w:embedRegular r:id="rId4" w:fontKey="{7199399B-E890-4C2C-8154-FD0CC327FF92}"/>
  </w:font>
  <w:font w:name="仿宋">
    <w:panose1 w:val="02010609060101010101"/>
    <w:charset w:val="86"/>
    <w:family w:val="auto"/>
    <w:pitch w:val="default"/>
    <w:sig w:usb0="800002BF" w:usb1="38CF7CFA" w:usb2="00000016" w:usb3="00000000" w:csb0="00040001" w:csb1="00000000"/>
    <w:embedRegular r:id="rId5" w:fontKey="{528A554D-4010-41DE-81EB-9512DDD91C5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A3F203"/>
    <w:multiLevelType w:val="singleLevel"/>
    <w:tmpl w:val="08A3F203"/>
    <w:lvl w:ilvl="0" w:tentative="0">
      <w:start w:val="7"/>
      <w:numFmt w:val="chineseCounting"/>
      <w:suff w:val="nothing"/>
      <w:lvlText w:val="%1、"/>
      <w:lvlJc w:val="left"/>
      <w:rPr>
        <w:rFonts w:hint="eastAsia"/>
      </w:rPr>
    </w:lvl>
  </w:abstractNum>
  <w:abstractNum w:abstractNumId="1">
    <w:nsid w:val="654CED20"/>
    <w:multiLevelType w:val="singleLevel"/>
    <w:tmpl w:val="654CED2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150180B"/>
    <w:rsid w:val="02B32C00"/>
    <w:rsid w:val="031C2553"/>
    <w:rsid w:val="0765110A"/>
    <w:rsid w:val="093C394F"/>
    <w:rsid w:val="0B0B2AE9"/>
    <w:rsid w:val="0C254A1B"/>
    <w:rsid w:val="0CAF2875"/>
    <w:rsid w:val="0FDE1E81"/>
    <w:rsid w:val="10BE733F"/>
    <w:rsid w:val="183F1EE3"/>
    <w:rsid w:val="19D707EA"/>
    <w:rsid w:val="1A464151"/>
    <w:rsid w:val="1D591CD5"/>
    <w:rsid w:val="1D97DEFF"/>
    <w:rsid w:val="1DED4DC0"/>
    <w:rsid w:val="1DFF72E5"/>
    <w:rsid w:val="1E004AF3"/>
    <w:rsid w:val="1EFC6F07"/>
    <w:rsid w:val="1F4B72EC"/>
    <w:rsid w:val="22854C5B"/>
    <w:rsid w:val="23884B77"/>
    <w:rsid w:val="270B7843"/>
    <w:rsid w:val="27A50107"/>
    <w:rsid w:val="2BF20CFC"/>
    <w:rsid w:val="2F435524"/>
    <w:rsid w:val="2F4405B8"/>
    <w:rsid w:val="2FDF85B8"/>
    <w:rsid w:val="2FFFEE04"/>
    <w:rsid w:val="30202F18"/>
    <w:rsid w:val="311E37B6"/>
    <w:rsid w:val="320E5DE2"/>
    <w:rsid w:val="325F5E35"/>
    <w:rsid w:val="33A813C3"/>
    <w:rsid w:val="34DF85B0"/>
    <w:rsid w:val="35A156BB"/>
    <w:rsid w:val="3B8F36BC"/>
    <w:rsid w:val="3BCE554D"/>
    <w:rsid w:val="3BD75940"/>
    <w:rsid w:val="3C564B84"/>
    <w:rsid w:val="3DDC106A"/>
    <w:rsid w:val="403C77B5"/>
    <w:rsid w:val="491FF225"/>
    <w:rsid w:val="4CA23096"/>
    <w:rsid w:val="4ECA2430"/>
    <w:rsid w:val="4FF21C3E"/>
    <w:rsid w:val="4FFD214C"/>
    <w:rsid w:val="5302488E"/>
    <w:rsid w:val="542550F6"/>
    <w:rsid w:val="54AB0D10"/>
    <w:rsid w:val="551F0267"/>
    <w:rsid w:val="55583898"/>
    <w:rsid w:val="5777D4F5"/>
    <w:rsid w:val="58283866"/>
    <w:rsid w:val="58E453F8"/>
    <w:rsid w:val="59DD8326"/>
    <w:rsid w:val="5A201A9E"/>
    <w:rsid w:val="5CF67716"/>
    <w:rsid w:val="5D8038B9"/>
    <w:rsid w:val="5DEF592A"/>
    <w:rsid w:val="5FC6BB1E"/>
    <w:rsid w:val="5FF720F1"/>
    <w:rsid w:val="6280132C"/>
    <w:rsid w:val="62EF64B1"/>
    <w:rsid w:val="63736DB1"/>
    <w:rsid w:val="637D6961"/>
    <w:rsid w:val="666C61F8"/>
    <w:rsid w:val="669F67EE"/>
    <w:rsid w:val="67FF5C0B"/>
    <w:rsid w:val="691E364C"/>
    <w:rsid w:val="6A48696D"/>
    <w:rsid w:val="6D4F60CD"/>
    <w:rsid w:val="6E405C45"/>
    <w:rsid w:val="6EFC0924"/>
    <w:rsid w:val="6F83245B"/>
    <w:rsid w:val="6FB74722"/>
    <w:rsid w:val="6FEF8B7E"/>
    <w:rsid w:val="712E1FA7"/>
    <w:rsid w:val="71376D25"/>
    <w:rsid w:val="71A6591B"/>
    <w:rsid w:val="71DB657E"/>
    <w:rsid w:val="71E35DA6"/>
    <w:rsid w:val="72F5541E"/>
    <w:rsid w:val="73541F1D"/>
    <w:rsid w:val="73673A16"/>
    <w:rsid w:val="737D59BA"/>
    <w:rsid w:val="739665BA"/>
    <w:rsid w:val="76677D5E"/>
    <w:rsid w:val="77C37683"/>
    <w:rsid w:val="78250206"/>
    <w:rsid w:val="78A51694"/>
    <w:rsid w:val="79FF515B"/>
    <w:rsid w:val="7B6D42DD"/>
    <w:rsid w:val="7C926ED7"/>
    <w:rsid w:val="7CD44119"/>
    <w:rsid w:val="7DB93FE1"/>
    <w:rsid w:val="7E48340D"/>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link w:val="13"/>
    <w:qFormat/>
    <w:uiPriority w:val="99"/>
    <w:pPr>
      <w:widowControl/>
      <w:spacing w:after="120"/>
      <w:ind w:left="420" w:leftChars="200"/>
      <w:jc w:val="left"/>
    </w:pPr>
    <w:rPr>
      <w:rFonts w:ascii="宋体" w:hAnsi="宋体" w:cs="宋体"/>
      <w:kern w:val="0"/>
      <w:sz w:val="24"/>
      <w:szCs w:val="24"/>
    </w:rPr>
  </w:style>
  <w:style w:type="paragraph" w:styleId="3">
    <w:name w:val="Body Text First Indent 2"/>
    <w:basedOn w:val="2"/>
    <w:next w:val="1"/>
    <w:link w:val="14"/>
    <w:qFormat/>
    <w:uiPriority w:val="99"/>
    <w:pPr>
      <w:ind w:firstLine="420" w:firstLineChars="200"/>
    </w:pPr>
  </w:style>
  <w:style w:type="paragraph" w:styleId="4">
    <w:name w:val="Balloon Text"/>
    <w:basedOn w:val="1"/>
    <w:link w:val="15"/>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link w:val="12"/>
    <w:semiHidden/>
    <w:qFormat/>
    <w:uiPriority w:val="99"/>
    <w:pPr>
      <w:snapToGrid w:val="0"/>
      <w:jc w:val="left"/>
    </w:pPr>
    <w:rPr>
      <w:sz w:val="18"/>
      <w:szCs w:val="18"/>
    </w:rPr>
  </w:style>
  <w:style w:type="paragraph" w:customStyle="1" w:styleId="10">
    <w:name w:val="BodyText1I2"/>
    <w:basedOn w:val="11"/>
    <w:autoRedefine/>
    <w:qFormat/>
    <w:uiPriority w:val="99"/>
    <w:pPr>
      <w:ind w:firstLine="420" w:firstLineChars="200"/>
    </w:pPr>
    <w:rPr>
      <w:b/>
      <w:bCs/>
      <w:kern w:val="44"/>
      <w:sz w:val="32"/>
      <w:szCs w:val="44"/>
    </w:rPr>
  </w:style>
  <w:style w:type="paragraph" w:customStyle="1" w:styleId="11">
    <w:name w:val="BodyTextIndent"/>
    <w:basedOn w:val="1"/>
    <w:autoRedefine/>
    <w:qFormat/>
    <w:uiPriority w:val="99"/>
    <w:pPr>
      <w:spacing w:after="120"/>
      <w:ind w:left="420" w:leftChars="200"/>
      <w:textAlignment w:val="baseline"/>
    </w:pPr>
    <w:rPr>
      <w:kern w:val="0"/>
      <w:sz w:val="20"/>
    </w:rPr>
  </w:style>
  <w:style w:type="character" w:customStyle="1" w:styleId="12">
    <w:name w:val="Footnote Text Char"/>
    <w:basedOn w:val="9"/>
    <w:link w:val="7"/>
    <w:semiHidden/>
    <w:qFormat/>
    <w:uiPriority w:val="99"/>
    <w:rPr>
      <w:rFonts w:ascii="Calibri" w:hAnsi="Calibri" w:cs="Calibri"/>
      <w:sz w:val="18"/>
      <w:szCs w:val="18"/>
    </w:rPr>
  </w:style>
  <w:style w:type="character" w:customStyle="1" w:styleId="13">
    <w:name w:val="Body Text Indent Char"/>
    <w:basedOn w:val="9"/>
    <w:link w:val="2"/>
    <w:semiHidden/>
    <w:qFormat/>
    <w:uiPriority w:val="99"/>
    <w:rPr>
      <w:rFonts w:ascii="Calibri" w:hAnsi="Calibri" w:cs="Calibri"/>
      <w:szCs w:val="21"/>
    </w:rPr>
  </w:style>
  <w:style w:type="character" w:customStyle="1" w:styleId="14">
    <w:name w:val="Body Text First Indent 2 Char"/>
    <w:basedOn w:val="13"/>
    <w:link w:val="3"/>
    <w:semiHidden/>
    <w:qFormat/>
    <w:uiPriority w:val="99"/>
  </w:style>
  <w:style w:type="character" w:customStyle="1" w:styleId="15">
    <w:name w:val="Balloon Text Char"/>
    <w:basedOn w:val="9"/>
    <w:link w:val="4"/>
    <w:semiHidden/>
    <w:qFormat/>
    <w:locked/>
    <w:uiPriority w:val="99"/>
    <w:rPr>
      <w:sz w:val="18"/>
      <w:szCs w:val="18"/>
    </w:rPr>
  </w:style>
  <w:style w:type="character" w:customStyle="1" w:styleId="16">
    <w:name w:val="Footer Char"/>
    <w:basedOn w:val="9"/>
    <w:link w:val="5"/>
    <w:qFormat/>
    <w:locked/>
    <w:uiPriority w:val="99"/>
    <w:rPr>
      <w:sz w:val="18"/>
      <w:szCs w:val="18"/>
    </w:rPr>
  </w:style>
  <w:style w:type="character" w:customStyle="1" w:styleId="17">
    <w:name w:val="Header Char"/>
    <w:basedOn w:val="9"/>
    <w:link w:val="6"/>
    <w:qFormat/>
    <w:locked/>
    <w:uiPriority w:val="99"/>
    <w:rPr>
      <w:sz w:val="18"/>
      <w:szCs w:val="18"/>
    </w:rPr>
  </w:style>
  <w:style w:type="paragraph" w:customStyle="1" w:styleId="18">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9">
    <w:name w:val="List Paragraph"/>
    <w:basedOn w:val="1"/>
    <w:qFormat/>
    <w:uiPriority w:val="99"/>
    <w:pPr>
      <w:ind w:firstLine="420" w:firstLineChars="200"/>
    </w:pPr>
  </w:style>
  <w:style w:type="character" w:customStyle="1" w:styleId="20">
    <w:name w:val="font01"/>
    <w:basedOn w:val="9"/>
    <w:qFormat/>
    <w:uiPriority w:val="99"/>
    <w:rPr>
      <w:rFonts w:ascii="宋体" w:hAnsi="宋体" w:eastAsia="宋体" w:cs="宋体"/>
      <w:color w:val="000000"/>
      <w:sz w:val="22"/>
      <w:szCs w:val="22"/>
      <w:u w:val="none"/>
    </w:rPr>
  </w:style>
  <w:style w:type="character" w:customStyle="1" w:styleId="21">
    <w:name w:val="font21"/>
    <w:basedOn w:val="9"/>
    <w:qFormat/>
    <w:uiPriority w:val="99"/>
    <w:rPr>
      <w:rFonts w:ascii="宋体" w:hAnsi="宋体" w:eastAsia="宋体" w:cs="宋体"/>
      <w:color w:val="000000"/>
      <w:sz w:val="24"/>
      <w:szCs w:val="24"/>
      <w:u w:val="none"/>
    </w:rPr>
  </w:style>
  <w:style w:type="character" w:customStyle="1" w:styleId="22">
    <w:name w:val="font11"/>
    <w:basedOn w:val="9"/>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30</Pages>
  <Words>13119</Words>
  <Characters>14371</Characters>
  <Lines>0</Lines>
  <Paragraphs>0</Paragraphs>
  <TotalTime>28</TotalTime>
  <ScaleCrop>false</ScaleCrop>
  <LinksUpToDate>false</LinksUpToDate>
  <CharactersWithSpaces>14425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碰碰胡</cp:lastModifiedBy>
  <cp:lastPrinted>2025-09-23T01:37:15Z</cp:lastPrinted>
  <dcterms:modified xsi:type="dcterms:W3CDTF">2025-09-23T01:39:09Z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eyJoZGlkIjoiMDUyYTY5MjM0ODBhOTk4NzA4OGRkMDY2OTE3NWY0NTYiLCJ1c2VySWQiOiI1NjY2MjY5NjkifQ==</vt:lpwstr>
  </property>
</Properties>
</file>