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10426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(2025年第35批）</w:t>
      </w:r>
    </w:p>
    <w:bookmarkEnd w:id="0"/>
    <w:p w14:paraId="57DA2D80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5330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1095"/>
        <w:gridCol w:w="1275"/>
        <w:gridCol w:w="900"/>
        <w:gridCol w:w="900"/>
        <w:gridCol w:w="1095"/>
        <w:gridCol w:w="2775"/>
        <w:gridCol w:w="2325"/>
        <w:gridCol w:w="2025"/>
        <w:gridCol w:w="1710"/>
        <w:gridCol w:w="778"/>
      </w:tblGrid>
      <w:tr w14:paraId="6E50EC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4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48020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C29AE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4492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65E98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326A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1C9DC1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511C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69C7B5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6D70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8CF17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6FDC4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27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694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18D821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3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0DD6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BD791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20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7C3C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57E1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7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903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27D68F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0D0EB7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4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4809B74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E94091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潭县 农（种子）罚〔2025〕4号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739E6B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湘潭县排头乡农科农资经营店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(经营者：彭银科）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销售标签内容不符合规定的“千乡优991”水稻种子案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F8957A0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彭银科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28A45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5B37554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彭银科</w:t>
            </w:r>
          </w:p>
        </w:tc>
        <w:tc>
          <w:tcPr>
            <w:tcW w:w="2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1672EC6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2025年6月5日，根据湘潭县农业农村局《关于开展2025年度“双随机、一公开”监管抽查工作计划的通知》要求，执法人员依法对湘潭县排头乡农科农资经营店进行监管检查，在监督检查过程中发现当事人销售的“千乡优991”水稻种子包装袋上适宜种植区域无引种备案区域。</w:t>
            </w: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7CC916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依照《中华人民共和国种子法》第七十九条：“违反本法第三十六条、第三十八条、第三十九条、第四十条规定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参照《湖南省农业行政处罚自由裁量权基准（种子、食用菌）》序号21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2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F7D412D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6C9E354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湘潭县农业农村局</w:t>
            </w:r>
          </w:p>
          <w:p w14:paraId="57EEC7C9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2025年8月23日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0D7AB18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</w:tbl>
    <w:p w14:paraId="1AB551D7"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689" w:right="1440" w:bottom="168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2A2905"/>
    <w:rsid w:val="612A2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2025-09-26T03:46:00Z</dcterms:created>
  <dc:creator>为于思周</dc:creator>
  <cp:lastModifiedBy>为于思周</cp:lastModifiedBy>
  <dcterms:modified xsi:type="dcterms:W3CDTF">2025-09-26T03:48:16Z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6BD0BD4348124EDBB9D7C448B2A79DE7_11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