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BYAAABkcnMvUEsB&#10;AhQAFAAAAAgAh07iQHLwJlDWAAAACgEAAA8AAAAAAAAAAQAgAAAAOAAAAGRycy9kb3ducmV2Lnht&#10;bFBLAQIUABQAAAAIAIdO4kBHv5PHVwIAAJoEAAAOAAAAAAAAAAEAIAAAADsBAABkcnMvZTJvRG9j&#10;LnhtbFBLBQYAAAAABgAGAFkBAAAEBgAAAAA=&#10;">
                <v:fill on="t" focussize="0,0"/>
                <v:stroke on="f" weight="0.5pt"/>
                <v:imagedata o:title=""/>
                <o:lock v:ext="edit" aspectratio="f"/>
                <v:textbox>
                  <w:txbxContent>
                    <w:p>
                      <w:pPr>
                        <w:rPr>
                          <w:rFonts w:hint="eastAsia" w:ascii="楷体" w:hAnsi="楷体" w:eastAsia="楷体" w:cs="楷体"/>
                          <w:sz w:val="30"/>
                          <w:szCs w:val="30"/>
                          <w:lang w:val="en-US" w:eastAsia="zh-CN"/>
                        </w:rPr>
                      </w:pPr>
                    </w:p>
                  </w:txbxContent>
                </v:textbox>
              </v:shape>
            </w:pict>
          </mc:Fallback>
        </mc:AlternateContent>
      </w: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w:t>
      </w:r>
      <w:r>
        <w:rPr>
          <w:rFonts w:hint="eastAsia" w:ascii="方正小标宋_GBK" w:hAnsi="方正小标宋_GBK" w:eastAsia="方正小标宋_GBK" w:cs="方正小标宋_GBK"/>
          <w:sz w:val="72"/>
          <w:szCs w:val="72"/>
          <w:lang w:val="en-US" w:eastAsia="zh-CN"/>
        </w:rPr>
        <w:t>4</w:t>
      </w:r>
      <w:r>
        <w:rPr>
          <w:rFonts w:hint="eastAsia" w:ascii="方正小标宋_GBK" w:hAnsi="方正小标宋_GBK" w:eastAsia="方正小标宋_GBK" w:cs="方正小标宋_GBK"/>
          <w:sz w:val="72"/>
          <w:szCs w:val="72"/>
        </w:rPr>
        <w:t>年度</w:t>
      </w:r>
    </w:p>
    <w:p>
      <w:pPr>
        <w:pStyle w:val="13"/>
        <w:jc w:val="center"/>
        <w:rPr>
          <w:rFonts w:hint="eastAsia" w:ascii="方正小标宋_GBK" w:hAnsi="方正小标宋_GBK" w:eastAsia="方正小标宋_GBK" w:cs="方正小标宋_GBK"/>
          <w:sz w:val="72"/>
          <w:szCs w:val="72"/>
          <w:lang w:eastAsia="zh-CN"/>
        </w:rPr>
      </w:pPr>
      <w:r>
        <w:rPr>
          <w:rFonts w:hint="eastAsia" w:ascii="方正小标宋_GBK" w:hAnsi="方正小标宋_GBK" w:eastAsia="方正小标宋_GBK" w:cs="方正小标宋_GBK"/>
          <w:sz w:val="72"/>
          <w:szCs w:val="72"/>
          <w:lang w:eastAsia="zh-CN"/>
        </w:rPr>
        <w:t>湘潭县行政审批服务局</w:t>
      </w: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部门决算</w:t>
      </w:r>
    </w:p>
    <w:p>
      <w:pPr>
        <w:pStyle w:val="13"/>
        <w:jc w:val="center"/>
        <w:rPr>
          <w:rFonts w:hint="eastAsia" w:ascii="方正小标宋_GBK" w:hAnsi="方正小标宋_GBK" w:eastAsia="方正小标宋_GBK" w:cs="方正小标宋_GBK"/>
          <w:sz w:val="56"/>
          <w:szCs w:val="56"/>
        </w:rPr>
      </w:pPr>
    </w:p>
    <w:p>
      <w:pPr>
        <w:pStyle w:val="13"/>
        <w:jc w:val="center"/>
        <w:rPr>
          <w:sz w:val="56"/>
          <w:szCs w:val="56"/>
        </w:rPr>
      </w:pPr>
    </w:p>
    <w:p>
      <w:pPr>
        <w:pStyle w:val="13"/>
        <w:jc w:val="both"/>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rFonts w:hint="eastAsia"/>
          <w:b/>
          <w:sz w:val="36"/>
          <w:szCs w:val="28"/>
        </w:rPr>
      </w:pPr>
      <w:r>
        <w:rPr>
          <w:rFonts w:hint="eastAsia"/>
          <w:b/>
          <w:sz w:val="36"/>
          <w:szCs w:val="28"/>
        </w:rPr>
        <w:t>目</w:t>
      </w:r>
      <w:r>
        <w:rPr>
          <w:rFonts w:hint="eastAsia"/>
          <w:b/>
          <w:sz w:val="36"/>
          <w:szCs w:val="28"/>
          <w:lang w:val="en-US" w:eastAsia="zh-CN"/>
        </w:rPr>
        <w:t xml:space="preserve">  </w:t>
      </w:r>
      <w:r>
        <w:rPr>
          <w:rFonts w:hint="eastAsia"/>
          <w:b/>
          <w:sz w:val="36"/>
          <w:szCs w:val="28"/>
        </w:rPr>
        <w:t>录</w:t>
      </w:r>
    </w:p>
    <w:p>
      <w:pPr>
        <w:pStyle w:val="13"/>
        <w:spacing w:line="500" w:lineRule="exact"/>
        <w:jc w:val="center"/>
        <w:rPr>
          <w:rFonts w:hint="eastAsia"/>
          <w:b/>
          <w:sz w:val="36"/>
          <w:szCs w:val="28"/>
        </w:rPr>
      </w:pP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湘潭县行政审批服务局</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pPr>
        <w:pStyle w:val="13"/>
        <w:spacing w:line="500" w:lineRule="exact"/>
        <w:rPr>
          <w:rFonts w:hint="eastAsia" w:ascii="黑体" w:hAnsi="黑体" w:eastAsia="黑体" w:cs="黑体"/>
          <w:b w:val="0"/>
          <w:bCs/>
          <w:sz w:val="28"/>
          <w:szCs w:val="28"/>
        </w:rPr>
      </w:pPr>
    </w:p>
    <w:p>
      <w:pPr>
        <w:jc w:val="center"/>
        <w:rPr>
          <w:sz w:val="72"/>
          <w:szCs w:val="72"/>
        </w:rPr>
      </w:pPr>
    </w:p>
    <w:p>
      <w:pPr>
        <w:jc w:val="center"/>
        <w:rPr>
          <w:sz w:val="72"/>
          <w:szCs w:val="72"/>
        </w:rPr>
      </w:pPr>
    </w:p>
    <w:p>
      <w:pPr>
        <w:jc w:val="center"/>
        <w:rPr>
          <w:sz w:val="72"/>
          <w:szCs w:val="72"/>
        </w:rPr>
      </w:pPr>
    </w:p>
    <w:p>
      <w:pPr>
        <w:pStyle w:val="7"/>
        <w:rPr>
          <w:sz w:val="72"/>
          <w:szCs w:val="72"/>
        </w:rPr>
      </w:pPr>
    </w:p>
    <w:p>
      <w:pPr>
        <w:pStyle w:val="3"/>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pStyle w:val="7"/>
        <w:rPr>
          <w:sz w:val="72"/>
          <w:szCs w:val="72"/>
        </w:rPr>
      </w:pPr>
    </w:p>
    <w:p>
      <w:pPr>
        <w:spacing w:before="37" w:afterLines="50" w:line="20" w:lineRule="atLeast"/>
        <w:ind w:right="1575"/>
        <w:jc w:val="center"/>
        <w:rPr>
          <w:rFonts w:hint="eastAsia" w:ascii="黑体" w:hAnsi="黑体" w:eastAsia="黑体" w:cs="黑体"/>
          <w:b/>
          <w:sz w:val="44"/>
          <w:szCs w:val="44"/>
        </w:rPr>
      </w:pPr>
      <w:r>
        <w:rPr>
          <w:rFonts w:hint="eastAsia" w:ascii="黑体" w:hAnsi="黑体" w:eastAsia="黑体" w:cs="黑体"/>
          <w:b/>
          <w:sz w:val="44"/>
          <w:szCs w:val="44"/>
          <w:lang w:val="en-US" w:eastAsia="zh-CN"/>
        </w:rPr>
        <w:t xml:space="preserve">   </w:t>
      </w:r>
      <w:r>
        <w:rPr>
          <w:rFonts w:hint="eastAsia" w:ascii="黑体" w:hAnsi="黑体" w:eastAsia="黑体" w:cs="黑体"/>
          <w:b/>
          <w:sz w:val="44"/>
          <w:szCs w:val="44"/>
        </w:rPr>
        <w:t>第一部分</w:t>
      </w:r>
    </w:p>
    <w:p>
      <w:pPr>
        <w:spacing w:before="37" w:afterLines="50" w:line="20" w:lineRule="atLeast"/>
        <w:ind w:right="1575"/>
        <w:jc w:val="center"/>
        <w:rPr>
          <w:rFonts w:hint="eastAsia" w:ascii="黑体" w:hAnsi="黑体" w:eastAsia="黑体" w:cs="黑体"/>
          <w:b/>
          <w:sz w:val="44"/>
          <w:szCs w:val="44"/>
        </w:rPr>
      </w:pPr>
    </w:p>
    <w:p>
      <w:pPr>
        <w:spacing w:before="37" w:afterLines="50" w:line="20" w:lineRule="atLeast"/>
        <w:ind w:right="1575"/>
        <w:jc w:val="center"/>
        <w:rPr>
          <w:rFonts w:hint="eastAsia" w:ascii="黑体" w:hAnsi="黑体" w:eastAsia="黑体" w:cs="黑体"/>
          <w:b/>
          <w:sz w:val="44"/>
          <w:szCs w:val="44"/>
        </w:rPr>
      </w:pPr>
      <w:r>
        <w:rPr>
          <w:rFonts w:hint="eastAsia" w:ascii="黑体" w:hAnsi="黑体" w:eastAsia="黑体" w:cs="黑体"/>
          <w:b/>
          <w:sz w:val="44"/>
          <w:szCs w:val="44"/>
          <w:lang w:val="en-US" w:eastAsia="zh-CN"/>
        </w:rPr>
        <w:t xml:space="preserve">   </w:t>
      </w:r>
      <w:r>
        <w:rPr>
          <w:rFonts w:hint="eastAsia" w:ascii="黑体" w:hAnsi="黑体" w:eastAsia="黑体" w:cs="黑体"/>
          <w:b/>
          <w:sz w:val="44"/>
          <w:szCs w:val="44"/>
          <w:lang w:eastAsia="zh-CN"/>
        </w:rPr>
        <w:t>湘潭县行政审批服务局</w:t>
      </w:r>
      <w:r>
        <w:rPr>
          <w:rFonts w:hint="eastAsia" w:ascii="黑体" w:hAnsi="黑体" w:eastAsia="黑体" w:cs="黑体"/>
          <w:b/>
          <w:sz w:val="44"/>
          <w:szCs w:val="4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1.负责组织拟订全县行政审批制度改革、政务公开协调、政务服务、电子政务管理、县长热线管理相关政策，制定、起草有关规定、制度和管理办法，并组织实施。对县直单位和乡镇进行业务指导。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2"/>
        <w:textAlignment w:val="auto"/>
        <w:rPr>
          <w:rFonts w:ascii="仿宋" w:hAnsi="仿宋" w:eastAsia="仿宋"/>
          <w:sz w:val="32"/>
          <w:szCs w:val="24"/>
        </w:rPr>
      </w:pPr>
      <w:r>
        <w:rPr>
          <w:rFonts w:hint="eastAsia" w:ascii="仿宋" w:hAnsi="仿宋" w:eastAsia="仿宋"/>
          <w:sz w:val="32"/>
          <w:szCs w:val="24"/>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4.统筹推进、协调、监督全县政府系统电子政务、“互联网+政务服务”、政务数据资源体系建设与管理工作。</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5.统筹推进县长热线和“县长信箱”工作。负责市民通过县长热线向县政府进行的咨询建议、投诉、求助等事项的处理。</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6.负责全县中介超市管理工作，承担中介超市标准化建设和管理职能，指导、协调、考评各单位中介超市管理机构业务工作。</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7.完成县委、县人民政府交办的其他任务。</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360" w:lineRule="auto"/>
        <w:rPr>
          <w:rFonts w:ascii="仿宋" w:hAnsi="仿宋" w:eastAsia="仿宋"/>
          <w:sz w:val="32"/>
          <w:szCs w:val="24"/>
        </w:rPr>
      </w:pPr>
      <w:r>
        <w:rPr>
          <w:rFonts w:hint="eastAsia" w:ascii="仿宋" w:hAnsi="仿宋" w:eastAsia="仿宋"/>
          <w:sz w:val="32"/>
          <w:szCs w:val="24"/>
        </w:rPr>
        <w:t>（一）内设机构设置。</w:t>
      </w:r>
    </w:p>
    <w:p>
      <w:pPr>
        <w:widowControl/>
        <w:spacing w:line="360" w:lineRule="auto"/>
        <w:ind w:firstLine="640" w:firstLineChars="200"/>
        <w:rPr>
          <w:rFonts w:ascii="仿宋" w:hAnsi="仿宋" w:eastAsia="仿宋"/>
          <w:sz w:val="32"/>
          <w:szCs w:val="24"/>
        </w:rPr>
      </w:pPr>
      <w:r>
        <w:rPr>
          <w:rFonts w:ascii="仿宋" w:hAnsi="仿宋" w:eastAsia="仿宋"/>
          <w:sz w:val="32"/>
          <w:szCs w:val="24"/>
        </w:rPr>
        <w:t>局内设办公室、行政审批改革股、政务公开股、政务服务股4个股室；下设政务服务中心（副科级）、电子政务管理中心（副科级）、12345公共服务与投诉举报平台3个二级机构。</w:t>
      </w:r>
    </w:p>
    <w:p>
      <w:pPr>
        <w:widowControl/>
        <w:numPr>
          <w:ilvl w:val="0"/>
          <w:numId w:val="2"/>
        </w:numPr>
        <w:spacing w:line="360" w:lineRule="auto"/>
        <w:rPr>
          <w:rFonts w:ascii="仿宋" w:hAnsi="仿宋" w:eastAsia="仿宋" w:cs="仿宋"/>
          <w:kern w:val="0"/>
          <w:sz w:val="32"/>
          <w:szCs w:val="32"/>
        </w:rPr>
      </w:pPr>
      <w:r>
        <w:rPr>
          <w:rFonts w:hint="eastAsia" w:ascii="仿宋" w:hAnsi="仿宋" w:eastAsia="仿宋" w:cs="仿宋"/>
          <w:kern w:val="0"/>
          <w:sz w:val="32"/>
          <w:szCs w:val="32"/>
        </w:rPr>
        <w:t>决算单位构成。</w:t>
      </w:r>
    </w:p>
    <w:p>
      <w:pPr>
        <w:spacing w:line="360" w:lineRule="auto"/>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湘潭县行政审批服务局</w:t>
      </w:r>
      <w:r>
        <w:rPr>
          <w:rFonts w:hint="eastAsia" w:ascii="仿宋" w:hAnsi="仿宋" w:eastAsia="仿宋" w:cs="仿宋"/>
          <w:kern w:val="0"/>
          <w:sz w:val="32"/>
          <w:szCs w:val="32"/>
          <w:lang w:eastAsia="zh-CN"/>
        </w:rPr>
        <w:t>202</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年部门决算汇总公开单位构成包括：湘潭县行政审批服务局本级。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pStyle w:val="13"/>
        <w:jc w:val="both"/>
        <w:rPr>
          <w:rFonts w:hint="eastAsia" w:ascii="方正小标宋_GBK" w:hAnsi="方正小标宋_GBK" w:eastAsia="方正小标宋_GBK" w:cs="方正小标宋_GBK"/>
          <w:sz w:val="84"/>
          <w:szCs w:val="84"/>
        </w:rPr>
      </w:pPr>
    </w:p>
    <w:p>
      <w:pPr>
        <w:pStyle w:val="13"/>
        <w:jc w:val="center"/>
        <w:rPr>
          <w:rFonts w:hint="eastAsia" w:ascii="黑体" w:hAnsi="黑体" w:eastAsia="黑体" w:cs="黑体"/>
          <w:b/>
          <w:color w:val="auto"/>
          <w:kern w:val="2"/>
          <w:sz w:val="44"/>
          <w:szCs w:val="44"/>
          <w:lang w:val="en-US" w:eastAsia="zh-CN" w:bidi="ar-SA"/>
        </w:rPr>
      </w:pPr>
      <w:r>
        <w:rPr>
          <w:rFonts w:hint="eastAsia" w:ascii="黑体" w:hAnsi="黑体" w:eastAsia="黑体" w:cs="黑体"/>
          <w:b/>
          <w:color w:val="auto"/>
          <w:kern w:val="2"/>
          <w:sz w:val="44"/>
          <w:szCs w:val="44"/>
          <w:lang w:val="en-US" w:eastAsia="zh-CN" w:bidi="ar-SA"/>
        </w:rPr>
        <w:t>第二部分</w:t>
      </w:r>
    </w:p>
    <w:p>
      <w:pPr>
        <w:pStyle w:val="13"/>
        <w:jc w:val="center"/>
        <w:rPr>
          <w:rFonts w:hint="eastAsia" w:ascii="黑体" w:hAnsi="黑体" w:eastAsia="黑体" w:cs="黑体"/>
          <w:b/>
          <w:color w:val="auto"/>
          <w:kern w:val="2"/>
          <w:sz w:val="44"/>
          <w:szCs w:val="44"/>
          <w:lang w:val="en-US" w:eastAsia="zh-CN" w:bidi="ar-SA"/>
        </w:rPr>
      </w:pPr>
    </w:p>
    <w:p>
      <w:pPr>
        <w:pStyle w:val="13"/>
        <w:jc w:val="center"/>
        <w:rPr>
          <w:rFonts w:hint="eastAsia" w:ascii="黑体" w:hAnsi="黑体" w:eastAsia="黑体" w:cs="黑体"/>
          <w:b/>
          <w:color w:val="auto"/>
          <w:kern w:val="2"/>
          <w:sz w:val="44"/>
          <w:szCs w:val="44"/>
          <w:lang w:val="en-US" w:eastAsia="zh-CN" w:bidi="ar-SA"/>
        </w:rPr>
      </w:pPr>
      <w:r>
        <w:rPr>
          <w:rFonts w:hint="eastAsia" w:ascii="黑体" w:hAnsi="黑体" w:eastAsia="黑体" w:cs="黑体"/>
          <w:b/>
          <w:color w:val="auto"/>
          <w:kern w:val="2"/>
          <w:sz w:val="44"/>
          <w:szCs w:val="44"/>
          <w:lang w:val="en-US" w:eastAsia="zh-CN" w:bidi="ar-SA"/>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tbl>
      <w:tblPr>
        <w:tblStyle w:val="9"/>
        <w:tblW w:w="14634" w:type="dxa"/>
        <w:tblInd w:w="0" w:type="dxa"/>
        <w:tblLayout w:type="fixed"/>
        <w:tblCellMar>
          <w:top w:w="0" w:type="dxa"/>
          <w:left w:w="0" w:type="dxa"/>
          <w:bottom w:w="0" w:type="dxa"/>
          <w:right w:w="0" w:type="dxa"/>
        </w:tblCellMar>
      </w:tblPr>
      <w:tblGrid>
        <w:gridCol w:w="548"/>
        <w:gridCol w:w="548"/>
        <w:gridCol w:w="4299"/>
        <w:gridCol w:w="977"/>
        <w:gridCol w:w="1318"/>
        <w:gridCol w:w="1318"/>
        <w:gridCol w:w="1318"/>
        <w:gridCol w:w="1318"/>
        <w:gridCol w:w="1318"/>
        <w:gridCol w:w="1672"/>
      </w:tblGrid>
      <w:tr>
        <w:tblPrEx>
          <w:tblCellMar>
            <w:top w:w="0" w:type="dxa"/>
            <w:left w:w="0" w:type="dxa"/>
            <w:bottom w:w="0" w:type="dxa"/>
            <w:right w:w="0" w:type="dxa"/>
          </w:tblCellMar>
        </w:tblPrEx>
        <w:trPr>
          <w:trHeight w:val="435" w:hRule="atLeast"/>
        </w:trPr>
        <w:tc>
          <w:tcPr>
            <w:tcW w:w="14634"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4604"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33"/>
              <w:gridCol w:w="769"/>
              <w:gridCol w:w="1023"/>
              <w:gridCol w:w="4070"/>
              <w:gridCol w:w="770"/>
              <w:gridCol w:w="511"/>
              <w:gridCol w:w="26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4604"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83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76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02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407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281"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2628" w:type="dxa"/>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4833"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部门：湘潭县行政审批服务局</w:t>
                  </w:r>
                </w:p>
              </w:tc>
              <w:tc>
                <w:tcPr>
                  <w:tcW w:w="76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02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407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281"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2628" w:type="dxa"/>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662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收入</w:t>
                  </w:r>
                </w:p>
              </w:tc>
              <w:tc>
                <w:tcPr>
                  <w:tcW w:w="7979"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    目</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行次</w:t>
                  </w:r>
                </w:p>
              </w:tc>
              <w:tc>
                <w:tcPr>
                  <w:tcW w:w="1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决算数</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    目</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行次</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    次</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1"/>
                      <w:szCs w:val="21"/>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    次</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1"/>
                      <w:szCs w:val="21"/>
                      <w:u w:val="none"/>
                    </w:rPr>
                  </w:pP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一、一般公共预算财政拨款收入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809.95</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一、一般公共服务支出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748.27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二、政府性基金预算财政拨款收入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二、外交支出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三、国有资本经营预算财政拨款收入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三、国防支出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四、上级补助收入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四、公共安全支出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五、事业收入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五、教育支出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六、经营收入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六、科学技术支出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七、附属单位上缴收入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43.20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八、其他收入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15.36</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1"/>
                      <w:szCs w:val="21"/>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rPr>
                    <w:t>十九、住房保障支出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20.28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本年收入合计</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825.31</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本年支出合计</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825.31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使用非财政拨款结余（含专用结余）</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结余分配</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年初结转和结余</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年末结转和结余</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总计</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825.31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总计</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31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825.31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4604"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注：1.本表反映部门本年度的总收支和年末结转结余情况。</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5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5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42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97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1"/>
                <w:szCs w:val="21"/>
              </w:rPr>
            </w:pPr>
            <w:r>
              <w:rPr>
                <w:rFonts w:hint="eastAsia"/>
                <w:color w:val="000000"/>
                <w:sz w:val="21"/>
                <w:szCs w:val="21"/>
              </w:rPr>
              <w:t>公开02表</w:t>
            </w:r>
          </w:p>
        </w:tc>
      </w:tr>
      <w:tr>
        <w:tblPrEx>
          <w:tblCellMar>
            <w:top w:w="0" w:type="dxa"/>
            <w:left w:w="0" w:type="dxa"/>
            <w:bottom w:w="0" w:type="dxa"/>
            <w:right w:w="0" w:type="dxa"/>
          </w:tblCellMar>
        </w:tblPrEx>
        <w:trPr>
          <w:trHeight w:val="285" w:hRule="atLeast"/>
        </w:trPr>
        <w:tc>
          <w:tcPr>
            <w:tcW w:w="10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1"/>
                <w:szCs w:val="21"/>
              </w:rPr>
            </w:pPr>
            <w:r>
              <w:rPr>
                <w:rFonts w:hint="eastAsia"/>
                <w:color w:val="000000"/>
                <w:sz w:val="21"/>
                <w:szCs w:val="21"/>
              </w:rPr>
              <w:t>部门：</w:t>
            </w:r>
          </w:p>
        </w:tc>
        <w:tc>
          <w:tcPr>
            <w:tcW w:w="4299"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湘潭县行政审批服务局</w:t>
            </w:r>
            <w:r>
              <w:rPr>
                <w:rFonts w:hint="eastAsia"/>
                <w:sz w:val="21"/>
                <w:szCs w:val="21"/>
              </w:rPr>
              <w:t>　</w:t>
            </w:r>
          </w:p>
        </w:tc>
        <w:tc>
          <w:tcPr>
            <w:tcW w:w="97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1"/>
                <w:szCs w:val="21"/>
              </w:rPr>
            </w:pPr>
            <w:r>
              <w:rPr>
                <w:rFonts w:hint="eastAsia"/>
                <w:color w:val="000000"/>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1"/>
                <w:szCs w:val="21"/>
              </w:rPr>
            </w:pPr>
            <w:r>
              <w:rPr>
                <w:rFonts w:hint="eastAsia"/>
                <w:color w:val="000000"/>
                <w:sz w:val="21"/>
                <w:szCs w:val="21"/>
              </w:rPr>
              <w:t>单位：万元</w:t>
            </w:r>
          </w:p>
        </w:tc>
      </w:tr>
      <w:tr>
        <w:tblPrEx>
          <w:tblCellMar>
            <w:top w:w="0" w:type="dxa"/>
            <w:left w:w="0" w:type="dxa"/>
            <w:bottom w:w="0" w:type="dxa"/>
            <w:right w:w="0" w:type="dxa"/>
          </w:tblCellMar>
        </w:tblPrEx>
        <w:trPr>
          <w:trHeight w:val="450"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项    目</w:t>
            </w:r>
          </w:p>
        </w:tc>
        <w:tc>
          <w:tcPr>
            <w:tcW w:w="9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本年收入合计</w:t>
            </w:r>
          </w:p>
        </w:tc>
        <w:tc>
          <w:tcPr>
            <w:tcW w:w="131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财政拨款收入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上级补助收入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事业收入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经营收入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附属单位上缴收入</w:t>
            </w:r>
          </w:p>
        </w:tc>
        <w:tc>
          <w:tcPr>
            <w:tcW w:w="167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其他收入</w:t>
            </w:r>
          </w:p>
        </w:tc>
      </w:tr>
      <w:tr>
        <w:tblPrEx>
          <w:tblCellMar>
            <w:top w:w="0" w:type="dxa"/>
            <w:left w:w="0" w:type="dxa"/>
            <w:bottom w:w="0" w:type="dxa"/>
            <w:right w:w="0" w:type="dxa"/>
          </w:tblCellMar>
        </w:tblPrEx>
        <w:trPr>
          <w:trHeight w:val="450" w:hRule="atLeast"/>
        </w:trPr>
        <w:tc>
          <w:tcPr>
            <w:tcW w:w="109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功能分类科目编码</w:t>
            </w:r>
          </w:p>
        </w:tc>
        <w:tc>
          <w:tcPr>
            <w:tcW w:w="429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科目名称</w:t>
            </w:r>
          </w:p>
        </w:tc>
        <w:tc>
          <w:tcPr>
            <w:tcW w:w="97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109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4299"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97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栏次</w:t>
            </w:r>
          </w:p>
        </w:tc>
        <w:tc>
          <w:tcPr>
            <w:tcW w:w="9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1</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2</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3</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4</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5</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6</w:t>
            </w:r>
          </w:p>
        </w:tc>
        <w:tc>
          <w:tcPr>
            <w:tcW w:w="167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7</w:t>
            </w:r>
          </w:p>
        </w:tc>
      </w:tr>
      <w:tr>
        <w:tblPrEx>
          <w:tblCellMar>
            <w:top w:w="0" w:type="dxa"/>
            <w:left w:w="0" w:type="dxa"/>
            <w:bottom w:w="0" w:type="dxa"/>
            <w:right w:w="0" w:type="dxa"/>
          </w:tblCellMar>
        </w:tblPrEx>
        <w:trPr>
          <w:trHeight w:val="450"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合计</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825.31</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809.95</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15.36</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2010101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11.21</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11.21</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2010102</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15.36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15.36</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2010301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264.28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264.28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2010302</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46.52</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46.52</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2010399</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410.90</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410.90</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华文中宋" w:hAnsi="华文中宋" w:eastAsia="华文中宋" w:cs="宋体"/>
                <w:sz w:val="21"/>
                <w:szCs w:val="21"/>
              </w:rPr>
            </w:pPr>
            <w:r>
              <w:rPr>
                <w:rFonts w:hint="eastAsia" w:ascii="宋体" w:hAnsi="宋体" w:eastAsia="宋体" w:cs="宋体"/>
                <w:i w:val="0"/>
                <w:iCs w:val="0"/>
                <w:color w:val="000000"/>
                <w:kern w:val="0"/>
                <w:sz w:val="22"/>
                <w:szCs w:val="22"/>
                <w:u w:val="none"/>
                <w:lang w:val="en-US" w:eastAsia="zh-CN" w:bidi="ar"/>
              </w:rPr>
              <w:t>23.33</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23.33</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2080506</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19.88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19.88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13.55</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13.55</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2210201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20.28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center"/>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20.28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sz w:val="21"/>
                <w:szCs w:val="21"/>
              </w:rPr>
            </w:pPr>
          </w:p>
        </w:tc>
      </w:tr>
      <w:tr>
        <w:tblPrEx>
          <w:tblCellMar>
            <w:top w:w="0" w:type="dxa"/>
            <w:left w:w="0" w:type="dxa"/>
            <w:bottom w:w="0" w:type="dxa"/>
            <w:right w:w="0" w:type="dxa"/>
          </w:tblCellMar>
        </w:tblPrEx>
        <w:trPr>
          <w:trHeight w:val="615" w:hRule="atLeast"/>
        </w:trPr>
        <w:tc>
          <w:tcPr>
            <w:tcW w:w="14634"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1"/>
                <w:szCs w:val="21"/>
              </w:rPr>
            </w:pPr>
            <w:r>
              <w:rPr>
                <w:rFonts w:hint="eastAsia"/>
                <w:sz w:val="21"/>
                <w:szCs w:val="21"/>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745"/>
        <w:gridCol w:w="330"/>
        <w:gridCol w:w="4320"/>
        <w:gridCol w:w="1530"/>
        <w:gridCol w:w="1500"/>
        <w:gridCol w:w="1590"/>
        <w:gridCol w:w="1845"/>
        <w:gridCol w:w="1470"/>
        <w:gridCol w:w="2310"/>
      </w:tblGrid>
      <w:tr>
        <w:tblPrEx>
          <w:tblCellMar>
            <w:top w:w="0" w:type="dxa"/>
            <w:left w:w="108" w:type="dxa"/>
            <w:bottom w:w="0" w:type="dxa"/>
            <w:right w:w="108" w:type="dxa"/>
          </w:tblCellMar>
        </w:tblPrEx>
        <w:trPr>
          <w:trHeight w:val="642"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7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8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公开03表</w:t>
            </w:r>
          </w:p>
        </w:tc>
      </w:tr>
      <w:tr>
        <w:tblPrEx>
          <w:tblCellMar>
            <w:top w:w="0" w:type="dxa"/>
            <w:left w:w="108" w:type="dxa"/>
            <w:bottom w:w="0" w:type="dxa"/>
            <w:right w:w="108" w:type="dxa"/>
          </w:tblCellMar>
        </w:tblPrEx>
        <w:trPr>
          <w:trHeight w:val="403" w:hRule="atLeast"/>
        </w:trPr>
        <w:tc>
          <w:tcPr>
            <w:tcW w:w="74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部门：</w:t>
            </w:r>
          </w:p>
        </w:tc>
        <w:tc>
          <w:tcPr>
            <w:tcW w:w="3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20" w:type="dxa"/>
            <w:tcBorders>
              <w:top w:val="nil"/>
              <w:left w:val="nil"/>
              <w:bottom w:val="nil"/>
              <w:right w:val="nil"/>
            </w:tcBorders>
            <w:shd w:val="clear" w:color="000000" w:fill="FFFFFF"/>
            <w:noWrap/>
            <w:vAlign w:val="center"/>
          </w:tcPr>
          <w:p>
            <w:pPr>
              <w:widowControl/>
              <w:jc w:val="left"/>
              <w:rPr>
                <w:rFonts w:ascii="宋体" w:hAnsi="宋体" w:eastAsia="宋体" w:cs="宋体"/>
                <w:kern w:val="0"/>
                <w:sz w:val="21"/>
                <w:szCs w:val="21"/>
              </w:rPr>
            </w:pPr>
            <w:r>
              <w:rPr>
                <w:rFonts w:hint="eastAsia" w:ascii="宋体" w:hAnsi="宋体" w:eastAsia="宋体" w:cs="宋体"/>
                <w:i w:val="0"/>
                <w:color w:val="000000"/>
                <w:kern w:val="0"/>
                <w:sz w:val="21"/>
                <w:szCs w:val="21"/>
                <w:u w:val="none"/>
                <w:lang w:val="en-US" w:eastAsia="zh-CN" w:bidi="ar"/>
              </w:rPr>
              <w:t>湘潭县行政审批服务局</w:t>
            </w:r>
            <w:r>
              <w:rPr>
                <w:rFonts w:hint="eastAsia" w:ascii="宋体" w:hAnsi="宋体" w:eastAsia="宋体" w:cs="宋体"/>
                <w:kern w:val="0"/>
                <w:sz w:val="21"/>
                <w:szCs w:val="21"/>
              </w:rPr>
              <w:t>　</w:t>
            </w:r>
          </w:p>
        </w:tc>
        <w:tc>
          <w:tcPr>
            <w:tcW w:w="15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9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8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单位：万元</w:t>
            </w:r>
          </w:p>
        </w:tc>
      </w:tr>
      <w:tr>
        <w:tblPrEx>
          <w:tblCellMar>
            <w:top w:w="0" w:type="dxa"/>
            <w:left w:w="108" w:type="dxa"/>
            <w:bottom w:w="0" w:type="dxa"/>
            <w:right w:w="108" w:type="dxa"/>
          </w:tblCellMar>
        </w:tblPrEx>
        <w:trPr>
          <w:trHeight w:val="555"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本年支出合计</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基本支出</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项目支出</w:t>
            </w:r>
          </w:p>
        </w:tc>
        <w:tc>
          <w:tcPr>
            <w:tcW w:w="18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上缴上级支出</w:t>
            </w:r>
          </w:p>
        </w:tc>
        <w:tc>
          <w:tcPr>
            <w:tcW w:w="14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经营支出</w:t>
            </w:r>
          </w:p>
        </w:tc>
        <w:tc>
          <w:tcPr>
            <w:tcW w:w="23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对附属单位补助支出</w:t>
            </w:r>
          </w:p>
        </w:tc>
      </w:tr>
      <w:tr>
        <w:tblPrEx>
          <w:tblCellMar>
            <w:top w:w="0" w:type="dxa"/>
            <w:left w:w="108" w:type="dxa"/>
            <w:bottom w:w="0" w:type="dxa"/>
            <w:right w:w="108" w:type="dxa"/>
          </w:tblCellMar>
        </w:tblPrEx>
        <w:trPr>
          <w:trHeight w:val="595" w:hRule="atLeast"/>
        </w:trPr>
        <w:tc>
          <w:tcPr>
            <w:tcW w:w="10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功能分类科目编码</w:t>
            </w:r>
          </w:p>
        </w:tc>
        <w:tc>
          <w:tcPr>
            <w:tcW w:w="432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科目名称</w:t>
            </w: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23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4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23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r>
      <w:tr>
        <w:tblPrEx>
          <w:tblCellMar>
            <w:top w:w="0" w:type="dxa"/>
            <w:left w:w="108" w:type="dxa"/>
            <w:bottom w:w="0" w:type="dxa"/>
            <w:right w:w="108" w:type="dxa"/>
          </w:tblCellMar>
        </w:tblPrEx>
        <w:trPr>
          <w:trHeight w:val="445"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栏次</w:t>
            </w:r>
          </w:p>
        </w:tc>
        <w:tc>
          <w:tcPr>
            <w:tcW w:w="153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5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5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4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23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6</w:t>
            </w:r>
          </w:p>
        </w:tc>
      </w:tr>
      <w:tr>
        <w:tblPrEx>
          <w:tblCellMar>
            <w:top w:w="0" w:type="dxa"/>
            <w:left w:w="108" w:type="dxa"/>
            <w:bottom w:w="0" w:type="dxa"/>
            <w:right w:w="108" w:type="dxa"/>
          </w:tblCellMar>
        </w:tblPrEx>
        <w:trPr>
          <w:trHeight w:val="595"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合计</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b/>
                <w:bCs/>
                <w:i w:val="0"/>
                <w:iCs w:val="0"/>
                <w:color w:val="000000"/>
                <w:kern w:val="0"/>
                <w:sz w:val="22"/>
                <w:szCs w:val="22"/>
                <w:u w:val="none"/>
                <w:lang w:val="en-US" w:eastAsia="zh-CN" w:bidi="ar"/>
              </w:rPr>
              <w:t>825.31</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b/>
                <w:bCs/>
                <w:i w:val="0"/>
                <w:iCs w:val="0"/>
                <w:color w:val="000000"/>
                <w:kern w:val="0"/>
                <w:sz w:val="22"/>
                <w:szCs w:val="22"/>
                <w:u w:val="none"/>
                <w:lang w:val="en-US" w:eastAsia="zh-CN" w:bidi="ar"/>
              </w:rPr>
              <w:t>332.66</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b/>
                <w:bCs/>
                <w:i w:val="0"/>
                <w:iCs w:val="0"/>
                <w:color w:val="000000"/>
                <w:kern w:val="0"/>
                <w:sz w:val="22"/>
                <w:szCs w:val="22"/>
                <w:u w:val="none"/>
                <w:lang w:val="en-US" w:eastAsia="zh-CN" w:bidi="ar"/>
              </w:rPr>
              <w:t>492.65</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2010101</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11.21</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11.21</w:t>
            </w:r>
          </w:p>
        </w:tc>
        <w:tc>
          <w:tcPr>
            <w:tcW w:w="159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2010102</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15.36</w:t>
            </w:r>
          </w:p>
        </w:tc>
        <w:tc>
          <w:tcPr>
            <w:tcW w:w="1500"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1"/>
                <w:szCs w:val="21"/>
              </w:rPr>
            </w:pP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15.36</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2010301</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264.28</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264.28</w:t>
            </w:r>
          </w:p>
        </w:tc>
        <w:tc>
          <w:tcPr>
            <w:tcW w:w="1590"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1"/>
                <w:szCs w:val="21"/>
              </w:rPr>
            </w:pP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2010302</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46.52</w:t>
            </w:r>
          </w:p>
        </w:tc>
        <w:tc>
          <w:tcPr>
            <w:tcW w:w="1500"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1"/>
                <w:szCs w:val="21"/>
              </w:rPr>
            </w:pP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46.52</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2010399</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410.90</w:t>
            </w:r>
          </w:p>
        </w:tc>
        <w:tc>
          <w:tcPr>
            <w:tcW w:w="150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410.90</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23.33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23.33</w:t>
            </w:r>
          </w:p>
        </w:tc>
        <w:tc>
          <w:tcPr>
            <w:tcW w:w="159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2080506</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19.88</w:t>
            </w:r>
          </w:p>
        </w:tc>
        <w:tc>
          <w:tcPr>
            <w:tcW w:w="150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19.88</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13.55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13.55</w:t>
            </w:r>
          </w:p>
        </w:tc>
        <w:tc>
          <w:tcPr>
            <w:tcW w:w="1590"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9"/>
        <w:tblW w:w="15522" w:type="dxa"/>
        <w:tblInd w:w="93"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部门：</w:t>
            </w:r>
            <w:r>
              <w:rPr>
                <w:rFonts w:hint="eastAsia" w:ascii="宋体" w:hAnsi="宋体" w:eastAsia="宋体" w:cs="宋体"/>
                <w:i w:val="0"/>
                <w:color w:val="000000"/>
                <w:kern w:val="0"/>
                <w:sz w:val="21"/>
                <w:szCs w:val="21"/>
                <w:u w:val="none"/>
                <w:lang w:val="en-US" w:eastAsia="zh-CN" w:bidi="ar"/>
              </w:rPr>
              <w:t>湘潭县行政审批服务局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809.95</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732.91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732.91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color w:val="000000"/>
                <w:kern w:val="0"/>
                <w:sz w:val="21"/>
                <w:szCs w:val="21"/>
                <w:u w:val="none"/>
                <w:lang w:val="en-US" w:eastAsia="zh-CN" w:bidi="ar"/>
              </w:rPr>
              <w:t>20</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r>
              <w:rPr>
                <w:rFonts w:hint="eastAsia" w:ascii="宋体" w:hAnsi="宋体" w:eastAsia="宋体" w:cs="宋体"/>
                <w:i w:val="0"/>
                <w:color w:val="000000"/>
                <w:sz w:val="21"/>
                <w:szCs w:val="21"/>
                <w:u w:val="none"/>
                <w:lang w:val="en-US" w:eastAsia="zh-CN"/>
              </w:rPr>
              <w:t>43.20</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r>
              <w:rPr>
                <w:rFonts w:hint="eastAsia" w:ascii="宋体" w:hAnsi="宋体" w:eastAsia="宋体" w:cs="宋体"/>
                <w:i w:val="0"/>
                <w:color w:val="000000"/>
                <w:sz w:val="21"/>
                <w:szCs w:val="21"/>
                <w:u w:val="none"/>
                <w:lang w:val="en-US" w:eastAsia="zh-CN"/>
              </w:rPr>
              <w:t>43.20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color w:val="000000"/>
                <w:kern w:val="0"/>
                <w:sz w:val="21"/>
                <w:szCs w:val="21"/>
                <w:u w:val="none"/>
                <w:lang w:val="en-US" w:eastAsia="zh-CN" w:bidi="ar"/>
              </w:rPr>
              <w:t>21</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r>
              <w:rPr>
                <w:rFonts w:hint="eastAsia" w:ascii="宋体" w:hAnsi="宋体" w:eastAsia="宋体" w:cs="宋体"/>
                <w:i w:val="0"/>
                <w:color w:val="000000"/>
                <w:sz w:val="21"/>
                <w:szCs w:val="21"/>
                <w:u w:val="none"/>
                <w:lang w:val="en-US" w:eastAsia="zh-CN"/>
              </w:rPr>
              <w:t>13.55</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r>
              <w:rPr>
                <w:rFonts w:hint="eastAsia" w:ascii="宋体" w:hAnsi="宋体" w:eastAsia="宋体" w:cs="宋体"/>
                <w:i w:val="0"/>
                <w:color w:val="000000"/>
                <w:sz w:val="21"/>
                <w:szCs w:val="21"/>
                <w:u w:val="none"/>
                <w:lang w:val="en-US" w:eastAsia="zh-CN"/>
              </w:rPr>
              <w:t>13.55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1"/>
                <w:szCs w:val="21"/>
              </w:rPr>
            </w:pPr>
            <w:r>
              <w:rPr>
                <w:rFonts w:hint="eastAsia" w:ascii="宋体" w:hAnsi="宋体" w:eastAsia="宋体" w:cs="宋体"/>
                <w:i w:val="0"/>
                <w:color w:val="000000"/>
                <w:sz w:val="21"/>
                <w:szCs w:val="21"/>
                <w:u w:val="none"/>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color w:val="000000"/>
                <w:kern w:val="0"/>
                <w:sz w:val="21"/>
                <w:szCs w:val="21"/>
                <w:u w:val="none"/>
                <w:lang w:val="en-US" w:eastAsia="zh-CN" w:bidi="ar"/>
              </w:rPr>
              <w:t>22</w:t>
            </w:r>
          </w:p>
        </w:tc>
        <w:tc>
          <w:tcPr>
            <w:tcW w:w="1573"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r>
              <w:rPr>
                <w:rFonts w:hint="eastAsia" w:ascii="宋体" w:hAnsi="宋体" w:eastAsia="宋体" w:cs="宋体"/>
                <w:i w:val="0"/>
                <w:color w:val="000000"/>
                <w:sz w:val="21"/>
                <w:szCs w:val="21"/>
                <w:u w:val="none"/>
                <w:lang w:val="en-US" w:eastAsia="zh-CN"/>
              </w:rPr>
              <w:t>20.28</w:t>
            </w:r>
          </w:p>
        </w:tc>
        <w:tc>
          <w:tcPr>
            <w:tcW w:w="1394"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1"/>
                <w:szCs w:val="21"/>
              </w:rPr>
            </w:pPr>
            <w:r>
              <w:rPr>
                <w:rFonts w:hint="eastAsia" w:ascii="宋体" w:hAnsi="宋体" w:eastAsia="宋体" w:cs="宋体"/>
                <w:i w:val="0"/>
                <w:color w:val="000000"/>
                <w:sz w:val="21"/>
                <w:szCs w:val="21"/>
                <w:u w:val="none"/>
                <w:lang w:val="en-US" w:eastAsia="zh-CN"/>
              </w:rPr>
              <w:t>20.28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809.95</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809.95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809.95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bookmarkStart w:id="3" w:name="_GoBack"/>
            <w:bookmarkEnd w:id="3"/>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809.95</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809.95</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809.95</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r>
      <w:tr>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 w:val="21"/>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 w:val="21"/>
          <w:szCs w:val="21"/>
        </w:rPr>
        <w:t xml:space="preserve">部门：  </w:t>
      </w:r>
      <w:r>
        <w:rPr>
          <w:rFonts w:hint="eastAsia" w:ascii="宋体" w:hAnsi="宋体" w:eastAsia="宋体" w:cs="宋体"/>
          <w:i w:val="0"/>
          <w:color w:val="000000"/>
          <w:kern w:val="0"/>
          <w:sz w:val="21"/>
          <w:szCs w:val="21"/>
          <w:u w:val="none"/>
          <w:lang w:val="en-US" w:eastAsia="zh-CN" w:bidi="ar"/>
        </w:rPr>
        <w:t>湘潭县行政审批服务局</w:t>
      </w:r>
      <w:r>
        <w:rPr>
          <w:rFonts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lang w:val="en-US" w:eastAsia="zh-CN"/>
        </w:rPr>
        <w:t xml:space="preserve">   </w:t>
      </w:r>
      <w:r>
        <w:rPr>
          <w:rFonts w:hint="eastAsia" w:ascii="Times New Roman" w:hAnsi="Times New Roman" w:eastAsia="仿宋_GB2312" w:cs="Times New Roman"/>
          <w:color w:val="000000"/>
          <w:kern w:val="0"/>
          <w:sz w:val="21"/>
          <w:szCs w:val="21"/>
        </w:rPr>
        <w:t xml:space="preserve">    </w:t>
      </w:r>
      <w:r>
        <w:rPr>
          <w:rFonts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lang w:val="en-US" w:eastAsia="zh-CN"/>
        </w:rPr>
        <w:t xml:space="preserve">        </w:t>
      </w:r>
      <w:r>
        <w:rPr>
          <w:rFonts w:ascii="Times New Roman" w:hAnsi="Times New Roman" w:eastAsia="仿宋_GB2312" w:cs="Times New Roman"/>
          <w:color w:val="000000"/>
          <w:kern w:val="0"/>
          <w:sz w:val="21"/>
          <w:szCs w:val="21"/>
        </w:rPr>
        <w:t xml:space="preserve">    公开05表</w:t>
      </w:r>
    </w:p>
    <w:p>
      <w:pPr>
        <w:widowControl/>
        <w:jc w:val="left"/>
        <w:rPr>
          <w:rFonts w:ascii="Times New Roman" w:hAnsi="Times New Roman" w:eastAsia="宋体" w:cs="Times New Roman"/>
          <w:color w:val="000000"/>
          <w:kern w:val="0"/>
          <w:sz w:val="21"/>
          <w:szCs w:val="21"/>
        </w:rPr>
      </w:pPr>
      <w:r>
        <w:rPr>
          <w:rFonts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rPr>
        <w:t xml:space="preserve">      </w:t>
      </w:r>
      <w:r>
        <w:rPr>
          <w:rFonts w:ascii="Times New Roman" w:hAnsi="Times New Roman" w:eastAsia="仿宋_GB2312" w:cs="Times New Roman"/>
          <w:color w:val="000000"/>
          <w:kern w:val="0"/>
          <w:sz w:val="21"/>
          <w:szCs w:val="21"/>
        </w:rPr>
        <w:t xml:space="preserve">       单位：万元</w:t>
      </w:r>
    </w:p>
    <w:tbl>
      <w:tblPr>
        <w:tblStyle w:val="9"/>
        <w:tblW w:w="14820" w:type="dxa"/>
        <w:jc w:val="center"/>
        <w:tblLayout w:type="fixed"/>
        <w:tblCellMar>
          <w:top w:w="0" w:type="dxa"/>
          <w:left w:w="108" w:type="dxa"/>
          <w:bottom w:w="0" w:type="dxa"/>
          <w:right w:w="108" w:type="dxa"/>
        </w:tblCellMar>
      </w:tblPr>
      <w:tblGrid>
        <w:gridCol w:w="289"/>
        <w:gridCol w:w="632"/>
        <w:gridCol w:w="238"/>
        <w:gridCol w:w="86"/>
        <w:gridCol w:w="207"/>
        <w:gridCol w:w="986"/>
        <w:gridCol w:w="1865"/>
        <w:gridCol w:w="81"/>
        <w:gridCol w:w="786"/>
        <w:gridCol w:w="1117"/>
        <w:gridCol w:w="112"/>
        <w:gridCol w:w="169"/>
        <w:gridCol w:w="1418"/>
        <w:gridCol w:w="398"/>
        <w:gridCol w:w="116"/>
        <w:gridCol w:w="722"/>
        <w:gridCol w:w="947"/>
        <w:gridCol w:w="339"/>
        <w:gridCol w:w="956"/>
        <w:gridCol w:w="1057"/>
        <w:gridCol w:w="1471"/>
        <w:gridCol w:w="507"/>
        <w:gridCol w:w="60"/>
        <w:gridCol w:w="261"/>
      </w:tblGrid>
      <w:tr>
        <w:tblPrEx>
          <w:tblCellMar>
            <w:top w:w="0" w:type="dxa"/>
            <w:left w:w="108" w:type="dxa"/>
            <w:bottom w:w="0" w:type="dxa"/>
            <w:right w:w="108" w:type="dxa"/>
          </w:tblCellMar>
        </w:tblPrEx>
        <w:trPr>
          <w:gridBefore w:val="1"/>
          <w:gridAfter w:val="2"/>
          <w:wBefore w:w="289" w:type="dxa"/>
          <w:wAfter w:w="321" w:type="dxa"/>
          <w:trHeight w:val="405" w:hRule="atLeast"/>
          <w:jc w:val="center"/>
        </w:trPr>
        <w:tc>
          <w:tcPr>
            <w:tcW w:w="6110" w:type="dxa"/>
            <w:gridSpan w:val="10"/>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 xml:space="preserve">项 </w:t>
            </w:r>
            <w:r>
              <w:rPr>
                <w:rFonts w:ascii="Times New Roman" w:hAnsi="Times New Roman" w:eastAsia="仿宋_GB2312" w:cs="Times New Roman"/>
                <w:b/>
                <w:color w:val="000000"/>
                <w:kern w:val="0"/>
                <w:sz w:val="21"/>
                <w:szCs w:val="21"/>
              </w:rPr>
              <w:t xml:space="preserve">   </w:t>
            </w:r>
            <w:r>
              <w:rPr>
                <w:rFonts w:ascii="Times New Roman" w:hAnsi="Times New Roman" w:eastAsia="仿宋_GB2312" w:cs="Times New Roman"/>
                <w:b/>
                <w:kern w:val="0"/>
                <w:sz w:val="21"/>
                <w:szCs w:val="21"/>
              </w:rPr>
              <w:t>目</w:t>
            </w:r>
          </w:p>
        </w:tc>
        <w:tc>
          <w:tcPr>
            <w:tcW w:w="8100" w:type="dxa"/>
            <w:gridSpan w:val="11"/>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本年支出</w:t>
            </w:r>
          </w:p>
        </w:tc>
      </w:tr>
      <w:tr>
        <w:tblPrEx>
          <w:tblCellMar>
            <w:top w:w="0" w:type="dxa"/>
            <w:left w:w="108" w:type="dxa"/>
            <w:bottom w:w="0" w:type="dxa"/>
            <w:right w:w="108" w:type="dxa"/>
          </w:tblCellMar>
        </w:tblPrEx>
        <w:trPr>
          <w:gridBefore w:val="1"/>
          <w:gridAfter w:val="2"/>
          <w:wBefore w:w="289" w:type="dxa"/>
          <w:wAfter w:w="321" w:type="dxa"/>
          <w:trHeight w:val="495" w:hRule="atLeast"/>
          <w:jc w:val="center"/>
        </w:trPr>
        <w:tc>
          <w:tcPr>
            <w:tcW w:w="1163" w:type="dxa"/>
            <w:gridSpan w:val="4"/>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功能分类科目编码</w:t>
            </w:r>
          </w:p>
        </w:tc>
        <w:tc>
          <w:tcPr>
            <w:tcW w:w="4947" w:type="dxa"/>
            <w:gridSpan w:val="6"/>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科目名称</w:t>
            </w:r>
          </w:p>
        </w:tc>
        <w:tc>
          <w:tcPr>
            <w:tcW w:w="158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小计</w:t>
            </w:r>
          </w:p>
        </w:tc>
        <w:tc>
          <w:tcPr>
            <w:tcW w:w="3478" w:type="dxa"/>
            <w:gridSpan w:val="6"/>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基本支出</w:t>
            </w:r>
          </w:p>
        </w:tc>
        <w:tc>
          <w:tcPr>
            <w:tcW w:w="3035" w:type="dxa"/>
            <w:gridSpan w:val="3"/>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项目支出</w:t>
            </w:r>
          </w:p>
        </w:tc>
      </w:tr>
      <w:tr>
        <w:tblPrEx>
          <w:tblCellMar>
            <w:top w:w="0" w:type="dxa"/>
            <w:left w:w="108" w:type="dxa"/>
            <w:bottom w:w="0" w:type="dxa"/>
            <w:right w:w="108" w:type="dxa"/>
          </w:tblCellMar>
        </w:tblPrEx>
        <w:trPr>
          <w:gridBefore w:val="1"/>
          <w:gridAfter w:val="2"/>
          <w:wBefore w:w="289" w:type="dxa"/>
          <w:wAfter w:w="321" w:type="dxa"/>
          <w:trHeight w:val="360" w:hRule="atLeast"/>
          <w:jc w:val="center"/>
        </w:trPr>
        <w:tc>
          <w:tcPr>
            <w:tcW w:w="1163" w:type="dxa"/>
            <w:gridSpan w:val="4"/>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4947"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158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478" w:type="dxa"/>
            <w:gridSpan w:val="6"/>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035" w:type="dxa"/>
            <w:gridSpan w:val="3"/>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312" w:hRule="atLeast"/>
          <w:jc w:val="center"/>
        </w:trPr>
        <w:tc>
          <w:tcPr>
            <w:tcW w:w="1163" w:type="dxa"/>
            <w:gridSpan w:val="4"/>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4947"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158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478" w:type="dxa"/>
            <w:gridSpan w:val="6"/>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035" w:type="dxa"/>
            <w:gridSpan w:val="3"/>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6110" w:type="dxa"/>
            <w:gridSpan w:val="10"/>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栏次</w:t>
            </w:r>
          </w:p>
        </w:tc>
        <w:tc>
          <w:tcPr>
            <w:tcW w:w="1587"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1</w:t>
            </w:r>
          </w:p>
        </w:tc>
        <w:tc>
          <w:tcPr>
            <w:tcW w:w="3478" w:type="dxa"/>
            <w:gridSpan w:val="6"/>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2</w:t>
            </w:r>
          </w:p>
        </w:tc>
        <w:tc>
          <w:tcPr>
            <w:tcW w:w="3035" w:type="dxa"/>
            <w:gridSpan w:val="3"/>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3</w:t>
            </w: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6110" w:type="dxa"/>
            <w:gridSpan w:val="10"/>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合计</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809.95</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332.66</w:t>
            </w:r>
          </w:p>
        </w:tc>
        <w:tc>
          <w:tcPr>
            <w:tcW w:w="3035"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477.29</w:t>
            </w: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2010101</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11.21</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11.21</w:t>
            </w:r>
          </w:p>
        </w:tc>
        <w:tc>
          <w:tcPr>
            <w:tcW w:w="3035" w:type="dxa"/>
            <w:gridSpan w:val="3"/>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2010301</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264.28</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264.28</w:t>
            </w:r>
          </w:p>
        </w:tc>
        <w:tc>
          <w:tcPr>
            <w:tcW w:w="3035" w:type="dxa"/>
            <w:gridSpan w:val="3"/>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2010302</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46.52</w:t>
            </w:r>
          </w:p>
        </w:tc>
        <w:tc>
          <w:tcPr>
            <w:tcW w:w="3478" w:type="dxa"/>
            <w:gridSpan w:val="6"/>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 w:val="21"/>
                <w:szCs w:val="21"/>
              </w:rPr>
            </w:pPr>
          </w:p>
        </w:tc>
        <w:tc>
          <w:tcPr>
            <w:tcW w:w="3035"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46.52</w:t>
            </w: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2010399</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410.90</w:t>
            </w:r>
          </w:p>
        </w:tc>
        <w:tc>
          <w:tcPr>
            <w:tcW w:w="3478" w:type="dxa"/>
            <w:gridSpan w:val="6"/>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 w:val="21"/>
                <w:szCs w:val="21"/>
              </w:rPr>
            </w:pPr>
          </w:p>
        </w:tc>
        <w:tc>
          <w:tcPr>
            <w:tcW w:w="3035"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410.90</w:t>
            </w: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23.33</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23.33</w:t>
            </w:r>
          </w:p>
        </w:tc>
        <w:tc>
          <w:tcPr>
            <w:tcW w:w="3035" w:type="dxa"/>
            <w:gridSpan w:val="3"/>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2080506</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19.88</w:t>
            </w:r>
          </w:p>
        </w:tc>
        <w:tc>
          <w:tcPr>
            <w:tcW w:w="3478" w:type="dxa"/>
            <w:gridSpan w:val="6"/>
            <w:tcBorders>
              <w:top w:val="nil"/>
              <w:left w:val="nil"/>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kern w:val="0"/>
                <w:sz w:val="21"/>
                <w:szCs w:val="21"/>
              </w:rPr>
            </w:pPr>
          </w:p>
        </w:tc>
        <w:tc>
          <w:tcPr>
            <w:tcW w:w="3035"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19.88</w:t>
            </w: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13.55</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13.55</w:t>
            </w:r>
          </w:p>
        </w:tc>
        <w:tc>
          <w:tcPr>
            <w:tcW w:w="3035" w:type="dxa"/>
            <w:gridSpan w:val="3"/>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2210201</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20.28</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20.28</w:t>
            </w:r>
          </w:p>
        </w:tc>
        <w:tc>
          <w:tcPr>
            <w:tcW w:w="3035" w:type="dxa"/>
            <w:gridSpan w:val="3"/>
            <w:tcBorders>
              <w:top w:val="nil"/>
              <w:left w:val="nil"/>
              <w:bottom w:val="single" w:color="auto" w:sz="4" w:space="0"/>
              <w:right w:val="single" w:color="auto" w:sz="8" w:space="0"/>
            </w:tcBorders>
            <w:shd w:val="clear" w:color="auto" w:fill="auto"/>
            <w:vAlign w:val="center"/>
          </w:tcPr>
          <w:p>
            <w:pPr>
              <w:jc w:val="center"/>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289" w:type="dxa"/>
          <w:wAfter w:w="321" w:type="dxa"/>
          <w:trHeight w:val="450" w:hRule="atLeast"/>
          <w:jc w:val="center"/>
        </w:trPr>
        <w:tc>
          <w:tcPr>
            <w:tcW w:w="1163"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2010101</w:t>
            </w:r>
          </w:p>
        </w:tc>
        <w:tc>
          <w:tcPr>
            <w:tcW w:w="4947"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58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809.95</w:t>
            </w:r>
          </w:p>
        </w:tc>
        <w:tc>
          <w:tcPr>
            <w:tcW w:w="3478"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332.66</w:t>
            </w:r>
          </w:p>
        </w:tc>
        <w:tc>
          <w:tcPr>
            <w:tcW w:w="3035"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477.29</w:t>
            </w:r>
          </w:p>
        </w:tc>
      </w:tr>
      <w:tr>
        <w:tblPrEx>
          <w:tblCellMar>
            <w:top w:w="0" w:type="dxa"/>
            <w:left w:w="108" w:type="dxa"/>
            <w:bottom w:w="0" w:type="dxa"/>
            <w:right w:w="108" w:type="dxa"/>
          </w:tblCellMar>
        </w:tblPrEx>
        <w:trPr>
          <w:gridBefore w:val="1"/>
          <w:gridAfter w:val="2"/>
          <w:wBefore w:w="289" w:type="dxa"/>
          <w:wAfter w:w="321" w:type="dxa"/>
          <w:trHeight w:val="645" w:hRule="atLeast"/>
          <w:jc w:val="center"/>
        </w:trPr>
        <w:tc>
          <w:tcPr>
            <w:tcW w:w="14210" w:type="dxa"/>
            <w:gridSpan w:val="21"/>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注：本表反映部门本年度一般公共预算财政拨款支出情况。</w:t>
            </w:r>
          </w:p>
        </w:tc>
      </w:tr>
      <w:tr>
        <w:tblPrEx>
          <w:tblCellMar>
            <w:top w:w="0" w:type="dxa"/>
            <w:left w:w="108" w:type="dxa"/>
            <w:bottom w:w="0" w:type="dxa"/>
            <w:right w:w="108" w:type="dxa"/>
          </w:tblCellMar>
        </w:tblPrEx>
        <w:trPr>
          <w:trHeight w:val="113" w:hRule="atLeast"/>
          <w:jc w:val="center"/>
        </w:trPr>
        <w:tc>
          <w:tcPr>
            <w:tcW w:w="14820" w:type="dxa"/>
            <w:gridSpan w:val="24"/>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宋体" w:hAnsi="宋体" w:eastAsia="宋体" w:cs="宋体"/>
                <w:i w:val="0"/>
                <w:color w:val="000000"/>
                <w:kern w:val="0"/>
                <w:sz w:val="21"/>
                <w:szCs w:val="21"/>
                <w:u w:val="none"/>
                <w:lang w:val="en-US" w:eastAsia="zh-CN" w:bidi="ar"/>
              </w:rPr>
              <w:t>湘潭县行政审批服务局</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公开06表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jc w:val="center"/>
        </w:trPr>
        <w:tc>
          <w:tcPr>
            <w:tcW w:w="124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5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97"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3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23"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2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工资福利支出</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287.60</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商品和服务支出</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44.87</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30101</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基本工资</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73.12</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30201</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办公费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27.28</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30701</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30102</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津贴补贴</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21.34</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30202</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印刷费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30702</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30103</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奖金</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115.76</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30203</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咨询费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30106</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伙食补助费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8.91</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30204</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手续费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31001</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30107</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绩效工资</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10.28</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30205</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水费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31002</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30108</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机关事业单位基本养老保险缴费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23.33</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30206</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电费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31003</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30109</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职业年金缴费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30207</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邮电费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31005</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30110</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职工基本医疗保险缴费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13.55</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30208</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取暖费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31006</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30111</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公务员医疗补助缴费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30209</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物业管理费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31007</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30112</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其他社会保障缴费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1.01</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30211</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差旅费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1.92</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31008</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30113</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住房公积金</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20.28</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30212</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因公出国（境）费用</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31009</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30114</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医疗费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30213</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维修（护）费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31010</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30199</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其他工资福利支出</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30214</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租赁费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31011</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对个人和家庭的补助</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0.19</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30215</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会议费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31012</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30301</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离休费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30216</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培训费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31013</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30302</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退休费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30217</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公务接待费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0.11</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31019</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30303</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退职（役）费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30218</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专用材料费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31021</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30304</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抚恤金</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30224</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被装购置费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31022</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30305</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生活补助</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30225</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专用燃料费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31099</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30306</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救济费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30226</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劳务费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30307</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医疗费补助</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30227</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委托业务费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39907</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xml:space="preserve">  国家赔偿费用支出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30308</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助学金</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30228</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工会经费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2.30</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39908</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xml:space="preserve">  对民间非营利组织和群众性自治组织补贴</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30309</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奖励金</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0.19</w:t>
            </w: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30229</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福利费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0.64</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经常性赠与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资本性赠与</w:t>
                  </w:r>
                </w:p>
              </w:tc>
            </w:tr>
          </w:tbl>
          <w:p>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经常性赠与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资本性赠与</w:t>
                  </w:r>
                </w:p>
              </w:tc>
            </w:tr>
          </w:tbl>
          <w:p>
            <w:pPr>
              <w:widowControl/>
              <w:jc w:val="left"/>
              <w:rPr>
                <w:rFonts w:hint="eastAsia" w:ascii="宋体" w:hAnsi="宋体" w:eastAsia="宋体" w:cs="宋体"/>
                <w:color w:val="000000"/>
                <w:kern w:val="0"/>
                <w:szCs w:val="20"/>
              </w:rPr>
            </w:pP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30310</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个人农业生产补贴</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30231</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公务用车运行维护费</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30311</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代缴社会保险费</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30239</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其他交通费用</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12.62</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39999</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xml:space="preserve">  其他支出</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30399</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其他对个人和家庭的补助</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30240</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税金及附加费用</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828"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 w:val="21"/>
                <w:szCs w:val="21"/>
              </w:rPr>
            </w:pPr>
          </w:p>
        </w:tc>
      </w:tr>
      <w:tr>
        <w:tblPrEx>
          <w:tblCellMar>
            <w:top w:w="0" w:type="dxa"/>
            <w:left w:w="108" w:type="dxa"/>
            <w:bottom w:w="0" w:type="dxa"/>
            <w:right w:w="108" w:type="dxa"/>
          </w:tblCellMar>
        </w:tblPrEx>
        <w:trPr>
          <w:trHeight w:val="284" w:hRule="exact"/>
          <w:jc w:val="center"/>
        </w:trPr>
        <w:tc>
          <w:tcPr>
            <w:tcW w:w="124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30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8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p>
        </w:tc>
        <w:tc>
          <w:tcPr>
            <w:tcW w:w="11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30299</w:t>
            </w:r>
          </w:p>
        </w:tc>
        <w:tc>
          <w:tcPr>
            <w:tcW w:w="2097"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 xml:space="preserve">  其他商品和服务支出</w:t>
            </w:r>
          </w:p>
        </w:tc>
        <w:tc>
          <w:tcPr>
            <w:tcW w:w="83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94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3823"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828"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 w:val="21"/>
                <w:szCs w:val="21"/>
              </w:rPr>
            </w:pPr>
          </w:p>
        </w:tc>
      </w:tr>
      <w:tr>
        <w:tblPrEx>
          <w:tblCellMar>
            <w:top w:w="0" w:type="dxa"/>
            <w:left w:w="108" w:type="dxa"/>
            <w:bottom w:w="0" w:type="dxa"/>
            <w:right w:w="108" w:type="dxa"/>
          </w:tblCellMar>
        </w:tblPrEx>
        <w:trPr>
          <w:trHeight w:val="284" w:hRule="exact"/>
          <w:jc w:val="center"/>
        </w:trPr>
        <w:tc>
          <w:tcPr>
            <w:tcW w:w="4303"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8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287.793</w:t>
            </w:r>
          </w:p>
        </w:tc>
        <w:tc>
          <w:tcPr>
            <w:tcW w:w="8822" w:type="dxa"/>
            <w:gridSpan w:val="1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2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44.87</w:t>
            </w:r>
          </w:p>
        </w:tc>
      </w:tr>
      <w:tr>
        <w:tblPrEx>
          <w:tblCellMar>
            <w:top w:w="0" w:type="dxa"/>
            <w:left w:w="108" w:type="dxa"/>
            <w:bottom w:w="0" w:type="dxa"/>
            <w:right w:w="108" w:type="dxa"/>
          </w:tblCellMar>
        </w:tblPrEx>
        <w:trPr>
          <w:trHeight w:val="284" w:hRule="exact"/>
          <w:jc w:val="center"/>
        </w:trPr>
        <w:tc>
          <w:tcPr>
            <w:tcW w:w="14820" w:type="dxa"/>
            <w:gridSpan w:val="24"/>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690" w:hRule="atLeast"/>
          <w:jc w:val="center"/>
        </w:trPr>
        <w:tc>
          <w:tcPr>
            <w:tcW w:w="14559" w:type="dxa"/>
            <w:gridSpan w:val="23"/>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345" w:hRule="atLeast"/>
          <w:jc w:val="center"/>
        </w:trPr>
        <w:tc>
          <w:tcPr>
            <w:tcW w:w="921"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38"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1279" w:type="dxa"/>
            <w:gridSpan w:val="3"/>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1946"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184"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93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8"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13"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38" w:type="dxa"/>
            <w:gridSpan w:val="3"/>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408" w:hRule="atLeast"/>
          <w:jc w:val="center"/>
        </w:trPr>
        <w:tc>
          <w:tcPr>
            <w:tcW w:w="921" w:type="dxa"/>
            <w:gridSpan w:val="2"/>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w:t>
            </w:r>
          </w:p>
        </w:tc>
        <w:tc>
          <w:tcPr>
            <w:tcW w:w="238"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1279" w:type="dxa"/>
            <w:gridSpan w:val="3"/>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湘潭县行政</w:t>
            </w:r>
          </w:p>
        </w:tc>
        <w:tc>
          <w:tcPr>
            <w:tcW w:w="1946" w:type="dxa"/>
            <w:gridSpan w:val="2"/>
            <w:tcBorders>
              <w:top w:val="nil"/>
              <w:left w:val="nil"/>
              <w:bottom w:val="nil"/>
              <w:right w:val="nil"/>
            </w:tcBorders>
            <w:shd w:val="clear" w:color="auto" w:fill="FFFFFF"/>
            <w:vAlign w:val="center"/>
          </w:tcPr>
          <w:p>
            <w:pPr>
              <w:jc w:val="left"/>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审批服务局</w:t>
            </w:r>
          </w:p>
        </w:tc>
        <w:tc>
          <w:tcPr>
            <w:tcW w:w="2184"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93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8"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13"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38" w:type="dxa"/>
            <w:gridSpan w:val="3"/>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459" w:hRule="atLeast"/>
          <w:jc w:val="center"/>
        </w:trPr>
        <w:tc>
          <w:tcPr>
            <w:tcW w:w="24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项 </w:t>
            </w:r>
            <w:r>
              <w:rPr>
                <w:rStyle w:val="16"/>
                <w:sz w:val="21"/>
                <w:szCs w:val="21"/>
                <w:lang w:val="en-US" w:eastAsia="zh-CN" w:bidi="ar"/>
              </w:rPr>
              <w:t xml:space="preserve">   </w:t>
            </w:r>
            <w:r>
              <w:rPr>
                <w:rStyle w:val="17"/>
                <w:sz w:val="21"/>
                <w:szCs w:val="21"/>
                <w:lang w:val="en-US" w:eastAsia="zh-CN" w:bidi="ar"/>
              </w:rPr>
              <w:t>目</w:t>
            </w:r>
          </w:p>
        </w:tc>
        <w:tc>
          <w:tcPr>
            <w:tcW w:w="194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年初结转和结余</w:t>
            </w:r>
          </w:p>
        </w:tc>
        <w:tc>
          <w:tcPr>
            <w:tcW w:w="218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本年收入</w:t>
            </w:r>
          </w:p>
        </w:tc>
        <w:tc>
          <w:tcPr>
            <w:tcW w:w="595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本年支出</w:t>
            </w:r>
          </w:p>
        </w:tc>
        <w:tc>
          <w:tcPr>
            <w:tcW w:w="203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609" w:hRule="atLeast"/>
          <w:jc w:val="center"/>
        </w:trPr>
        <w:tc>
          <w:tcPr>
            <w:tcW w:w="115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科目代码</w:t>
            </w:r>
          </w:p>
        </w:tc>
        <w:tc>
          <w:tcPr>
            <w:tcW w:w="127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科目名称</w:t>
            </w:r>
          </w:p>
        </w:tc>
        <w:tc>
          <w:tcPr>
            <w:tcW w:w="1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1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93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200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基本支出  </w:t>
            </w:r>
          </w:p>
        </w:tc>
        <w:tc>
          <w:tcPr>
            <w:tcW w:w="20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项目支出</w:t>
            </w:r>
          </w:p>
        </w:tc>
        <w:tc>
          <w:tcPr>
            <w:tcW w:w="203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409" w:hRule="atLeast"/>
          <w:jc w:val="center"/>
        </w:trPr>
        <w:tc>
          <w:tcPr>
            <w:tcW w:w="115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1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9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3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18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9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3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24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栏次</w:t>
            </w: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24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无</w:t>
            </w: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509" w:hRule="atLeast"/>
          <w:jc w:val="center"/>
        </w:trPr>
        <w:tc>
          <w:tcPr>
            <w:tcW w:w="1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1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1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1" w:type="dxa"/>
          <w:trHeight w:val="725" w:hRule="atLeast"/>
          <w:jc w:val="center"/>
        </w:trPr>
        <w:tc>
          <w:tcPr>
            <w:tcW w:w="14559" w:type="dxa"/>
            <w:gridSpan w:val="2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楷体" w:hAnsi="楷体" w:eastAsia="楷体" w:cs="楷体"/>
                <w:b/>
                <w:bCs/>
                <w:i w:val="0"/>
                <w:color w:val="auto"/>
                <w:kern w:val="0"/>
                <w:sz w:val="21"/>
                <w:szCs w:val="21"/>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6"/>
        <w:gridCol w:w="630"/>
        <w:gridCol w:w="2018"/>
        <w:gridCol w:w="2891"/>
        <w:gridCol w:w="2891"/>
        <w:gridCol w:w="37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部门：湘潭县行政审批服务局</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项    </w:t>
            </w:r>
            <w:r>
              <w:rPr>
                <w:rStyle w:val="18"/>
                <w:sz w:val="21"/>
                <w:szCs w:val="21"/>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楷体" w:hAnsi="楷体" w:eastAsia="楷体" w:cs="楷体"/>
                <w:b/>
                <w:bCs/>
                <w:i w:val="0"/>
                <w:color w:val="auto"/>
                <w:kern w:val="0"/>
                <w:sz w:val="21"/>
                <w:szCs w:val="21"/>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6"/>
        <w:gridCol w:w="1165"/>
        <w:gridCol w:w="1068"/>
        <w:gridCol w:w="1068"/>
        <w:gridCol w:w="1068"/>
        <w:gridCol w:w="1080"/>
        <w:gridCol w:w="1105"/>
        <w:gridCol w:w="1165"/>
        <w:gridCol w:w="1068"/>
        <w:gridCol w:w="1068"/>
        <w:gridCol w:w="1069"/>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部门：湘潭县行政审批服务局</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0.11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jc w:val="left"/>
        <w:rPr>
          <w:rFonts w:ascii="宋体" w:eastAsia="宋体" w:cs="宋体"/>
          <w:kern w:val="0"/>
          <w:sz w:val="24"/>
          <w:szCs w:val="24"/>
        </w:rPr>
      </w:pPr>
    </w:p>
    <w:p>
      <w:pPr>
        <w:widowControl/>
        <w:jc w:val="both"/>
        <w:rPr>
          <w:sz w:val="72"/>
          <w:szCs w:val="72"/>
        </w:rPr>
        <w:sectPr>
          <w:pgSz w:w="16838" w:h="11906" w:orient="landscape"/>
          <w:pgMar w:top="663" w:right="1174" w:bottom="550" w:left="1060" w:header="851" w:footer="992" w:gutter="0"/>
          <w:cols w:space="425" w:num="1"/>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第三部分</w:t>
      </w:r>
    </w:p>
    <w:p>
      <w:pPr>
        <w:pStyle w:val="13"/>
        <w:jc w:val="center"/>
        <w:rPr>
          <w:rFonts w:hint="eastAsia" w:ascii="方正小标宋_GBK" w:hAnsi="方正小标宋_GBK" w:eastAsia="方正小标宋_GBK" w:cs="方正小标宋_GBK"/>
          <w:sz w:val="52"/>
          <w:szCs w:val="52"/>
        </w:rPr>
      </w:pPr>
    </w:p>
    <w:p>
      <w:pPr>
        <w:pStyle w:val="13"/>
        <w:jc w:val="center"/>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202</w:t>
      </w:r>
      <w:r>
        <w:rPr>
          <w:rFonts w:hint="eastAsia" w:ascii="方正小标宋_GBK" w:hAnsi="方正小标宋_GBK" w:eastAsia="方正小标宋_GBK" w:cs="方正小标宋_GBK"/>
          <w:sz w:val="52"/>
          <w:szCs w:val="52"/>
          <w:lang w:val="en-US" w:eastAsia="zh-CN"/>
        </w:rPr>
        <w:t>4</w:t>
      </w:r>
      <w:r>
        <w:rPr>
          <w:rFonts w:hint="eastAsia" w:ascii="方正小标宋_GBK" w:hAnsi="方正小标宋_GBK" w:eastAsia="方正小标宋_GBK" w:cs="方正小标宋_GBK"/>
          <w:sz w:val="52"/>
          <w:szCs w:val="52"/>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825.31</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153.05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220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发放新进人员的工资福利及见习基地补贴，以及消化往年</w:t>
      </w:r>
      <w:r>
        <w:rPr>
          <w:rFonts w:hint="eastAsia" w:ascii="仿宋" w:hAnsi="仿宋" w:eastAsia="仿宋" w:cs="仿宋"/>
          <w:sz w:val="32"/>
          <w:szCs w:val="32"/>
        </w:rPr>
        <w:t>应付未付资金</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825.31</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809.95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98</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15.36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825.31</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332.66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40</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492.65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60</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825.31</w:t>
      </w:r>
      <w:r>
        <w:rPr>
          <w:rFonts w:hint="eastAsia" w:ascii="Times New Roman" w:hAnsi="Times New Roman" w:eastAsia="仿宋_GB2312"/>
          <w:sz w:val="32"/>
          <w:szCs w:val="32"/>
        </w:rPr>
        <w:t>万</w:t>
      </w:r>
      <w:r>
        <w:rPr>
          <w:rFonts w:hint="eastAsia" w:ascii="Times New Roman" w:hAnsi="Times New Roman" w:eastAsia="仿宋_GB2312"/>
          <w:sz w:val="32"/>
          <w:szCs w:val="32"/>
          <w:highlight w:val="none"/>
        </w:rPr>
        <w:t>元，与上年相比，增加</w:t>
      </w:r>
      <w:r>
        <w:rPr>
          <w:rFonts w:hint="eastAsia" w:ascii="Times New Roman" w:hAnsi="Times New Roman" w:eastAsia="仿宋_GB2312"/>
          <w:sz w:val="32"/>
          <w:szCs w:val="32"/>
          <w:highlight w:val="none"/>
          <w:lang w:val="en-US" w:eastAsia="zh-CN"/>
        </w:rPr>
        <w:t>153.05</w:t>
      </w:r>
      <w:r>
        <w:rPr>
          <w:rFonts w:hint="eastAsia" w:ascii="Times New Roman" w:hAnsi="Times New Roman" w:eastAsia="仿宋_GB2312"/>
          <w:sz w:val="32"/>
          <w:szCs w:val="32"/>
          <w:highlight w:val="none"/>
        </w:rPr>
        <w:t>万元，增长</w:t>
      </w:r>
      <w:r>
        <w:rPr>
          <w:rFonts w:hint="eastAsia" w:ascii="Times New Roman" w:hAnsi="Times New Roman" w:eastAsia="仿宋_GB2312"/>
          <w:sz w:val="32"/>
          <w:szCs w:val="32"/>
          <w:highlight w:val="none"/>
          <w:lang w:val="en-US" w:eastAsia="zh-CN"/>
        </w:rPr>
        <w:t>220</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eastAsia="zh-CN"/>
        </w:rPr>
        <w:t>发放新进人员的工资福利及见习基地补贴，以及消化往年</w:t>
      </w:r>
      <w:r>
        <w:rPr>
          <w:rFonts w:hint="eastAsia" w:ascii="仿宋" w:hAnsi="仿宋" w:eastAsia="仿宋" w:cs="仿宋"/>
          <w:sz w:val="32"/>
          <w:szCs w:val="32"/>
          <w:highlight w:val="none"/>
        </w:rPr>
        <w:t>应付未付资金</w:t>
      </w:r>
      <w:r>
        <w:rPr>
          <w:rFonts w:hint="eastAsia" w:ascii="Times New Roman" w:hAnsi="Times New Roman" w:eastAsia="仿宋_GB2312"/>
          <w:sz w:val="32"/>
          <w:szCs w:val="32"/>
          <w:highlight w:val="none"/>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809.95</w:t>
      </w:r>
      <w:r>
        <w:rPr>
          <w:rFonts w:hint="eastAsia" w:ascii="Times New Roman" w:hAnsi="Times New Roman" w:eastAsia="仿宋_GB2312"/>
          <w:sz w:val="32"/>
          <w:szCs w:val="32"/>
        </w:rPr>
        <w:t>万元，</w:t>
      </w:r>
      <w:r>
        <w:rPr>
          <w:rFonts w:hint="eastAsia" w:ascii="Times New Roman" w:hAnsi="Times New Roman" w:eastAsia="仿宋_GB2312"/>
          <w:sz w:val="32"/>
          <w:szCs w:val="32"/>
          <w:highlight w:val="none"/>
        </w:rPr>
        <w:t>占本年支出合计的</w:t>
      </w:r>
      <w:r>
        <w:rPr>
          <w:rFonts w:hint="eastAsia" w:ascii="Times New Roman" w:hAnsi="Times New Roman" w:eastAsia="仿宋_GB2312"/>
          <w:sz w:val="32"/>
          <w:szCs w:val="32"/>
          <w:highlight w:val="none"/>
          <w:lang w:val="en-US" w:eastAsia="zh-CN"/>
        </w:rPr>
        <w:t>98</w:t>
      </w:r>
      <w:r>
        <w:rPr>
          <w:rFonts w:hint="eastAsia" w:ascii="Times New Roman" w:hAnsi="Times New Roman" w:eastAsia="仿宋_GB2312"/>
          <w:sz w:val="32"/>
          <w:szCs w:val="32"/>
          <w:highlight w:val="none"/>
        </w:rPr>
        <w:t>%，与上年相比，财政拨款支出增加</w:t>
      </w:r>
      <w:r>
        <w:rPr>
          <w:rFonts w:hint="eastAsia" w:ascii="Times New Roman" w:hAnsi="Times New Roman" w:eastAsia="仿宋_GB2312"/>
          <w:sz w:val="32"/>
          <w:szCs w:val="32"/>
          <w:highlight w:val="none"/>
          <w:lang w:val="en-US" w:eastAsia="zh-CN"/>
        </w:rPr>
        <w:t>147.97</w:t>
      </w:r>
      <w:r>
        <w:rPr>
          <w:rFonts w:hint="eastAsia" w:ascii="Times New Roman" w:hAnsi="Times New Roman" w:eastAsia="仿宋_GB2312"/>
          <w:sz w:val="32"/>
          <w:szCs w:val="32"/>
          <w:highlight w:val="none"/>
        </w:rPr>
        <w:t>万元，增长</w:t>
      </w:r>
      <w:r>
        <w:rPr>
          <w:rFonts w:hint="eastAsia" w:ascii="Times New Roman" w:hAnsi="Times New Roman" w:eastAsia="仿宋_GB2312"/>
          <w:sz w:val="32"/>
          <w:szCs w:val="32"/>
          <w:highlight w:val="none"/>
          <w:lang w:val="en-US" w:eastAsia="zh-CN"/>
        </w:rPr>
        <w:t>249</w:t>
      </w:r>
      <w:r>
        <w:rPr>
          <w:rFonts w:hint="eastAsia" w:ascii="Times New Roman" w:hAnsi="Times New Roman" w:eastAsia="仿宋_GB2312"/>
          <w:sz w:val="32"/>
          <w:szCs w:val="32"/>
          <w:highlight w:val="none"/>
        </w:rPr>
        <w:t>%，主要是因为</w:t>
      </w:r>
      <w:r>
        <w:rPr>
          <w:rFonts w:hint="eastAsia" w:ascii="Times New Roman" w:hAnsi="Times New Roman" w:eastAsia="仿宋_GB2312"/>
          <w:sz w:val="32"/>
          <w:szCs w:val="32"/>
          <w:highlight w:val="none"/>
          <w:lang w:eastAsia="zh-CN"/>
        </w:rPr>
        <w:t>发放新进人员的工资福利及见习基地补贴，以及消化往年</w:t>
      </w:r>
      <w:r>
        <w:rPr>
          <w:rFonts w:hint="eastAsia" w:ascii="仿宋" w:hAnsi="仿宋" w:eastAsia="仿宋" w:cs="仿宋"/>
          <w:sz w:val="32"/>
          <w:szCs w:val="32"/>
          <w:highlight w:val="none"/>
        </w:rPr>
        <w:t>应付未付资金</w:t>
      </w:r>
      <w:r>
        <w:rPr>
          <w:rFonts w:hint="eastAsia" w:ascii="Times New Roman" w:hAnsi="Times New Roman" w:eastAsia="仿宋_GB2312"/>
          <w:sz w:val="32"/>
          <w:szCs w:val="32"/>
          <w:highlight w:val="none"/>
          <w:lang w:eastAsia="zh-CN"/>
        </w:rPr>
        <w:t>。</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年度财政拨款</w:t>
      </w:r>
      <w:r>
        <w:rPr>
          <w:rFonts w:hint="eastAsia" w:ascii="Times New Roman" w:hAnsi="Times New Roman" w:eastAsia="仿宋_GB2312"/>
          <w:sz w:val="32"/>
          <w:szCs w:val="32"/>
          <w:lang w:val="en-US" w:eastAsia="zh-CN"/>
        </w:rPr>
        <w:t>支出809.95万元，主要用于以下方面：一般公共服务支出732.91万</w:t>
      </w:r>
      <w:r>
        <w:rPr>
          <w:rFonts w:hint="eastAsia" w:ascii="Times New Roman" w:hAnsi="Times New Roman" w:eastAsia="仿宋_GB2312"/>
          <w:sz w:val="32"/>
          <w:szCs w:val="32"/>
        </w:rPr>
        <w:t>元，占</w:t>
      </w:r>
      <w:r>
        <w:rPr>
          <w:rFonts w:hint="eastAsia" w:ascii="Times New Roman" w:hAnsi="Times New Roman" w:eastAsia="仿宋_GB2312"/>
          <w:sz w:val="32"/>
          <w:szCs w:val="32"/>
          <w:lang w:val="en-US" w:eastAsia="zh-CN"/>
        </w:rPr>
        <w:t>90.5</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lang w:val="en-US" w:eastAsia="zh-CN"/>
        </w:rPr>
        <w:t>43.2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卫生健康支出13.55万</w:t>
      </w:r>
      <w:r>
        <w:rPr>
          <w:rFonts w:hint="eastAsia" w:ascii="Times New Roman" w:hAnsi="Times New Roman" w:eastAsia="仿宋_GB2312"/>
          <w:sz w:val="32"/>
          <w:szCs w:val="32"/>
        </w:rPr>
        <w:t>元，占</w:t>
      </w:r>
      <w:r>
        <w:rPr>
          <w:rFonts w:hint="eastAsia" w:ascii="Times New Roman" w:hAnsi="Times New Roman" w:eastAsia="仿宋_GB2312"/>
          <w:sz w:val="32"/>
          <w:szCs w:val="32"/>
          <w:lang w:val="en-US" w:eastAsia="zh-CN"/>
        </w:rPr>
        <w:t>1.7</w:t>
      </w:r>
      <w:r>
        <w:rPr>
          <w:rFonts w:hint="eastAsia" w:ascii="Times New Roman" w:hAnsi="Times New Roman" w:eastAsia="仿宋_GB2312"/>
          <w:sz w:val="32"/>
          <w:szCs w:val="32"/>
        </w:rPr>
        <w:t>%；住房保障支出</w:t>
      </w:r>
      <w:r>
        <w:rPr>
          <w:rFonts w:hint="eastAsia" w:ascii="Times New Roman" w:hAnsi="Times New Roman" w:eastAsia="仿宋_GB2312"/>
          <w:sz w:val="32"/>
          <w:szCs w:val="32"/>
          <w:lang w:val="en-US" w:eastAsia="zh-CN"/>
        </w:rPr>
        <w:t>20.28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highlight w:val="none"/>
          <w:lang w:eastAsia="zh-CN"/>
        </w:rPr>
        <w:t>2024</w:t>
      </w:r>
      <w:r>
        <w:rPr>
          <w:rFonts w:hint="eastAsia" w:ascii="Times New Roman" w:hAnsi="Times New Roman" w:eastAsia="仿宋_GB2312"/>
          <w:sz w:val="32"/>
          <w:szCs w:val="32"/>
          <w:highlight w:val="none"/>
        </w:rPr>
        <w:t>年度财政拨款支出年初预算数为</w:t>
      </w:r>
      <w:r>
        <w:rPr>
          <w:rFonts w:hint="eastAsia" w:ascii="Times New Roman" w:hAnsi="Times New Roman" w:eastAsia="仿宋_GB2312"/>
          <w:sz w:val="32"/>
          <w:szCs w:val="32"/>
          <w:lang w:val="en-US" w:eastAsia="zh-CN"/>
        </w:rPr>
        <w:t>607.98</w:t>
      </w:r>
      <w:r>
        <w:rPr>
          <w:rFonts w:hint="eastAsia" w:ascii="Times New Roman" w:hAnsi="Times New Roman" w:eastAsia="仿宋_GB2312"/>
          <w:sz w:val="32"/>
          <w:szCs w:val="32"/>
          <w:highlight w:val="none"/>
        </w:rPr>
        <w:t>万元，支出决算数为</w:t>
      </w:r>
      <w:r>
        <w:rPr>
          <w:rFonts w:hint="eastAsia" w:ascii="Times New Roman" w:hAnsi="Times New Roman" w:eastAsia="仿宋_GB2312"/>
          <w:sz w:val="32"/>
          <w:szCs w:val="32"/>
          <w:highlight w:val="none"/>
          <w:lang w:val="en-US" w:eastAsia="zh-CN"/>
        </w:rPr>
        <w:t>809.95万</w:t>
      </w:r>
      <w:r>
        <w:rPr>
          <w:rFonts w:hint="eastAsia" w:ascii="Times New Roman" w:hAnsi="Times New Roman" w:eastAsia="仿宋_GB2312"/>
          <w:sz w:val="32"/>
          <w:szCs w:val="32"/>
          <w:highlight w:val="none"/>
        </w:rPr>
        <w:t>元，完成年初预算的</w:t>
      </w:r>
      <w:r>
        <w:rPr>
          <w:rFonts w:hint="eastAsia" w:ascii="Times New Roman" w:hAnsi="Times New Roman" w:eastAsia="仿宋_GB2312"/>
          <w:sz w:val="32"/>
          <w:szCs w:val="32"/>
          <w:highlight w:val="none"/>
          <w:lang w:val="en-US" w:eastAsia="zh-CN"/>
        </w:rPr>
        <w:t>133</w:t>
      </w:r>
      <w:r>
        <w:rPr>
          <w:rFonts w:hint="eastAsia" w:ascii="Times New Roman" w:hAnsi="Times New Roman" w:eastAsia="仿宋_GB2312"/>
          <w:sz w:val="32"/>
          <w:szCs w:val="32"/>
          <w:highlight w:val="none"/>
        </w:rPr>
        <w:t>%，其</w:t>
      </w:r>
      <w:r>
        <w:rPr>
          <w:rFonts w:hint="eastAsia" w:ascii="Times New Roman" w:hAnsi="Times New Roman" w:eastAsia="仿宋_GB2312"/>
          <w:sz w:val="32"/>
          <w:szCs w:val="32"/>
        </w:rPr>
        <w:t>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highlight w:val="none"/>
        </w:rPr>
        <w:t>年初预算为</w:t>
      </w:r>
      <w:r>
        <w:rPr>
          <w:rFonts w:hint="eastAsia" w:ascii="Times New Roman" w:hAnsi="Times New Roman" w:eastAsia="仿宋_GB2312"/>
          <w:sz w:val="32"/>
          <w:szCs w:val="32"/>
          <w:highlight w:val="none"/>
          <w:lang w:val="en-US" w:eastAsia="zh-CN"/>
        </w:rPr>
        <w:t>550.81</w:t>
      </w:r>
      <w:r>
        <w:rPr>
          <w:rFonts w:hint="eastAsia" w:ascii="Times New Roman" w:hAnsi="Times New Roman" w:eastAsia="仿宋_GB2312"/>
          <w:sz w:val="32"/>
          <w:szCs w:val="32"/>
          <w:highlight w:val="none"/>
        </w:rPr>
        <w:t>万元，支出决算为</w:t>
      </w:r>
      <w:r>
        <w:rPr>
          <w:rFonts w:hint="eastAsia" w:ascii="Times New Roman" w:hAnsi="Times New Roman" w:eastAsia="仿宋_GB2312"/>
          <w:sz w:val="32"/>
          <w:szCs w:val="32"/>
          <w:highlight w:val="none"/>
          <w:lang w:val="en-US" w:eastAsia="zh-CN"/>
        </w:rPr>
        <w:t>732.91</w:t>
      </w:r>
      <w:r>
        <w:rPr>
          <w:rFonts w:hint="eastAsia" w:ascii="Times New Roman" w:hAnsi="Times New Roman" w:eastAsia="仿宋_GB2312"/>
          <w:sz w:val="32"/>
          <w:szCs w:val="32"/>
          <w:highlight w:val="none"/>
        </w:rPr>
        <w:t>万元，完成年初预算的</w:t>
      </w:r>
      <w:r>
        <w:rPr>
          <w:rFonts w:hint="eastAsia" w:ascii="Times New Roman" w:hAnsi="Times New Roman" w:eastAsia="仿宋_GB2312"/>
          <w:sz w:val="32"/>
          <w:szCs w:val="32"/>
          <w:highlight w:val="none"/>
          <w:lang w:val="en-US" w:eastAsia="zh-CN"/>
        </w:rPr>
        <w:t>133</w:t>
      </w:r>
      <w:r>
        <w:rPr>
          <w:rFonts w:hint="eastAsia" w:ascii="Times New Roman" w:hAnsi="Times New Roman" w:eastAsia="仿宋_GB2312"/>
          <w:sz w:val="32"/>
          <w:szCs w:val="32"/>
          <w:highlight w:val="none"/>
        </w:rPr>
        <w:t>%，决</w:t>
      </w:r>
      <w:r>
        <w:rPr>
          <w:rFonts w:hint="eastAsia" w:ascii="Times New Roman" w:hAnsi="Times New Roman" w:eastAsia="仿宋_GB2312"/>
          <w:sz w:val="32"/>
          <w:szCs w:val="32"/>
        </w:rPr>
        <w:t>算数大于年初预算数的主要原因是：因为</w:t>
      </w:r>
      <w:r>
        <w:rPr>
          <w:rFonts w:hint="eastAsia" w:ascii="Times New Roman" w:hAnsi="Times New Roman" w:eastAsia="仿宋_GB2312"/>
          <w:sz w:val="32"/>
          <w:szCs w:val="32"/>
          <w:lang w:eastAsia="zh-CN"/>
        </w:rPr>
        <w:t>发放新进人员的工资福利及见习基地补贴，以及消化往年</w:t>
      </w:r>
      <w:r>
        <w:rPr>
          <w:rFonts w:hint="eastAsia" w:ascii="仿宋" w:hAnsi="仿宋" w:eastAsia="仿宋" w:cs="仿宋"/>
          <w:sz w:val="32"/>
          <w:szCs w:val="32"/>
        </w:rPr>
        <w:t>应付未付资金</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仿宋" w:hAnsi="仿宋" w:eastAsia="仿宋" w:cs="仿宋"/>
          <w:color w:val="333333"/>
          <w:kern w:val="0"/>
          <w:sz w:val="32"/>
          <w:szCs w:val="32"/>
          <w:highlight w:val="none"/>
          <w:shd w:val="clear" w:color="auto" w:fill="FFFFFF"/>
        </w:rPr>
        <w:t>社会保障和就业支出</w:t>
      </w:r>
      <w:r>
        <w:rPr>
          <w:rFonts w:hint="eastAsia" w:ascii="Times New Roman" w:hAnsi="Times New Roman" w:eastAsia="仿宋_GB2312"/>
          <w:sz w:val="32"/>
          <w:szCs w:val="32"/>
        </w:rPr>
        <w:t>。</w:t>
      </w:r>
    </w:p>
    <w:p>
      <w:pPr>
        <w:pStyle w:val="13"/>
        <w:numPr>
          <w:ilvl w:val="0"/>
          <w:numId w:val="0"/>
        </w:numPr>
        <w:ind w:firstLine="640" w:firstLineChars="200"/>
        <w:rPr>
          <w:rFonts w:hint="eastAsia" w:ascii="仿宋" w:hAnsi="仿宋" w:eastAsia="仿宋" w:cs="仿宋"/>
          <w:sz w:val="32"/>
          <w:szCs w:val="32"/>
          <w:highlight w:val="none"/>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highlight w:val="none"/>
          <w:lang w:val="en-US" w:eastAsia="zh-CN"/>
        </w:rPr>
        <w:t>23.33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23.33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年初预算数的主要原因是：</w:t>
      </w:r>
      <w:r>
        <w:rPr>
          <w:rFonts w:hint="eastAsia" w:ascii="仿宋" w:hAnsi="仿宋" w:eastAsia="仿宋" w:cs="仿宋"/>
          <w:sz w:val="32"/>
          <w:szCs w:val="32"/>
          <w:highlight w:val="none"/>
          <w:lang w:val="en-US" w:eastAsia="zh-CN"/>
        </w:rPr>
        <w:t>严格按照年初预算执行。</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r>
        <w:rPr>
          <w:rFonts w:hint="eastAsia" w:ascii="仿宋" w:hAnsi="仿宋" w:eastAsia="仿宋" w:cs="仿宋"/>
          <w:color w:val="333333"/>
          <w:kern w:val="0"/>
          <w:sz w:val="32"/>
          <w:szCs w:val="32"/>
          <w:highlight w:val="none"/>
          <w:shd w:val="clear" w:color="auto" w:fill="FFFFFF"/>
        </w:rPr>
        <w:t>卫生健康支出</w:t>
      </w:r>
      <w:r>
        <w:rPr>
          <w:rFonts w:hint="eastAsia" w:ascii="Times New Roman" w:hAnsi="Times New Roman" w:eastAsia="仿宋_GB2312"/>
          <w:sz w:val="32"/>
          <w:szCs w:val="32"/>
        </w:rPr>
        <w:t>。</w:t>
      </w:r>
    </w:p>
    <w:p>
      <w:pPr>
        <w:pStyle w:val="13"/>
        <w:numPr>
          <w:ilvl w:val="0"/>
          <w:numId w:val="0"/>
        </w:numPr>
        <w:ind w:firstLine="640" w:firstLineChars="200"/>
        <w:rPr>
          <w:rFonts w:hint="eastAsia" w:ascii="仿宋" w:hAnsi="仿宋" w:eastAsia="仿宋" w:cs="仿宋"/>
          <w:sz w:val="32"/>
          <w:szCs w:val="32"/>
          <w:highlight w:val="none"/>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highlight w:val="none"/>
          <w:lang w:val="en-US" w:eastAsia="zh-CN"/>
        </w:rPr>
        <w:t>13.55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13.55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年初预算数的主要原因是：</w:t>
      </w:r>
      <w:r>
        <w:rPr>
          <w:rFonts w:hint="eastAsia" w:ascii="仿宋" w:hAnsi="仿宋" w:eastAsia="仿宋" w:cs="仿宋"/>
          <w:sz w:val="32"/>
          <w:szCs w:val="32"/>
          <w:highlight w:val="none"/>
          <w:lang w:val="en-US" w:eastAsia="zh-CN"/>
        </w:rPr>
        <w:t>严格按照年初预算执行。</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
          <w:sz w:val="32"/>
          <w:szCs w:val="32"/>
          <w:lang w:val="en-US" w:eastAsia="zh-CN"/>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w:t>
      </w:r>
      <w:r>
        <w:rPr>
          <w:rFonts w:hint="eastAsia" w:ascii="仿宋" w:hAnsi="仿宋" w:eastAsia="仿宋" w:cs="仿宋"/>
          <w:color w:val="333333"/>
          <w:kern w:val="0"/>
          <w:sz w:val="32"/>
          <w:szCs w:val="32"/>
          <w:highlight w:val="none"/>
          <w:shd w:val="clear" w:color="auto" w:fill="FFFFFF"/>
        </w:rPr>
        <w:t>住房保障支出</w:t>
      </w:r>
      <w:r>
        <w:rPr>
          <w:rFonts w:hint="eastAsia" w:ascii="仿宋" w:hAnsi="仿宋" w:eastAsia="仿宋" w:cs="仿宋"/>
          <w:color w:val="333333"/>
          <w:kern w:val="0"/>
          <w:sz w:val="32"/>
          <w:szCs w:val="32"/>
          <w:highlight w:val="none"/>
          <w:shd w:val="clear" w:color="auto" w:fill="FFFFFF"/>
          <w:lang w:eastAsia="zh-CN"/>
        </w:rPr>
        <w:t>。</w:t>
      </w:r>
    </w:p>
    <w:p>
      <w:pPr>
        <w:pStyle w:val="13"/>
        <w:numPr>
          <w:ilvl w:val="0"/>
          <w:numId w:val="0"/>
        </w:num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highlight w:val="none"/>
          <w:lang w:val="en-US" w:eastAsia="zh-CN"/>
        </w:rPr>
        <w:t>20.28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年初预算数的主要原因是：</w:t>
      </w:r>
      <w:r>
        <w:rPr>
          <w:rFonts w:hint="eastAsia" w:ascii="仿宋" w:hAnsi="仿宋" w:eastAsia="仿宋" w:cs="仿宋"/>
          <w:sz w:val="32"/>
          <w:szCs w:val="32"/>
          <w:highlight w:val="none"/>
          <w:lang w:val="en-US" w:eastAsia="zh-CN"/>
        </w:rPr>
        <w:t>严格按照年初预算执行。</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332.66</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287.79</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仿宋" w:hAnsi="仿宋" w:eastAsia="仿宋" w:cs="仿宋"/>
          <w:sz w:val="32"/>
          <w:szCs w:val="32"/>
        </w:rPr>
        <w:t>绩效工资、机关事业单位基本养老保险缴费、职工基本医疗保险缴费、职业年金缴费、公务员医疗补助缴费、 其他社会保障缴费、住房公积金、其他工资福利支出等</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44.87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%，主要包括办公费、印刷费、咨询费、手续费</w:t>
      </w:r>
      <w:r>
        <w:rPr>
          <w:rFonts w:hint="eastAsia" w:ascii="仿宋" w:hAnsi="仿宋" w:eastAsia="仿宋" w:cs="仿宋"/>
          <w:sz w:val="32"/>
          <w:szCs w:val="32"/>
        </w:rPr>
        <w:t>、邮电费、差旅费、 维修（护）费、培训费、劳务费、工会经费、其他交通费用、 其他商品和服务支出</w:t>
      </w:r>
      <w:r>
        <w:rPr>
          <w:rFonts w:hint="eastAsia" w:ascii="Times New Roman" w:hAnsi="Times New Roman" w:eastAsia="仿宋_GB2312"/>
          <w:sz w:val="32"/>
          <w:szCs w:val="32"/>
        </w:rPr>
        <w:t>。</w:t>
      </w:r>
    </w:p>
    <w:p>
      <w:pPr>
        <w:pStyle w:val="13"/>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pPr>
        <w:pStyle w:val="13"/>
        <w:keepNext w:val="0"/>
        <w:keepLines w:val="0"/>
        <w:pageBreakBefore w:val="0"/>
        <w:widowControl w:val="0"/>
        <w:numPr>
          <w:ilvl w:val="0"/>
          <w:numId w:val="0"/>
        </w:numPr>
        <w:kinsoku/>
        <w:wordWrap/>
        <w:overflowPunct/>
        <w:topLinePunct w:val="0"/>
        <w:bidi w:val="0"/>
        <w:snapToGrid/>
        <w:spacing w:line="600" w:lineRule="exact"/>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%，决算数小于预算数的主要原因是</w:t>
      </w:r>
      <w:r>
        <w:rPr>
          <w:rFonts w:hint="eastAsia" w:ascii="仿宋" w:hAnsi="仿宋" w:eastAsia="仿宋" w:cs="仿宋"/>
          <w:sz w:val="32"/>
          <w:szCs w:val="32"/>
          <w:shd w:val="clear" w:color="auto" w:fill="FFFFFF"/>
        </w:rPr>
        <w:t>认真贯彻落实中央八项规定精神和厉行节约要求，从严控制“三公”经费开支后的公务接待支出增加。</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0.23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eastAsia="zh-CN"/>
        </w:rPr>
        <w:t>公务接待活动减少</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0.23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%，决算数小于预算数的主要原因是</w:t>
      </w:r>
      <w:r>
        <w:rPr>
          <w:rFonts w:hint="eastAsia" w:ascii="仿宋" w:hAnsi="仿宋" w:eastAsia="仿宋" w:cs="仿宋"/>
          <w:sz w:val="32"/>
          <w:szCs w:val="32"/>
          <w:shd w:val="clear" w:color="auto" w:fill="FFFFFF"/>
        </w:rPr>
        <w:t>认真贯彻落实中央八项规定精神和厉行节约要求，从严控制“三公”经费开支后的公务接待支出增加。</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0.23</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eastAsia="zh-CN"/>
        </w:rPr>
        <w:t>公务接待活动减少</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2、公务接待费支出决算为</w:t>
      </w:r>
      <w:r>
        <w:rPr>
          <w:rFonts w:hint="eastAsia" w:ascii="Times New Roman" w:hAnsi="Times New Roman" w:eastAsia="仿宋_GB2312"/>
          <w:sz w:val="32"/>
          <w:szCs w:val="32"/>
          <w:highlight w:val="none"/>
          <w:lang w:val="en-US" w:eastAsia="zh-CN"/>
        </w:rPr>
        <w:t>0.11</w:t>
      </w:r>
      <w:r>
        <w:rPr>
          <w:rFonts w:hint="eastAsia" w:ascii="Times New Roman" w:hAnsi="Times New Roman" w:eastAsia="仿宋_GB2312"/>
          <w:sz w:val="32"/>
          <w:szCs w:val="32"/>
          <w:highlight w:val="none"/>
        </w:rPr>
        <w:t>万元，全年共接待来访团组</w:t>
      </w: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个、来宾</w:t>
      </w:r>
      <w:r>
        <w:rPr>
          <w:rFonts w:hint="eastAsia" w:ascii="Times New Roman" w:hAnsi="Times New Roman" w:eastAsia="仿宋_GB2312"/>
          <w:sz w:val="32"/>
          <w:szCs w:val="32"/>
          <w:highlight w:val="none"/>
          <w:lang w:val="en-US" w:eastAsia="zh-CN"/>
        </w:rPr>
        <w:t>8</w:t>
      </w:r>
      <w:r>
        <w:rPr>
          <w:rFonts w:hint="eastAsia" w:ascii="Times New Roman" w:hAnsi="Times New Roman" w:eastAsia="仿宋_GB2312"/>
          <w:sz w:val="32"/>
          <w:szCs w:val="32"/>
          <w:highlight w:val="none"/>
        </w:rPr>
        <w:t>人次，主要是</w:t>
      </w:r>
      <w:r>
        <w:rPr>
          <w:rFonts w:hint="eastAsia" w:ascii="Times New Roman" w:hAnsi="Times New Roman" w:eastAsia="仿宋_GB2312"/>
          <w:sz w:val="32"/>
          <w:szCs w:val="32"/>
          <w:highlight w:val="none"/>
          <w:lang w:eastAsia="zh-CN"/>
        </w:rPr>
        <w:t>政务服务工作交流</w:t>
      </w:r>
      <w:r>
        <w:rPr>
          <w:rFonts w:hint="eastAsia" w:ascii="Times New Roman" w:hAnsi="Times New Roman" w:eastAsia="仿宋_GB2312"/>
          <w:sz w:val="32"/>
          <w:szCs w:val="32"/>
          <w:highlight w:val="none"/>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湘潭县行政审批服务局</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w:t>
      </w: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2024年度本单位无政府性基金此项指标。</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44.87</w:t>
      </w:r>
      <w:r>
        <w:rPr>
          <w:rFonts w:hint="eastAsia" w:ascii="Times New Roman" w:hAnsi="Times New Roman" w:eastAsia="仿宋_GB2312"/>
          <w:sz w:val="32"/>
          <w:szCs w:val="32"/>
        </w:rPr>
        <w:t>万元，比年初预算数</w:t>
      </w:r>
      <w:r>
        <w:rPr>
          <w:rFonts w:hint="eastAsia" w:ascii="Times New Roman" w:hAnsi="Times New Roman" w:eastAsia="仿宋_GB2312"/>
          <w:sz w:val="32"/>
          <w:szCs w:val="32"/>
          <w:lang w:val="en-US" w:eastAsia="zh-CN"/>
        </w:rPr>
        <w:t>29.11万元</w:t>
      </w:r>
      <w:r>
        <w:rPr>
          <w:rFonts w:hint="eastAsia" w:ascii="Times New Roman" w:hAnsi="Times New Roman" w:eastAsia="仿宋_GB2312"/>
          <w:sz w:val="32"/>
          <w:szCs w:val="32"/>
          <w:lang w:eastAsia="zh-CN"/>
        </w:rPr>
        <w:t>增加</w:t>
      </w:r>
      <w:r>
        <w:rPr>
          <w:rFonts w:hint="eastAsia" w:ascii="Times New Roman" w:hAnsi="Times New Roman" w:eastAsia="仿宋_GB2312"/>
          <w:sz w:val="32"/>
          <w:szCs w:val="32"/>
          <w:lang w:val="en-US" w:eastAsia="zh-CN"/>
        </w:rPr>
        <w:t>15.76</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增高</w:t>
      </w:r>
      <w:r>
        <w:rPr>
          <w:rFonts w:hint="eastAsia" w:ascii="Times New Roman" w:hAnsi="Times New Roman" w:eastAsia="仿宋_GB2312"/>
          <w:sz w:val="32"/>
          <w:szCs w:val="32"/>
          <w:lang w:val="en-US" w:eastAsia="zh-CN"/>
        </w:rPr>
        <w:t>54</w:t>
      </w:r>
      <w:r>
        <w:rPr>
          <w:rFonts w:hint="eastAsia" w:ascii="Times New Roman" w:hAnsi="Times New Roman" w:eastAsia="仿宋_GB2312"/>
          <w:sz w:val="32"/>
          <w:szCs w:val="32"/>
        </w:rPr>
        <w:t>%。主要原因是：</w:t>
      </w:r>
      <w:r>
        <w:rPr>
          <w:rFonts w:hint="eastAsia" w:ascii="仿宋" w:hAnsi="仿宋" w:eastAsia="仿宋" w:cs="仿宋"/>
          <w:color w:val="auto"/>
          <w:sz w:val="32"/>
          <w:szCs w:val="32"/>
        </w:rPr>
        <w:t>一是</w:t>
      </w:r>
      <w:r>
        <w:rPr>
          <w:rFonts w:hint="eastAsia" w:ascii="仿宋" w:hAnsi="仿宋" w:eastAsia="仿宋" w:cs="仿宋"/>
          <w:color w:val="auto"/>
          <w:sz w:val="32"/>
          <w:szCs w:val="32"/>
          <w:lang w:eastAsia="zh-CN"/>
        </w:rPr>
        <w:t>人员增加</w:t>
      </w:r>
      <w:r>
        <w:rPr>
          <w:rFonts w:hint="eastAsia" w:ascii="仿宋" w:hAnsi="仿宋" w:eastAsia="仿宋" w:cs="仿宋"/>
          <w:color w:val="auto"/>
          <w:sz w:val="32"/>
          <w:szCs w:val="32"/>
        </w:rPr>
        <w:t>；二是</w:t>
      </w:r>
      <w:r>
        <w:rPr>
          <w:rFonts w:hint="eastAsia" w:ascii="Times New Roman" w:hAnsi="Times New Roman" w:eastAsia="仿宋_GB2312"/>
          <w:sz w:val="32"/>
          <w:szCs w:val="32"/>
          <w:highlight w:val="none"/>
          <w:lang w:eastAsia="zh-CN"/>
        </w:rPr>
        <w:t>消化往年</w:t>
      </w:r>
      <w:r>
        <w:rPr>
          <w:rFonts w:hint="eastAsia" w:ascii="仿宋" w:hAnsi="仿宋" w:eastAsia="仿宋" w:cs="仿宋"/>
          <w:sz w:val="32"/>
          <w:szCs w:val="32"/>
          <w:highlight w:val="none"/>
        </w:rPr>
        <w:t>应付未付资金</w:t>
      </w:r>
      <w:r>
        <w:rPr>
          <w:rFonts w:hint="eastAsia" w:ascii="Times New Roman" w:hAnsi="Times New Roman" w:eastAsia="仿宋_GB2312"/>
          <w:sz w:val="32"/>
          <w:szCs w:val="32"/>
          <w:highlight w:val="none"/>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ind w:firstLine="640" w:firstLineChars="200"/>
        <w:rPr>
          <w:rFonts w:hint="eastAsia" w:ascii="仿宋" w:hAnsi="仿宋" w:eastAsia="仿宋" w:cs="仿宋"/>
          <w:color w:val="auto"/>
          <w:sz w:val="32"/>
          <w:szCs w:val="32"/>
          <w:lang w:eastAsia="zh-CN"/>
        </w:rPr>
      </w:pP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 w:hAnsi="仿宋" w:eastAsia="仿宋" w:cs="仿宋"/>
          <w:color w:val="auto"/>
          <w:sz w:val="32"/>
          <w:szCs w:val="32"/>
          <w:lang w:eastAsia="zh-CN"/>
        </w:rPr>
        <w:t>；未举办节庆、晚会、论坛、赛事活动，开支0万元。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十一、关于政府采购支出说明</w:t>
      </w:r>
    </w:p>
    <w:p>
      <w:pPr>
        <w:pStyle w:val="13"/>
        <w:ind w:firstLine="640" w:firstLineChars="200"/>
        <w:jc w:val="both"/>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2024</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205.82</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55.77</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9.04</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141.01</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188.85</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188.85</w:t>
      </w:r>
      <w:r>
        <w:rPr>
          <w:rFonts w:hint="eastAsia" w:ascii="Times New Roman" w:hAnsi="Times New Roman" w:eastAsia="仿宋_GB2312"/>
          <w:sz w:val="32"/>
          <w:szCs w:val="32"/>
        </w:rPr>
        <w:t>万元，占</w:t>
      </w:r>
      <w:r>
        <w:rPr>
          <w:rFonts w:hint="eastAsia" w:ascii="Times New Roman" w:hAnsi="Times New Roman" w:eastAsia="仿宋_GB2312"/>
          <w:sz w:val="32"/>
          <w:szCs w:val="32"/>
          <w:lang w:eastAsia="zh-CN"/>
        </w:rPr>
        <w:t>授予中小企业合同金额</w:t>
      </w:r>
      <w:r>
        <w:rPr>
          <w:rFonts w:hint="eastAsia" w:ascii="Times New Roman" w:hAnsi="Times New Roman" w:eastAsia="仿宋_GB2312"/>
          <w:sz w:val="32"/>
          <w:szCs w:val="32"/>
        </w:rPr>
        <w:t>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47</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w:t>
      </w:r>
      <w:r>
        <w:rPr>
          <w:rFonts w:hint="eastAsia" w:ascii="Times New Roman" w:hAnsi="Times New Roman" w:eastAsia="仿宋_GB2312"/>
          <w:color w:val="auto"/>
          <w:sz w:val="32"/>
          <w:szCs w:val="32"/>
          <w:lang w:eastAsia="zh-CN"/>
        </w:rPr>
        <w:t>2024</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lang w:eastAsia="zh-CN"/>
        </w:rPr>
        <w:t>2024</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pPr>
        <w:pStyle w:val="13"/>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本部门预算绩效管理有一个内容：部门整体支出；年初制定了绩效管理工作方案，并做好了绩效目标申报；按季度申报了绩效运行跟踪监控管理表；年度结束后，按要求做好了绩效自评报告，并进行公开。本部门</w:t>
      </w:r>
      <w:r>
        <w:rPr>
          <w:rFonts w:hint="eastAsia" w:ascii="Times New Roman" w:hAnsi="Times New Roman" w:eastAsia="仿宋_GB2312"/>
          <w:color w:val="auto"/>
          <w:sz w:val="32"/>
          <w:szCs w:val="32"/>
          <w:lang w:eastAsia="zh-CN"/>
        </w:rPr>
        <w:t>2024</w:t>
      </w:r>
      <w:r>
        <w:rPr>
          <w:rFonts w:hint="eastAsia" w:ascii="Times New Roman" w:hAnsi="Times New Roman" w:eastAsia="仿宋_GB2312"/>
          <w:color w:val="auto"/>
          <w:sz w:val="32"/>
          <w:szCs w:val="32"/>
        </w:rPr>
        <w:t>年度无重点项目绩效评价。</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详见附件五。</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1.存在的问题：</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（1）预算调整率较高。</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（2）项目支出预算执行率较低，因财政资金紧张，优先保障了人员经费、日常运转等基本支出，部分项目支出发票款项未能及时支付。</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2.建议：</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科学合理编制预算，严格执行预算。要按照《预算法》及其实施条例的相关规定，参考上一年的预算执行情况和年度的收支预测科学编制预算，避免年中大幅追加以及超预算。同时严格预算执行，提高资金使用效率。</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（2）加强单位内控制度建设，完善相关内部管理制度。</w:t>
      </w:r>
    </w:p>
    <w:p>
      <w:pPr>
        <w:pStyle w:val="13"/>
        <w:ind w:firstLine="640" w:firstLineChars="200"/>
        <w:jc w:val="left"/>
        <w:rPr>
          <w:rFonts w:hint="eastAsia" w:ascii="仿宋" w:hAnsi="仿宋" w:eastAsia="仿宋" w:cs="仿宋"/>
          <w:color w:val="auto"/>
          <w:kern w:val="2"/>
          <w:sz w:val="32"/>
          <w:szCs w:val="32"/>
          <w:lang w:val="en-US" w:eastAsia="zh-CN" w:bidi="ar-SA"/>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jc w:val="left"/>
        <w:rPr>
          <w:rFonts w:ascii="仿宋" w:hAnsi="仿宋" w:eastAsia="仿宋" w:cs="仿宋"/>
          <w:sz w:val="31"/>
        </w:rPr>
      </w:pPr>
      <w:r>
        <w:rPr>
          <w:rFonts w:hint="eastAsia" w:ascii="仿宋" w:hAnsi="仿宋" w:eastAsia="仿宋" w:cs="仿宋"/>
          <w:sz w:val="31"/>
        </w:rPr>
        <w:t>1、机关运行经费：是指各部门的公用经费，包括办公</w:t>
      </w:r>
      <w:r>
        <w:rPr>
          <w:rFonts w:hint="eastAsia" w:ascii="仿宋" w:hAnsi="仿宋" w:eastAsia="仿宋" w:cs="仿宋"/>
          <w:spacing w:val="-1"/>
          <w:sz w:val="31"/>
        </w:rPr>
        <w:t>及印刷费、邮电费、差旅费、会议费、福利费、日常维修费、专用资料及一般设备购置费、办公用房水电费、办公用房取 暖费、办公用房物业管理费、公务用车运行维护费以及其他费用。</w:t>
      </w:r>
    </w:p>
    <w:p>
      <w:pPr>
        <w:spacing w:before="2"/>
        <w:jc w:val="left"/>
        <w:rPr>
          <w:rFonts w:ascii="仿宋" w:hAnsi="仿宋" w:eastAsia="仿宋" w:cs="仿宋"/>
          <w:sz w:val="31"/>
        </w:rPr>
      </w:pPr>
      <w:r>
        <w:rPr>
          <w:rFonts w:hint="eastAsia" w:ascii="仿宋" w:hAnsi="仿宋" w:eastAsia="仿宋" w:cs="仿宋"/>
          <w:sz w:val="31"/>
        </w:rPr>
        <w:t>2、“三公”经费：纳入省财政预算管理的“三公“经费，</w:t>
      </w:r>
    </w:p>
    <w:p>
      <w:pPr>
        <w:spacing w:before="2"/>
        <w:jc w:val="left"/>
        <w:rPr>
          <w:rFonts w:ascii="仿宋" w:hAnsi="仿宋" w:eastAsia="仿宋" w:cs="仿宋"/>
          <w:sz w:val="31"/>
        </w:rPr>
      </w:pPr>
      <w:r>
        <w:rPr>
          <w:rFonts w:hint="eastAsia" w:ascii="仿宋" w:hAnsi="仿宋" w:eastAsia="仿宋" w:cs="仿宋"/>
          <w:sz w:val="31"/>
        </w:rPr>
        <w:t>是指用一般公共预算拨款安排的公务接待费、公务用车购置</w:t>
      </w:r>
    </w:p>
    <w:p>
      <w:pPr>
        <w:spacing w:before="2"/>
        <w:jc w:val="left"/>
        <w:rPr>
          <w:rFonts w:ascii="仿宋" w:hAnsi="仿宋" w:eastAsia="仿宋" w:cs="仿宋"/>
          <w:sz w:val="31"/>
        </w:rPr>
      </w:pPr>
      <w:r>
        <w:rPr>
          <w:rFonts w:hint="eastAsia" w:ascii="仿宋" w:hAnsi="仿宋" w:eastAsia="仿宋" w:cs="仿宋"/>
          <w:sz w:val="31"/>
        </w:rPr>
        <w:t>及运行维护费和因公出国（境）费。其中，公务接待费反映</w:t>
      </w:r>
    </w:p>
    <w:p>
      <w:pPr>
        <w:spacing w:before="2"/>
        <w:jc w:val="left"/>
        <w:rPr>
          <w:rFonts w:ascii="仿宋" w:hAnsi="仿宋" w:eastAsia="仿宋" w:cs="仿宋"/>
          <w:sz w:val="31"/>
        </w:rPr>
      </w:pPr>
      <w:r>
        <w:rPr>
          <w:rFonts w:hint="eastAsia" w:ascii="仿宋" w:hAnsi="仿宋" w:eastAsia="仿宋" w:cs="仿宋"/>
          <w:sz w:val="31"/>
        </w:rPr>
        <w:t>单位按规定开支的各类公务接待支出；公务用车购置及运行</w:t>
      </w:r>
    </w:p>
    <w:p>
      <w:pPr>
        <w:spacing w:before="2"/>
        <w:jc w:val="left"/>
        <w:rPr>
          <w:rFonts w:ascii="仿宋" w:hAnsi="仿宋" w:eastAsia="仿宋" w:cs="仿宋"/>
          <w:sz w:val="31"/>
        </w:rPr>
      </w:pPr>
      <w:r>
        <w:rPr>
          <w:rFonts w:hint="eastAsia" w:ascii="仿宋" w:hAnsi="仿宋" w:eastAsia="仿宋" w:cs="仿宋"/>
          <w:sz w:val="31"/>
        </w:rPr>
        <w:t>费反映单位公务用车车辆购置支出（含车辆购置税）， 以及</w:t>
      </w:r>
    </w:p>
    <w:p>
      <w:pPr>
        <w:spacing w:before="2"/>
        <w:jc w:val="left"/>
        <w:rPr>
          <w:rFonts w:ascii="仿宋" w:hAnsi="仿宋" w:eastAsia="仿宋" w:cs="仿宋"/>
          <w:sz w:val="31"/>
        </w:rPr>
      </w:pPr>
      <w:r>
        <w:rPr>
          <w:rFonts w:hint="eastAsia" w:ascii="仿宋" w:hAnsi="仿宋" w:eastAsia="仿宋" w:cs="仿宋"/>
          <w:sz w:val="31"/>
        </w:rPr>
        <w:t>燃料费、维修费、保险费等支出；因公出国（境）费反映单</w:t>
      </w:r>
    </w:p>
    <w:p>
      <w:pPr>
        <w:spacing w:before="2"/>
        <w:jc w:val="left"/>
        <w:rPr>
          <w:rFonts w:ascii="仿宋" w:hAnsi="仿宋" w:eastAsia="仿宋" w:cs="仿宋"/>
          <w:sz w:val="31"/>
        </w:rPr>
      </w:pPr>
      <w:r>
        <w:rPr>
          <w:rFonts w:hint="eastAsia" w:ascii="仿宋" w:hAnsi="仿宋" w:eastAsia="仿宋" w:cs="仿宋"/>
          <w:sz w:val="31"/>
        </w:rPr>
        <w:t>位公务出国（境）的国际旅费、国外城市间交通费、食宿费</w:t>
      </w:r>
    </w:p>
    <w:p>
      <w:pPr>
        <w:spacing w:before="2"/>
        <w:jc w:val="left"/>
        <w:rPr>
          <w:rFonts w:ascii="仿宋" w:hAnsi="仿宋" w:eastAsia="仿宋" w:cs="仿宋"/>
          <w:sz w:val="32"/>
          <w:szCs w:val="32"/>
        </w:rPr>
      </w:pPr>
      <w:r>
        <w:rPr>
          <w:rFonts w:hint="eastAsia" w:ascii="仿宋" w:hAnsi="仿宋" w:eastAsia="仿宋" w:cs="仿宋"/>
          <w:sz w:val="31"/>
        </w:rPr>
        <w:t>等支出。</w:t>
      </w:r>
    </w:p>
    <w:p>
      <w:pPr>
        <w:widowControl/>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pPr>
        <w:widowControl/>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w:t>
      </w:r>
    </w:p>
    <w:p>
      <w:pPr>
        <w:pStyle w:val="13"/>
        <w:jc w:val="both"/>
        <w:rPr>
          <w:sz w:val="72"/>
          <w:szCs w:val="72"/>
        </w:rPr>
      </w:pPr>
      <w:r>
        <w:rPr>
          <w:rFonts w:hint="eastAsia" w:ascii="仿宋" w:hAnsi="仿宋" w:eastAsia="仿宋" w:cs="仿宋"/>
          <w:sz w:val="32"/>
          <w:szCs w:val="32"/>
        </w:rPr>
        <w:t>事业发展目标所发生的支出。</w:t>
      </w:r>
    </w:p>
    <w:p>
      <w:pPr>
        <w:pStyle w:val="13"/>
        <w:jc w:val="center"/>
        <w:rPr>
          <w:sz w:val="72"/>
          <w:szCs w:val="72"/>
        </w:rPr>
      </w:pPr>
    </w:p>
    <w:p>
      <w:pPr>
        <w:pStyle w:val="13"/>
        <w:jc w:val="both"/>
        <w:rPr>
          <w:sz w:val="72"/>
          <w:szCs w:val="72"/>
        </w:rPr>
      </w:pPr>
    </w:p>
    <w:p>
      <w:pPr>
        <w:rPr>
          <w:sz w:val="72"/>
          <w:szCs w:val="72"/>
        </w:rPr>
      </w:pPr>
      <w:r>
        <w:rPr>
          <w:sz w:val="72"/>
          <w:szCs w:val="72"/>
        </w:rPr>
        <w:br w:type="page"/>
      </w: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rPr>
          <w:sz w:val="72"/>
          <w:szCs w:val="72"/>
        </w:rPr>
      </w:pPr>
      <w:r>
        <w:rPr>
          <w:sz w:val="72"/>
          <w:szCs w:val="72"/>
        </w:rPr>
        <w:br w:type="page"/>
      </w:r>
    </w:p>
    <w:p>
      <w:pPr>
        <w:tabs>
          <w:tab w:val="left" w:pos="6480"/>
        </w:tabs>
        <w:spacing w:line="600" w:lineRule="exact"/>
        <w:jc w:val="center"/>
        <w:rPr>
          <w:rFonts w:ascii="宋体" w:hAnsi="宋体" w:cs="方正小标宋_GBK"/>
          <w:b/>
          <w:bCs/>
          <w:sz w:val="36"/>
          <w:szCs w:val="36"/>
        </w:rPr>
      </w:pPr>
      <w:r>
        <w:rPr>
          <w:rFonts w:hint="eastAsia" w:ascii="宋体" w:hAnsi="宋体" w:cs="方正小标宋_GBK"/>
          <w:b/>
          <w:bCs/>
          <w:sz w:val="36"/>
          <w:szCs w:val="36"/>
        </w:rPr>
        <w:t>湘潭县行政审批服务局</w:t>
      </w:r>
    </w:p>
    <w:p>
      <w:pPr>
        <w:tabs>
          <w:tab w:val="left" w:pos="6480"/>
        </w:tabs>
        <w:spacing w:line="600" w:lineRule="exact"/>
        <w:jc w:val="center"/>
        <w:rPr>
          <w:rFonts w:ascii="宋体" w:hAnsi="宋体" w:cs="方正小标宋_GBK"/>
          <w:b/>
          <w:bCs/>
          <w:sz w:val="36"/>
          <w:szCs w:val="36"/>
        </w:rPr>
      </w:pPr>
      <w:r>
        <w:rPr>
          <w:rFonts w:hint="eastAsia" w:ascii="宋体" w:hAnsi="宋体" w:cs="方正小标宋_GBK"/>
          <w:b/>
          <w:bCs/>
          <w:sz w:val="36"/>
          <w:szCs w:val="36"/>
        </w:rPr>
        <w:t>部门整体支出绩效评价报告</w:t>
      </w:r>
    </w:p>
    <w:p>
      <w:pPr>
        <w:tabs>
          <w:tab w:val="left" w:pos="6480"/>
        </w:tabs>
        <w:spacing w:line="600" w:lineRule="exact"/>
        <w:jc w:val="center"/>
        <w:rPr>
          <w:rFonts w:ascii="宋体" w:hAnsi="宋体" w:cs="方正小标宋_GBK"/>
          <w:b/>
          <w:bCs/>
          <w:sz w:val="36"/>
          <w:szCs w:val="36"/>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湘潭县行政审批服务局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color w:val="000000" w:themeColor="text1"/>
                <w:szCs w:val="21"/>
                <w:highlight w:val="none"/>
                <w:lang w:val="en-US" w:eastAsia="zh-CN"/>
                <w14:textFill>
                  <w14:solidFill>
                    <w14:schemeClr w14:val="tx1"/>
                  </w14:solidFill>
                </w14:textFill>
              </w:rPr>
              <w:t>607.98</w:t>
            </w:r>
            <w:r>
              <w:rPr>
                <w:rFonts w:hint="eastAsia" w:ascii="仿宋_GB2312" w:hAnsi="宋体" w:eastAsia="仿宋_GB2312" w:cs="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pacing w:line="576" w:lineRule="exact"/>
              <w:ind w:right="-6"/>
              <w:rPr>
                <w:rFonts w:ascii="仿宋_GB2312" w:hAnsi="宋体" w:eastAsia="仿宋_GB2312" w:cs="宋体"/>
                <w:szCs w:val="21"/>
              </w:rPr>
            </w:pPr>
            <w:r>
              <w:rPr>
                <w:rFonts w:hint="eastAsia" w:ascii="仿宋_GB2312" w:hAnsi="宋体" w:eastAsia="仿宋_GB2312" w:cs="宋体"/>
                <w:szCs w:val="21"/>
              </w:rPr>
              <w:t>1.负责组织拟订全县行政审批制度改革、政务公开协调、政务服务、电子政务管理、县长热线管理相关政策，制定、起草有关规定、制度和管理办法，并组织实施。对县直单位和乡镇进行业务指导。</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4.统筹推进、协调、监督全县政府系统电子政务、“互联网+政务服务”、政务数据资源体系建设与管理工作。</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5.统筹推进县长热线和“县长信箱”工作。负责市民通过县长热线向县政府进行的咨询建议、投诉、求助等事项的处理。</w:t>
            </w:r>
          </w:p>
          <w:p>
            <w:pPr>
              <w:spacing w:line="576" w:lineRule="exact"/>
              <w:ind w:right="-6"/>
              <w:rPr>
                <w:rFonts w:hint="eastAsia" w:ascii="仿宋_GB2312" w:hAnsi="宋体" w:eastAsia="仿宋_GB2312" w:cs="宋体"/>
                <w:szCs w:val="21"/>
              </w:rPr>
            </w:pPr>
            <w:r>
              <w:rPr>
                <w:rFonts w:hint="eastAsia" w:ascii="仿宋_GB2312" w:hAnsi="宋体" w:eastAsia="仿宋_GB2312" w:cs="宋体"/>
                <w:szCs w:val="21"/>
              </w:rPr>
              <w:t>6.负责全县中介超市管理工作，承担中介超市标准化建设和管理职能，指导、协调、考评各单位中介超市管理机构业务工作。</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7.完成县委、县人民政府交办的其他任务。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pacing w:line="576" w:lineRule="exact"/>
              <w:ind w:right="-6"/>
              <w:rPr>
                <w:rFonts w:ascii="仿宋_GB2312" w:hAnsi="宋体" w:eastAsia="仿宋_GB2312" w:cs="宋体"/>
                <w:szCs w:val="21"/>
                <w:highlight w:val="red"/>
              </w:rPr>
            </w:pPr>
            <w:r>
              <w:rPr>
                <w:rFonts w:hint="eastAsia" w:ascii="仿宋_GB2312" w:hAnsi="宋体" w:eastAsia="仿宋_GB2312" w:cs="宋体"/>
                <w:color w:val="000000" w:themeColor="text1"/>
                <w:szCs w:val="21"/>
                <w:highlight w:val="none"/>
                <w14:textFill>
                  <w14:solidFill>
                    <w14:schemeClr w14:val="tx1"/>
                  </w14:solidFill>
                </w14:textFill>
              </w:rPr>
              <w:t>1、预算执行情况：</w:t>
            </w:r>
            <w:r>
              <w:rPr>
                <w:rFonts w:hint="eastAsia" w:ascii="仿宋_GB2312" w:hAnsi="宋体" w:eastAsia="仿宋_GB2312" w:cs="宋体"/>
                <w:color w:val="000000" w:themeColor="text1"/>
                <w:szCs w:val="21"/>
                <w:highlight w:val="none"/>
                <w:lang w:eastAsia="zh-CN"/>
                <w14:textFill>
                  <w14:solidFill>
                    <w14:schemeClr w14:val="tx1"/>
                  </w14:solidFill>
                </w14:textFill>
              </w:rPr>
              <w:t>2024</w:t>
            </w:r>
            <w:r>
              <w:rPr>
                <w:rFonts w:hint="eastAsia" w:ascii="仿宋_GB2312" w:hAnsi="宋体" w:eastAsia="仿宋_GB2312" w:cs="宋体"/>
                <w:color w:val="000000" w:themeColor="text1"/>
                <w:szCs w:val="21"/>
                <w:highlight w:val="none"/>
                <w14:textFill>
                  <w14:solidFill>
                    <w14:schemeClr w14:val="tx1"/>
                  </w14:solidFill>
                </w14:textFill>
              </w:rPr>
              <w:t>年度支出合计</w:t>
            </w:r>
            <w:r>
              <w:rPr>
                <w:rFonts w:hint="eastAsia" w:ascii="仿宋_GB2312" w:hAnsi="宋体" w:eastAsia="仿宋_GB2312" w:cs="宋体"/>
                <w:color w:val="000000" w:themeColor="text1"/>
                <w:szCs w:val="21"/>
                <w:highlight w:val="none"/>
                <w:lang w:val="en-US" w:eastAsia="zh-CN"/>
                <w14:textFill>
                  <w14:solidFill>
                    <w14:schemeClr w14:val="tx1"/>
                  </w14:solidFill>
                </w14:textFill>
              </w:rPr>
              <w:t>825.31</w:t>
            </w:r>
            <w:r>
              <w:rPr>
                <w:rFonts w:hint="eastAsia" w:ascii="仿宋_GB2312" w:hAnsi="宋体" w:eastAsia="仿宋_GB2312" w:cs="宋体"/>
                <w:color w:val="000000" w:themeColor="text1"/>
                <w:szCs w:val="21"/>
                <w:highlight w:val="none"/>
                <w14:textFill>
                  <w14:solidFill>
                    <w14:schemeClr w14:val="tx1"/>
                  </w14:solidFill>
                </w14:textFill>
              </w:rPr>
              <w:t>万元，其中：基本支出</w:t>
            </w:r>
            <w:r>
              <w:rPr>
                <w:rFonts w:hint="eastAsia" w:ascii="仿宋_GB2312" w:hAnsi="宋体" w:eastAsia="仿宋_GB2312" w:cs="宋体"/>
                <w:color w:val="000000" w:themeColor="text1"/>
                <w:szCs w:val="21"/>
                <w:highlight w:val="none"/>
                <w:lang w:val="en-US" w:eastAsia="zh-CN"/>
                <w14:textFill>
                  <w14:solidFill>
                    <w14:schemeClr w14:val="tx1"/>
                  </w14:solidFill>
                </w14:textFill>
              </w:rPr>
              <w:t>332.66</w:t>
            </w:r>
            <w:r>
              <w:rPr>
                <w:rFonts w:hint="eastAsia" w:ascii="仿宋_GB2312" w:hAnsi="宋体" w:eastAsia="仿宋_GB2312" w:cs="宋体"/>
                <w:color w:val="000000" w:themeColor="text1"/>
                <w:szCs w:val="21"/>
                <w:highlight w:val="none"/>
                <w14:textFill>
                  <w14:solidFill>
                    <w14:schemeClr w14:val="tx1"/>
                  </w14:solidFill>
                </w14:textFill>
              </w:rPr>
              <w:t>万元，占</w:t>
            </w:r>
            <w:r>
              <w:rPr>
                <w:rFonts w:hint="eastAsia" w:ascii="仿宋_GB2312" w:hAnsi="宋体" w:eastAsia="仿宋_GB2312" w:cs="宋体"/>
                <w:color w:val="000000" w:themeColor="text1"/>
                <w:szCs w:val="21"/>
                <w:highlight w:val="none"/>
                <w:lang w:val="en-US" w:eastAsia="zh-CN"/>
                <w14:textFill>
                  <w14:solidFill>
                    <w14:schemeClr w14:val="tx1"/>
                  </w14:solidFill>
                </w14:textFill>
              </w:rPr>
              <w:t>40</w:t>
            </w:r>
            <w:r>
              <w:rPr>
                <w:rFonts w:hint="eastAsia" w:ascii="仿宋_GB2312" w:hAnsi="宋体" w:eastAsia="仿宋_GB2312" w:cs="宋体"/>
                <w:color w:val="000000" w:themeColor="text1"/>
                <w:szCs w:val="21"/>
                <w:highlight w:val="none"/>
                <w14:textFill>
                  <w14:solidFill>
                    <w14:schemeClr w14:val="tx1"/>
                  </w14:solidFill>
                </w14:textFill>
              </w:rPr>
              <w:t>%；项目支出</w:t>
            </w:r>
            <w:r>
              <w:rPr>
                <w:rFonts w:hint="eastAsia" w:ascii="仿宋_GB2312" w:hAnsi="宋体" w:eastAsia="仿宋_GB2312" w:cs="宋体"/>
                <w:color w:val="000000" w:themeColor="text1"/>
                <w:szCs w:val="21"/>
                <w:highlight w:val="none"/>
                <w:lang w:val="en-US" w:eastAsia="zh-CN"/>
                <w14:textFill>
                  <w14:solidFill>
                    <w14:schemeClr w14:val="tx1"/>
                  </w14:solidFill>
                </w14:textFill>
              </w:rPr>
              <w:t>492.65</w:t>
            </w:r>
            <w:r>
              <w:rPr>
                <w:rFonts w:hint="eastAsia" w:ascii="仿宋_GB2312" w:hAnsi="宋体" w:eastAsia="仿宋_GB2312" w:cs="宋体"/>
                <w:color w:val="000000" w:themeColor="text1"/>
                <w:szCs w:val="21"/>
                <w:highlight w:val="none"/>
                <w14:textFill>
                  <w14:solidFill>
                    <w14:schemeClr w14:val="tx1"/>
                  </w14:solidFill>
                </w14:textFill>
              </w:rPr>
              <w:t>万元，占</w:t>
            </w:r>
            <w:r>
              <w:rPr>
                <w:rFonts w:hint="eastAsia" w:ascii="仿宋_GB2312" w:hAnsi="宋体" w:eastAsia="仿宋_GB2312" w:cs="宋体"/>
                <w:color w:val="000000" w:themeColor="text1"/>
                <w:szCs w:val="21"/>
                <w:highlight w:val="none"/>
                <w:lang w:val="en-US" w:eastAsia="zh-CN"/>
                <w14:textFill>
                  <w14:solidFill>
                    <w14:schemeClr w14:val="tx1"/>
                  </w14:solidFill>
                </w14:textFill>
              </w:rPr>
              <w:t>60</w:t>
            </w:r>
            <w:r>
              <w:rPr>
                <w:rFonts w:hint="eastAsia" w:ascii="仿宋_GB2312" w:hAnsi="宋体" w:eastAsia="仿宋_GB2312" w:cs="宋体"/>
                <w:color w:val="000000" w:themeColor="text1"/>
                <w:szCs w:val="21"/>
                <w:highlight w:val="none"/>
                <w14:textFill>
                  <w14:solidFill>
                    <w14:schemeClr w14:val="tx1"/>
                  </w14:solidFill>
                </w14:textFill>
              </w:rPr>
              <w:t>%；全年支出合计</w:t>
            </w:r>
            <w:r>
              <w:rPr>
                <w:rFonts w:hint="eastAsia" w:ascii="仿宋_GB2312" w:hAnsi="宋体" w:eastAsia="仿宋_GB2312" w:cs="宋体"/>
                <w:color w:val="000000" w:themeColor="text1"/>
                <w:szCs w:val="21"/>
                <w:highlight w:val="none"/>
                <w:lang w:val="en-US" w:eastAsia="zh-CN"/>
                <w14:textFill>
                  <w14:solidFill>
                    <w14:schemeClr w14:val="tx1"/>
                  </w14:solidFill>
                </w14:textFill>
              </w:rPr>
              <w:t>825.31</w:t>
            </w:r>
            <w:r>
              <w:rPr>
                <w:rFonts w:hint="eastAsia" w:ascii="仿宋_GB2312" w:hAnsi="宋体" w:eastAsia="仿宋_GB2312" w:cs="宋体"/>
                <w:color w:val="000000" w:themeColor="text1"/>
                <w:szCs w:val="21"/>
                <w:highlight w:val="none"/>
                <w14:textFill>
                  <w14:solidFill>
                    <w14:schemeClr w14:val="tx1"/>
                  </w14:solidFill>
                </w14:textFill>
              </w:rPr>
              <w:t>万元。</w:t>
            </w:r>
          </w:p>
          <w:p>
            <w:pPr>
              <w:spacing w:line="576" w:lineRule="exact"/>
              <w:ind w:right="-6"/>
              <w:rPr>
                <w:rFonts w:hint="eastAsia" w:ascii="仿宋_GB2312" w:hAnsi="宋体" w:eastAsia="仿宋_GB2312" w:cs="宋体"/>
                <w:szCs w:val="21"/>
                <w:highlight w:val="none"/>
              </w:rPr>
            </w:pPr>
            <w:r>
              <w:rPr>
                <w:rFonts w:hint="eastAsia" w:ascii="仿宋_GB2312" w:hAnsi="宋体" w:eastAsia="仿宋_GB2312" w:cs="宋体"/>
                <w:szCs w:val="21"/>
                <w:highlight w:val="none"/>
              </w:rPr>
              <w:t>2、“三公经费”年初预算0</w:t>
            </w:r>
            <w:r>
              <w:rPr>
                <w:rFonts w:hint="eastAsia" w:ascii="仿宋_GB2312" w:hAnsi="宋体" w:eastAsia="仿宋_GB2312" w:cs="宋体"/>
                <w:szCs w:val="21"/>
                <w:highlight w:val="none"/>
                <w:lang w:val="en-US" w:eastAsia="zh-CN"/>
              </w:rPr>
              <w:t>.3</w:t>
            </w:r>
            <w:r>
              <w:rPr>
                <w:rFonts w:hint="eastAsia" w:ascii="仿宋_GB2312" w:hAnsi="宋体" w:eastAsia="仿宋_GB2312" w:cs="宋体"/>
                <w:szCs w:val="21"/>
                <w:highlight w:val="none"/>
              </w:rPr>
              <w:t>万元</w:t>
            </w:r>
            <w:r>
              <w:rPr>
                <w:rFonts w:hint="eastAsia" w:ascii="仿宋_GB2312" w:hAnsi="宋体" w:eastAsia="仿宋_GB2312" w:cs="宋体"/>
                <w:szCs w:val="21"/>
                <w:highlight w:val="none"/>
                <w:lang w:val="en-US" w:eastAsia="zh-CN"/>
              </w:rPr>
              <w:t>，</w:t>
            </w:r>
            <w:r>
              <w:rPr>
                <w:rFonts w:hint="eastAsia" w:ascii="仿宋_GB2312" w:hAnsi="宋体" w:eastAsia="仿宋_GB2312" w:cs="宋体"/>
                <w:szCs w:val="21"/>
                <w:highlight w:val="none"/>
              </w:rPr>
              <w:t>支出合计</w:t>
            </w:r>
            <w:r>
              <w:rPr>
                <w:rFonts w:hint="eastAsia" w:ascii="仿宋_GB2312" w:hAnsi="宋体" w:eastAsia="仿宋_GB2312" w:cs="宋体"/>
                <w:szCs w:val="21"/>
                <w:highlight w:val="none"/>
                <w:lang w:val="en-US" w:eastAsia="zh-CN"/>
              </w:rPr>
              <w:t>0.11</w:t>
            </w:r>
            <w:r>
              <w:rPr>
                <w:rFonts w:hint="eastAsia" w:ascii="仿宋_GB2312" w:hAnsi="宋体" w:eastAsia="仿宋_GB2312" w:cs="宋体"/>
                <w:szCs w:val="21"/>
                <w:highlight w:val="none"/>
              </w:rPr>
              <w:t>万元，严格控制在财政年初预算内。其中：公务接待费</w:t>
            </w:r>
            <w:r>
              <w:rPr>
                <w:rFonts w:hint="eastAsia" w:ascii="仿宋_GB2312" w:hAnsi="宋体" w:eastAsia="仿宋_GB2312" w:cs="宋体"/>
                <w:szCs w:val="21"/>
                <w:highlight w:val="none"/>
                <w:lang w:val="en-US" w:eastAsia="zh-CN"/>
              </w:rPr>
              <w:t>0.11</w:t>
            </w:r>
            <w:r>
              <w:rPr>
                <w:rFonts w:hint="eastAsia" w:ascii="仿宋_GB2312" w:hAnsi="宋体" w:eastAsia="仿宋_GB2312" w:cs="宋体"/>
                <w:szCs w:val="21"/>
                <w:highlight w:val="none"/>
              </w:rPr>
              <w:t>万元，公务用车购置及运行维护费0万元，无因公出国（境）费。</w:t>
            </w:r>
          </w:p>
          <w:p>
            <w:pPr>
              <w:spacing w:line="576" w:lineRule="exact"/>
              <w:ind w:right="-6"/>
              <w:rPr>
                <w:rFonts w:hint="eastAsia" w:ascii="仿宋_GB2312" w:hAnsi="宋体" w:eastAsia="仿宋_GB2312" w:cs="宋体"/>
                <w:szCs w:val="21"/>
              </w:rPr>
            </w:pPr>
            <w:r>
              <w:rPr>
                <w:rFonts w:hint="eastAsia" w:ascii="仿宋_GB2312" w:hAnsi="宋体" w:eastAsia="仿宋_GB2312" w:cs="宋体"/>
                <w:szCs w:val="21"/>
              </w:rPr>
              <w:t>3、资金管理情况。</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一是严格按照“量入而出”“依法收入、依规支出”、“账款分离”的原则进行资金管理;二是严格遵守财经纪律，对差旅费、公务接待、培训费，按照财政文件规定报销，严控三公经费支出，保证单位基本支出，达到了财政资金的使用效果。三是严格专项资金管理。专项资金的管理严格按照“专款专用”的原则，不挪用、不占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pacing w:line="576" w:lineRule="exact"/>
              <w:ind w:right="-6"/>
              <w:rPr>
                <w:rFonts w:hint="eastAsia"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2024年以来，在县委县政府的坚强领导下，县数据局锚定打造三化一流营商环境目标，站稳企业群众立场、紧盯企业群众需求，以“高效办成一件事”为牵引，始终将改革作为工作的生命线，将服务作为最纯的底色，努力在提升政务服务效能、优化营商环境、推动数字化改革中打头阵、当先锋。</w:t>
            </w:r>
          </w:p>
          <w:p>
            <w:pPr>
              <w:spacing w:line="576" w:lineRule="exact"/>
              <w:ind w:right="-6"/>
              <w:rPr>
                <w:rFonts w:hint="eastAsia"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一、以“政治建设”为引领，始终恪守绝对忠诚</w:t>
            </w:r>
          </w:p>
          <w:p>
            <w:pPr>
              <w:spacing w:line="576" w:lineRule="exact"/>
              <w:ind w:right="-6"/>
              <w:rPr>
                <w:rFonts w:hint="eastAsia"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我局机关党支部被评为2023年全县先进基层党组织。按照县委机构改革工作安排，6月26日，湘潭县数据局挂牌成立，标志着湘潭县行政审批服务进入了一个新的阶段。一是建强基层党建堡垒，推进党建业务深融互促。10月召开党员大会，选举产生了新一届中共湘潭县数据局机关总支部委员会委员及机关支部委员会委员。大力推动“党建+窗口建设”，全年共评选“党员先锋岗”32人次，“服务示范岗”32个，“红旗窗口”16个，收到锦旗26面。开展“党建+业务”一月一课一片一实践活动，与功能型党支部赴九华经开区学习智慧园区，参观红色教育基地，党建引领业务工作快速推进。二是扎实开展党纪学习教育，推动纪律规矩意识入脑入心。一体推进理论学习、警示教育、问题检视等重点工作，机关党总支开展了4次党纪学习研讨，围绕党纪学习教育组织局机关全体党员进行4次学习，邀请4个功能型党支部党员参与，进一步扩大党纪学习教育的辐射面。三是紧扣中心工作服务大局，打造“服务铁军”队伍常态长效。严格落实意识形态工作责任制，开展专题分析研判7次。局12名党员干部共在云湖桥七里铺村结对24户，定期走访慰问。聚焦党外干部培养，选配3名优秀党外干部担任股室负责人。派驻党员至茶恩寺桥市村，创办箱包厂带动村民致富，获《人民网》推介。</w:t>
            </w:r>
          </w:p>
          <w:p>
            <w:pPr>
              <w:spacing w:line="576" w:lineRule="exact"/>
              <w:ind w:right="-6"/>
              <w:rPr>
                <w:rFonts w:hint="eastAsia"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二、以“减负释能”为目标，加大制度优化供给</w:t>
            </w:r>
          </w:p>
          <w:p>
            <w:pPr>
              <w:spacing w:line="576" w:lineRule="exact"/>
              <w:ind w:right="-6"/>
              <w:rPr>
                <w:rFonts w:hint="default" w:ascii="仿宋_GB2312" w:hAnsi="宋体" w:eastAsia="仿宋_GB2312" w:cs="宋体"/>
                <w:szCs w:val="21"/>
                <w:highlight w:val="none"/>
                <w:lang w:val="en-US" w:eastAsia="zh-CN"/>
              </w:rPr>
            </w:pPr>
            <w:r>
              <w:rPr>
                <w:rFonts w:hint="default" w:ascii="仿宋_GB2312" w:hAnsi="宋体" w:eastAsia="仿宋_GB2312" w:cs="宋体"/>
                <w:szCs w:val="21"/>
                <w:highlight w:val="none"/>
                <w:lang w:val="en-US" w:eastAsia="zh-CN"/>
              </w:rPr>
              <w:t>我局2023年获评县优化营商环境工作先进集体、产业强县“百十亿”工程先进集体。一是深化“清廉大厅”建设，办事环境再优化。持续巩固“三化”建设成果，县政务大厅由单一办事大厅向现代化“政务综合体”转型升级。以强化莲乡政务服务作风建设为契机，以整治谋私贪腐懒政为重点，全面开展“五廉一体”的“清廉大厅”建设。目前政务大厅常驻单位42家、常驻窗口人员154人、入驻事项391项。2024年县政务大厅各窗口办件总量</w:t>
            </w:r>
            <w:r>
              <w:rPr>
                <w:rFonts w:hint="eastAsia" w:ascii="仿宋_GB2312" w:hAnsi="宋体" w:eastAsia="仿宋_GB2312" w:cs="宋体"/>
                <w:szCs w:val="21"/>
                <w:highlight w:val="none"/>
                <w:lang w:val="en-US" w:eastAsia="zh-CN"/>
              </w:rPr>
              <w:t>349833</w:t>
            </w:r>
            <w:r>
              <w:rPr>
                <w:rFonts w:hint="default" w:ascii="仿宋_GB2312" w:hAnsi="宋体" w:eastAsia="仿宋_GB2312" w:cs="宋体"/>
                <w:szCs w:val="21"/>
                <w:highlight w:val="none"/>
                <w:lang w:val="en-US" w:eastAsia="zh-CN"/>
              </w:rPr>
              <w:t>件，服务群众</w:t>
            </w:r>
            <w:r>
              <w:rPr>
                <w:rFonts w:hint="eastAsia" w:ascii="仿宋_GB2312" w:hAnsi="宋体" w:eastAsia="仿宋_GB2312" w:cs="宋体"/>
                <w:szCs w:val="21"/>
                <w:highlight w:val="none"/>
                <w:lang w:val="en-US" w:eastAsia="zh-CN"/>
              </w:rPr>
              <w:t>356987</w:t>
            </w:r>
            <w:r>
              <w:rPr>
                <w:rFonts w:hint="default" w:ascii="仿宋_GB2312" w:hAnsi="宋体" w:eastAsia="仿宋_GB2312" w:cs="宋体"/>
                <w:szCs w:val="21"/>
                <w:highlight w:val="none"/>
                <w:lang w:val="en-US" w:eastAsia="zh-CN"/>
              </w:rPr>
              <w:t>人次。二是深化“综窗受理”改革，办事跑动再减少。整合现有窗口，打破部门壁垒，推进综窗改革，目前不动产登记中心全厅及医保窗口、公安综合业务窗口已实施，工改厅、商事登记改造实施中。同时分厅开展常态化、制度化的礼仪培训，从窗口的服务意识、形象塑造、仪态礼仪等方面打造“服务铁军”。三是深化“跨域通办”合作，群众办事更便利。目前我县与7省35地可通过“现场办理+异地视频会商”“线下办理+线上流转”和“异地收件初审+邮递服务”等方式，为异地办事群众提供精细化服务，为异地企业群众提供服务3.</w:t>
            </w:r>
            <w:r>
              <w:rPr>
                <w:rFonts w:hint="eastAsia" w:ascii="仿宋_GB2312" w:hAnsi="宋体" w:eastAsia="仿宋_GB2312" w:cs="宋体"/>
                <w:szCs w:val="21"/>
                <w:highlight w:val="none"/>
                <w:lang w:val="en-US" w:eastAsia="zh-CN"/>
              </w:rPr>
              <w:t>5</w:t>
            </w:r>
            <w:r>
              <w:rPr>
                <w:rFonts w:hint="default" w:ascii="仿宋_GB2312" w:hAnsi="宋体" w:eastAsia="仿宋_GB2312" w:cs="宋体"/>
                <w:szCs w:val="21"/>
                <w:highlight w:val="none"/>
                <w:lang w:val="en-US" w:eastAsia="zh-CN"/>
              </w:rPr>
              <w:t>万人次。我县《深入推进“跨域通办”，打通便民利企通道》工作经验被《湖南数据与政务》主刊采纳。</w:t>
            </w:r>
          </w:p>
          <w:p>
            <w:pPr>
              <w:spacing w:line="576" w:lineRule="exact"/>
              <w:ind w:right="-6"/>
              <w:rPr>
                <w:rFonts w:hint="default"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三、</w:t>
            </w:r>
            <w:r>
              <w:rPr>
                <w:rFonts w:hint="default" w:ascii="仿宋_GB2312" w:hAnsi="宋体" w:eastAsia="仿宋_GB2312" w:cs="宋体"/>
                <w:szCs w:val="21"/>
                <w:highlight w:val="none"/>
                <w:lang w:val="en-US" w:eastAsia="zh-CN"/>
              </w:rPr>
              <w:t>以“高效协作”为抓手，推动办理流程再造</w:t>
            </w:r>
          </w:p>
          <w:p>
            <w:pPr>
              <w:spacing w:line="576" w:lineRule="exact"/>
              <w:ind w:right="-6"/>
              <w:rPr>
                <w:rFonts w:hint="default" w:ascii="仿宋_GB2312" w:hAnsi="宋体" w:eastAsia="仿宋_GB2312" w:cs="宋体"/>
                <w:szCs w:val="21"/>
                <w:highlight w:val="none"/>
                <w:lang w:val="en-US" w:eastAsia="zh-CN"/>
              </w:rPr>
            </w:pPr>
            <w:r>
              <w:rPr>
                <w:rFonts w:hint="default" w:ascii="仿宋_GB2312" w:hAnsi="宋体" w:eastAsia="仿宋_GB2312" w:cs="宋体"/>
                <w:szCs w:val="21"/>
                <w:highlight w:val="none"/>
                <w:lang w:val="en-US" w:eastAsia="zh-CN"/>
              </w:rPr>
              <w:t>以“五专”为标准，确定了20项“高效办成一件事”，平均减少跑动次数6次，精简材料60％，压缩办理时限40％。一是优化业务素养，夯实“支撑力”。特邀各“一件事”牵头单位，针对18个关键事项举办业务培训会20场，进一步强化了参训人员的业务认知与实操能力，为线上线下服务的“无差别受理、同标准办理、同质量服务”奠定了坚实基础。二是优化流程体验，提升“引领力”。一方面对照标准“优流程”，要求各牵头单位每周开展流程测试，全面排查从系统登录到各环节跳转的问题，测试覆盖面达90%，测试件数2459件，测试问题清单数38个，已解决11个。另一方面聚焦服务“定指南”，逐项对“一件事”办事材料、办理流程等要素进行整合，梳理办事指南，制定18个重点事项工作规范。三是优化专项监督，增强“内驱力”。通过发放“高效办成一件事”满意度调查问卷，畅通投诉反馈渠道。邀请“政务服务体验官”通过明察暗访、模拟办事等方式，深入体验“一件事”的全流程，对专区、专窗进行常态化监督。</w:t>
            </w:r>
          </w:p>
          <w:p>
            <w:pPr>
              <w:spacing w:line="576" w:lineRule="exact"/>
              <w:ind w:right="-6"/>
              <w:rPr>
                <w:rFonts w:hint="default"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四、</w:t>
            </w:r>
            <w:r>
              <w:rPr>
                <w:rFonts w:hint="default" w:ascii="仿宋_GB2312" w:hAnsi="宋体" w:eastAsia="仿宋_GB2312" w:cs="宋体"/>
                <w:szCs w:val="21"/>
                <w:highlight w:val="none"/>
                <w:lang w:val="en-US" w:eastAsia="zh-CN"/>
              </w:rPr>
              <w:t>以“惠企利民”为导向，提升政务服务精度</w:t>
            </w:r>
          </w:p>
          <w:p>
            <w:pPr>
              <w:spacing w:line="576" w:lineRule="exact"/>
              <w:ind w:right="-6"/>
              <w:rPr>
                <w:rFonts w:hint="default" w:ascii="仿宋_GB2312" w:hAnsi="宋体" w:eastAsia="仿宋_GB2312" w:cs="宋体"/>
                <w:szCs w:val="21"/>
                <w:highlight w:val="none"/>
                <w:lang w:val="en-US" w:eastAsia="zh-CN"/>
              </w:rPr>
            </w:pPr>
            <w:r>
              <w:rPr>
                <w:rFonts w:hint="default" w:ascii="仿宋_GB2312" w:hAnsi="宋体" w:eastAsia="仿宋_GB2312" w:cs="宋体"/>
                <w:szCs w:val="21"/>
                <w:highlight w:val="none"/>
                <w:lang w:val="en-US" w:eastAsia="zh-CN"/>
              </w:rPr>
              <w:t>以全省“两重”“两新”“千百十”工作为契机，持续“政务小莲”服务模式加强助企纾困增效。工作经验先后被人民日报、学习强国、新湖南、《今日湘潭》等媒体报道。一是“政务小莲当管家”主动精准，谱写“惠民新篇章”。开展政务小莲“一企一管家”“营商环境体验官”活动，主动对接服务企业项目620余件次。其中：“千百十”重点项目——湖南鼎盛船舶有限公司一期顺利开工；国家环保督察提质项目——湖南九益泽环保科技有限公司年处理30万吨建筑垃圾生产线建设项目审批提速，被作为正面典型推介。二是“政务小莲说政策”可视可感，谱写“创新新篇章”。引导企业、群众在短视频“沉浸式”“云体验”中轻松办事。围绕“两重”“两新”家电“以旧换新”政策、住房贷款商转公等重点工作，精心组织选题策划，已制作播出2</w:t>
            </w:r>
            <w:r>
              <w:rPr>
                <w:rFonts w:hint="eastAsia" w:ascii="仿宋_GB2312" w:hAnsi="宋体" w:eastAsia="仿宋_GB2312" w:cs="宋体"/>
                <w:szCs w:val="21"/>
                <w:highlight w:val="none"/>
                <w:lang w:val="en-US" w:eastAsia="zh-CN"/>
              </w:rPr>
              <w:t>7</w:t>
            </w:r>
            <w:r>
              <w:rPr>
                <w:rFonts w:hint="default" w:ascii="仿宋_GB2312" w:hAnsi="宋体" w:eastAsia="仿宋_GB2312" w:cs="宋体"/>
                <w:szCs w:val="21"/>
                <w:highlight w:val="none"/>
                <w:lang w:val="en-US" w:eastAsia="zh-CN"/>
              </w:rPr>
              <w:t>期节目，累计播放浏览量突破570余万次。三是“政务小莲解难题”便民纾困，谱写“暖心新篇章”。以创文等中心工作为抓手，开展不满意工单“回头看”行动，重点疑难工单提级督办，边界不清晰高频工单开展“政务小莲解难题”攻坚行动，坚持问题导向，举一反三“批量办”，今年以来累计受理反映问题20273件。</w:t>
            </w:r>
          </w:p>
          <w:p>
            <w:pPr>
              <w:spacing w:line="576" w:lineRule="exact"/>
              <w:ind w:right="-6"/>
              <w:rPr>
                <w:rFonts w:hint="default"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五、</w:t>
            </w:r>
            <w:r>
              <w:rPr>
                <w:rFonts w:hint="default" w:ascii="仿宋_GB2312" w:hAnsi="宋体" w:eastAsia="仿宋_GB2312" w:cs="宋体"/>
                <w:szCs w:val="21"/>
                <w:highlight w:val="none"/>
                <w:lang w:val="en-US" w:eastAsia="zh-CN"/>
              </w:rPr>
              <w:t>以“公平公正”为标尺，优化干群沟通机制</w:t>
            </w:r>
          </w:p>
          <w:p>
            <w:pPr>
              <w:spacing w:line="576" w:lineRule="exact"/>
              <w:ind w:right="-6"/>
              <w:rPr>
                <w:rFonts w:hint="default" w:ascii="仿宋_GB2312" w:hAnsi="宋体" w:eastAsia="仿宋_GB2312" w:cs="宋体"/>
                <w:szCs w:val="21"/>
                <w:highlight w:val="none"/>
                <w:lang w:val="en-US" w:eastAsia="zh-CN"/>
              </w:rPr>
            </w:pPr>
            <w:r>
              <w:rPr>
                <w:rFonts w:hint="default" w:ascii="仿宋_GB2312" w:hAnsi="宋体" w:eastAsia="仿宋_GB2312" w:cs="宋体"/>
                <w:szCs w:val="21"/>
                <w:highlight w:val="none"/>
                <w:lang w:val="en-US" w:eastAsia="zh-CN"/>
              </w:rPr>
              <w:t>深化政务公开工作，我县是全省122个县市区2023年度政务公开第三方评估中达到优良等次的35个县市区之一。一是政务公开平台不断丰富。今年县政府门户网站累计审核发布信息</w:t>
            </w:r>
            <w:r>
              <w:rPr>
                <w:rFonts w:hint="eastAsia" w:ascii="仿宋_GB2312" w:hAnsi="宋体" w:eastAsia="仿宋_GB2312" w:cs="宋体"/>
                <w:szCs w:val="21"/>
                <w:highlight w:val="none"/>
                <w:lang w:val="en-US" w:eastAsia="zh-CN"/>
              </w:rPr>
              <w:t>11185</w:t>
            </w:r>
            <w:r>
              <w:rPr>
                <w:rFonts w:hint="default" w:ascii="仿宋_GB2312" w:hAnsi="宋体" w:eastAsia="仿宋_GB2312" w:cs="宋体"/>
                <w:szCs w:val="21"/>
                <w:highlight w:val="none"/>
                <w:lang w:val="en-US" w:eastAsia="zh-CN"/>
              </w:rPr>
              <w:t>条，搭建“两重”“两新”送解优等专题专栏5期；“莲乡微政务”微信公众号发布信息</w:t>
            </w:r>
            <w:r>
              <w:rPr>
                <w:rFonts w:hint="eastAsia" w:ascii="仿宋_GB2312" w:hAnsi="宋体" w:eastAsia="仿宋_GB2312" w:cs="宋体"/>
                <w:szCs w:val="21"/>
                <w:highlight w:val="none"/>
                <w:lang w:val="en-US" w:eastAsia="zh-CN"/>
              </w:rPr>
              <w:t>117</w:t>
            </w:r>
            <w:r>
              <w:rPr>
                <w:rFonts w:hint="default" w:ascii="仿宋_GB2312" w:hAnsi="宋体" w:eastAsia="仿宋_GB2312" w:cs="宋体"/>
                <w:szCs w:val="21"/>
                <w:highlight w:val="none"/>
                <w:lang w:val="en-US" w:eastAsia="zh-CN"/>
              </w:rPr>
              <w:t>期、</w:t>
            </w:r>
            <w:r>
              <w:rPr>
                <w:rFonts w:hint="eastAsia" w:ascii="仿宋_GB2312" w:hAnsi="宋体" w:eastAsia="仿宋_GB2312" w:cs="宋体"/>
                <w:szCs w:val="21"/>
                <w:highlight w:val="none"/>
                <w:lang w:val="en-US" w:eastAsia="zh-CN"/>
              </w:rPr>
              <w:t>315</w:t>
            </w:r>
            <w:r>
              <w:rPr>
                <w:rFonts w:hint="default" w:ascii="仿宋_GB2312" w:hAnsi="宋体" w:eastAsia="仿宋_GB2312" w:cs="宋体"/>
                <w:szCs w:val="21"/>
                <w:highlight w:val="none"/>
                <w:lang w:val="en-US" w:eastAsia="zh-CN"/>
              </w:rPr>
              <w:t>篇；收到依申请公开件148件次，受理行政复议件10件次，发布《湘潭县政府公报》3期。二是政务公开形式持续创新。围绕“振兴莲乡有我、阳光政务同行”主题，开展“政务公开主题日”主场活动，就社会关切或与群众生产生活关系密切的重大项目、政策和民生信息进行“互动式”公开、“面对面”解读。同时，下沉到各乡镇、社区，开展了2</w:t>
            </w:r>
            <w:r>
              <w:rPr>
                <w:rFonts w:hint="eastAsia" w:ascii="仿宋_GB2312" w:hAnsi="宋体" w:eastAsia="仿宋_GB2312" w:cs="宋体"/>
                <w:szCs w:val="21"/>
                <w:highlight w:val="none"/>
                <w:lang w:val="en-US" w:eastAsia="zh-CN"/>
              </w:rPr>
              <w:t>3</w:t>
            </w:r>
            <w:r>
              <w:rPr>
                <w:rFonts w:hint="default" w:ascii="仿宋_GB2312" w:hAnsi="宋体" w:eastAsia="仿宋_GB2312" w:cs="宋体"/>
                <w:szCs w:val="21"/>
                <w:highlight w:val="none"/>
                <w:lang w:val="en-US" w:eastAsia="zh-CN"/>
              </w:rPr>
              <w:t>场分会场政务公开宣传，切实加强政民互动交流。三是热线办理质效全面提升。践行新时代“枫桥经验”，提升“未诉先办、协商会办、多元联办、接诉即办”能力，变“办好一件工单”为“解决一类问题”。下发242期《热线督办日报》，立足热线投诉情况分析，减少和杜绝同类问题反复投诉。累计受理各类诉求20737件，其中市民来电18981件，按时办结率100%，回访满意率91.42%。</w:t>
            </w:r>
          </w:p>
          <w:p>
            <w:pPr>
              <w:spacing w:line="576" w:lineRule="exact"/>
              <w:ind w:right="-6"/>
              <w:rPr>
                <w:rFonts w:hint="default" w:ascii="仿宋_GB2312" w:hAnsi="宋体" w:eastAsia="仿宋_GB2312" w:cs="宋体"/>
                <w:szCs w:val="21"/>
                <w:highlight w:val="none"/>
                <w:lang w:val="en-US" w:eastAsia="zh-CN"/>
              </w:rPr>
            </w:pPr>
            <w:r>
              <w:rPr>
                <w:rFonts w:hint="eastAsia" w:ascii="仿宋_GB2312" w:hAnsi="宋体" w:eastAsia="仿宋_GB2312" w:cs="宋体"/>
                <w:szCs w:val="21"/>
                <w:highlight w:val="none"/>
                <w:lang w:val="en-US" w:eastAsia="zh-CN"/>
              </w:rPr>
              <w:t>六、</w:t>
            </w:r>
            <w:r>
              <w:rPr>
                <w:rFonts w:hint="default" w:ascii="仿宋_GB2312" w:hAnsi="宋体" w:eastAsia="仿宋_GB2312" w:cs="宋体"/>
                <w:szCs w:val="21"/>
                <w:highlight w:val="none"/>
                <w:lang w:val="en-US" w:eastAsia="zh-CN"/>
              </w:rPr>
              <w:t>以“改革创新”为引擎，强化数字资源赋能</w:t>
            </w:r>
          </w:p>
          <w:p>
            <w:pPr>
              <w:spacing w:line="576" w:lineRule="exact"/>
              <w:ind w:right="-6"/>
              <w:rPr>
                <w:rFonts w:hint="default" w:ascii="仿宋_GB2312" w:hAnsi="宋体" w:eastAsia="仿宋_GB2312" w:cs="宋体"/>
                <w:szCs w:val="21"/>
                <w:highlight w:val="none"/>
                <w:lang w:val="en-US" w:eastAsia="zh-CN"/>
              </w:rPr>
            </w:pPr>
            <w:r>
              <w:rPr>
                <w:rFonts w:hint="default" w:ascii="仿宋_GB2312" w:hAnsi="宋体" w:eastAsia="仿宋_GB2312" w:cs="宋体"/>
                <w:szCs w:val="21"/>
                <w:highlight w:val="none"/>
                <w:lang w:val="en-US" w:eastAsia="zh-CN"/>
              </w:rPr>
              <w:t>聚焦数字莲乡、数字经济、数字社会、数字政务建设“四位一体”发展战略，以实施数字政务提质增效的惠民工程为切入口，着力打造“湘易办”2.0版本。一是为群众可感生活提供新改革。坚持“全领域、全方位、全层级”“以商补政”“以市场换资源，以数据换资金”的原则开展数产合作，破解资金、重复建设等难题。“零投入”</w:t>
            </w:r>
            <w:r>
              <w:rPr>
                <w:rFonts w:hint="eastAsia" w:ascii="仿宋_GB2312" w:hAnsi="宋体" w:eastAsia="仿宋_GB2312" w:cs="宋体"/>
                <w:szCs w:val="21"/>
                <w:highlight w:val="none"/>
                <w:lang w:val="en-US" w:eastAsia="zh-CN"/>
              </w:rPr>
              <w:t>建设</w:t>
            </w:r>
            <w:r>
              <w:rPr>
                <w:rFonts w:hint="default" w:ascii="仿宋_GB2312" w:hAnsi="宋体" w:eastAsia="仿宋_GB2312" w:cs="宋体"/>
                <w:szCs w:val="21"/>
                <w:highlight w:val="none"/>
                <w:lang w:val="en-US" w:eastAsia="zh-CN"/>
              </w:rPr>
              <w:t>县旗舰店17个应用场景，以及“京湘供水”“湘潭县党费”“学杂费”3个高频特色服务，节约成本50万元。二是为城市经济发展提供新动能。在县旗舰店赓续打造“营商地图”，提供一键导航和VR全景展示。开设利企查询、惠企服务等专区，提供投资指南、项目指南、便捷专利、商标公告查询，以及技能培训、助企纾困等特色服务。目前，“湘易办”上共发布</w:t>
            </w:r>
            <w:r>
              <w:rPr>
                <w:rFonts w:hint="eastAsia" w:ascii="仿宋_GB2312" w:hAnsi="宋体" w:eastAsia="仿宋_GB2312" w:cs="宋体"/>
                <w:szCs w:val="21"/>
                <w:highlight w:val="none"/>
                <w:lang w:val="en-US" w:eastAsia="zh-CN"/>
              </w:rPr>
              <w:t>153</w:t>
            </w:r>
            <w:r>
              <w:rPr>
                <w:rFonts w:hint="default" w:ascii="仿宋_GB2312" w:hAnsi="宋体" w:eastAsia="仿宋_GB2312" w:cs="宋体"/>
                <w:szCs w:val="21"/>
                <w:highlight w:val="none"/>
                <w:lang w:val="en-US" w:eastAsia="zh-CN"/>
              </w:rPr>
              <w:t>条惠企政策、</w:t>
            </w:r>
            <w:r>
              <w:rPr>
                <w:rFonts w:hint="eastAsia" w:ascii="仿宋_GB2312" w:hAnsi="宋体" w:eastAsia="仿宋_GB2312" w:cs="宋体"/>
                <w:szCs w:val="21"/>
                <w:highlight w:val="none"/>
                <w:lang w:val="en-US" w:eastAsia="zh-CN"/>
              </w:rPr>
              <w:t>308</w:t>
            </w:r>
            <w:r>
              <w:rPr>
                <w:rFonts w:hint="default" w:ascii="仿宋_GB2312" w:hAnsi="宋体" w:eastAsia="仿宋_GB2312" w:cs="宋体"/>
                <w:szCs w:val="21"/>
                <w:highlight w:val="none"/>
                <w:lang w:val="en-US" w:eastAsia="zh-CN"/>
              </w:rPr>
              <w:t>个政策兑现事项</w:t>
            </w:r>
            <w:r>
              <w:rPr>
                <w:rFonts w:hint="eastAsia" w:ascii="仿宋_GB2312" w:hAnsi="宋体" w:eastAsia="仿宋_GB2312" w:cs="宋体"/>
                <w:szCs w:val="21"/>
                <w:highlight w:val="none"/>
                <w:lang w:val="en-US" w:eastAsia="zh-CN"/>
              </w:rPr>
              <w:t>，梳理更新智能客服知识库897件</w:t>
            </w:r>
            <w:r>
              <w:rPr>
                <w:rFonts w:hint="default" w:ascii="仿宋_GB2312" w:hAnsi="宋体" w:eastAsia="仿宋_GB2312" w:cs="宋体"/>
                <w:szCs w:val="21"/>
                <w:highlight w:val="none"/>
                <w:lang w:val="en-US" w:eastAsia="zh-CN"/>
              </w:rPr>
              <w:t>。</w:t>
            </w:r>
          </w:p>
          <w:p>
            <w:pPr>
              <w:spacing w:line="576" w:lineRule="exact"/>
              <w:ind w:right="-6"/>
            </w:pPr>
            <w:r>
              <w:rPr>
                <w:rFonts w:hint="eastAsia" w:ascii="仿宋_GB2312" w:hAnsi="宋体" w:eastAsia="仿宋_GB2312" w:cs="宋体"/>
                <w:szCs w:val="21"/>
                <w:highlight w:val="none"/>
                <w:lang w:val="en-US" w:eastAsia="zh-CN"/>
              </w:rPr>
              <w:t>2025年，我局将继续以习近平新时代中国特色社会主义思想为指导，全面贯彻落实党的二十大和二十届三中全会精神，根据上级部门关于数据和政务服务管理系列决策部署，以“数惠三湘”为引领，坚持数据管理开拓创新与政务服务提质增效协同联动，统筹推进数字莲乡、数字经济、数字社会、数字政务建设，努力开创数据和政务服务新局面，为奋力书写更加出彩的莲乡高质量发展新篇章提供有力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1.绩效目标的编制有待完善。</w:t>
            </w:r>
          </w:p>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2.预算与实际支出明细存在偏差,其项目实际支出与预算支出列支的科目存在差异，预算编制欠精准。</w:t>
            </w:r>
          </w:p>
          <w:p>
            <w:pPr>
              <w:spacing w:line="576" w:lineRule="exact"/>
              <w:ind w:right="-6"/>
              <w:rPr>
                <w:rFonts w:ascii="仿宋_GB2312" w:hAnsi="宋体" w:eastAsia="仿宋_GB2312" w:cs="宋体"/>
                <w:szCs w:val="21"/>
              </w:rPr>
            </w:pPr>
            <w:r>
              <w:rPr>
                <w:rFonts w:hint="eastAsia" w:ascii="仿宋" w:hAnsi="仿宋" w:eastAsia="仿宋" w:cs="宋体"/>
                <w:kern w:val="0"/>
                <w:szCs w:val="21"/>
              </w:rPr>
              <w:t>3.基本支出因年初预算不足，造成资金短缺。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1.完善绩效目标编制工作，不断加强预算编制管理，保障预算编制的合理性、科学性.</w:t>
            </w:r>
          </w:p>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2.提高对财政绩效管理的认识，提高自评管理水平，严格按照《湖南省预算绩效目标管理办法》的要求编制绩效目标，且目标需与年度的任务数或计划数相对应。</w:t>
            </w:r>
          </w:p>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3.及时与上级财政部门搞好协调，确保指标的下达及时，加强财经管理，实际支出严格按年初预算执行，提高公用经费的管理，合理安排，科学管理，合理安排预算支出，项目实施和资金的使用，严格按照规定进行，从而减少预算与实际执行的差异。</w:t>
            </w:r>
          </w:p>
          <w:p>
            <w:pPr>
              <w:spacing w:line="576" w:lineRule="exact"/>
              <w:ind w:right="-6"/>
              <w:rPr>
                <w:rFonts w:ascii="仿宋" w:hAnsi="仿宋" w:eastAsia="仿宋" w:cs="宋体"/>
                <w:kern w:val="0"/>
                <w:szCs w:val="21"/>
              </w:rPr>
            </w:pPr>
            <w:r>
              <w:rPr>
                <w:rFonts w:hint="eastAsia" w:ascii="仿宋" w:hAnsi="仿宋" w:eastAsia="仿宋" w:cs="宋体"/>
                <w:kern w:val="0"/>
                <w:szCs w:val="21"/>
              </w:rPr>
              <w:t>4.加强资金使用管理。在今后的工作中加强对专项资金使用的检查，对财政专项资金的资金用途严格审核，对资金的支出明细进行逐笔核查，发现有账务处理不恰当的及时调整，确保专款专用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jc w:val="left"/>
        <w:rPr>
          <w:rFonts w:cs="黑体" w:asciiTheme="minorEastAsia" w:hAnsiTheme="minorEastAsia"/>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11AAE55"/>
    <w:multiLevelType w:val="singleLevel"/>
    <w:tmpl w:val="411AAE55"/>
    <w:lvl w:ilvl="0" w:tentative="0">
      <w:start w:val="2"/>
      <w:numFmt w:val="chineseCounting"/>
      <w:suff w:val="nothing"/>
      <w:lvlText w:val="（%1）"/>
      <w:lvlJc w:val="left"/>
      <w:rPr>
        <w:rFonts w:hint="eastAsia"/>
      </w:rPr>
    </w:lvl>
  </w:abstractNum>
  <w:abstractNum w:abstractNumId="2">
    <w:nsid w:val="7FFEBF87"/>
    <w:multiLevelType w:val="singleLevel"/>
    <w:tmpl w:val="7FFEBF87"/>
    <w:lvl w:ilvl="0" w:tentative="0">
      <w:start w:val="7"/>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6F635A"/>
    <w:rsid w:val="05FE85B5"/>
    <w:rsid w:val="07F9282F"/>
    <w:rsid w:val="0FE73A6A"/>
    <w:rsid w:val="0FF30BB4"/>
    <w:rsid w:val="0FFFDC41"/>
    <w:rsid w:val="1377C541"/>
    <w:rsid w:val="14C72F10"/>
    <w:rsid w:val="17779110"/>
    <w:rsid w:val="1D97DEFF"/>
    <w:rsid w:val="1DFF72E5"/>
    <w:rsid w:val="1EFC6F07"/>
    <w:rsid w:val="1FDB6650"/>
    <w:rsid w:val="1FE77C49"/>
    <w:rsid w:val="1FFC9EDB"/>
    <w:rsid w:val="23C68E80"/>
    <w:rsid w:val="251E0F21"/>
    <w:rsid w:val="256E6784"/>
    <w:rsid w:val="273D4074"/>
    <w:rsid w:val="27BF5DD6"/>
    <w:rsid w:val="27D69D40"/>
    <w:rsid w:val="27FF48E9"/>
    <w:rsid w:val="28FD0BAB"/>
    <w:rsid w:val="2CF434F8"/>
    <w:rsid w:val="2DBD7D74"/>
    <w:rsid w:val="2EF97A16"/>
    <w:rsid w:val="2F39911F"/>
    <w:rsid w:val="2F55DE17"/>
    <w:rsid w:val="2FDDC10A"/>
    <w:rsid w:val="2FDF85B8"/>
    <w:rsid w:val="2FFDFD68"/>
    <w:rsid w:val="2FFFA7D6"/>
    <w:rsid w:val="2FFFEE04"/>
    <w:rsid w:val="32EF0D01"/>
    <w:rsid w:val="34DF85B0"/>
    <w:rsid w:val="36DFEE29"/>
    <w:rsid w:val="37B539FA"/>
    <w:rsid w:val="37F50B9F"/>
    <w:rsid w:val="37F531D3"/>
    <w:rsid w:val="398BAB75"/>
    <w:rsid w:val="39BE5EE8"/>
    <w:rsid w:val="3ADF5619"/>
    <w:rsid w:val="3B2F2FD1"/>
    <w:rsid w:val="3B8F36BC"/>
    <w:rsid w:val="3BEDAA8B"/>
    <w:rsid w:val="3BEE4D7A"/>
    <w:rsid w:val="3C7F143C"/>
    <w:rsid w:val="3CFFA52F"/>
    <w:rsid w:val="3D6A6324"/>
    <w:rsid w:val="3DF3DD3E"/>
    <w:rsid w:val="3EF7FD8D"/>
    <w:rsid w:val="3EFF040C"/>
    <w:rsid w:val="3EFFEBD8"/>
    <w:rsid w:val="3F196CD7"/>
    <w:rsid w:val="3F6B68A8"/>
    <w:rsid w:val="3F7F2068"/>
    <w:rsid w:val="3F8D33FC"/>
    <w:rsid w:val="3F9E5ABA"/>
    <w:rsid w:val="3FAF45E7"/>
    <w:rsid w:val="3FEEA0A1"/>
    <w:rsid w:val="3FF76535"/>
    <w:rsid w:val="3FF792E9"/>
    <w:rsid w:val="3FF7B3B7"/>
    <w:rsid w:val="3FF9D8FC"/>
    <w:rsid w:val="3FFDB30A"/>
    <w:rsid w:val="3FFE589C"/>
    <w:rsid w:val="3FFFEC95"/>
    <w:rsid w:val="432F2804"/>
    <w:rsid w:val="45FB2423"/>
    <w:rsid w:val="475F4240"/>
    <w:rsid w:val="477B0C9A"/>
    <w:rsid w:val="47F7BFB6"/>
    <w:rsid w:val="491FF225"/>
    <w:rsid w:val="49B711BD"/>
    <w:rsid w:val="4B5E6165"/>
    <w:rsid w:val="4C7ED75B"/>
    <w:rsid w:val="4D7F6F56"/>
    <w:rsid w:val="4DBDE03D"/>
    <w:rsid w:val="4DEFF2E9"/>
    <w:rsid w:val="4DFD2722"/>
    <w:rsid w:val="4E5E7082"/>
    <w:rsid w:val="4EF8B5F0"/>
    <w:rsid w:val="4F26C3A9"/>
    <w:rsid w:val="4FB7460D"/>
    <w:rsid w:val="4FFB3353"/>
    <w:rsid w:val="4FFD214C"/>
    <w:rsid w:val="513FDB14"/>
    <w:rsid w:val="5377E21A"/>
    <w:rsid w:val="53FC4B7F"/>
    <w:rsid w:val="55BDFD43"/>
    <w:rsid w:val="5777D4F5"/>
    <w:rsid w:val="577BA4A7"/>
    <w:rsid w:val="57AEC287"/>
    <w:rsid w:val="57F78534"/>
    <w:rsid w:val="59DD8326"/>
    <w:rsid w:val="5AB62076"/>
    <w:rsid w:val="5ABE5395"/>
    <w:rsid w:val="5AEEE290"/>
    <w:rsid w:val="5AFDCF2F"/>
    <w:rsid w:val="5B7FC6D7"/>
    <w:rsid w:val="5BFF56EA"/>
    <w:rsid w:val="5BFF6FEF"/>
    <w:rsid w:val="5DB7F78F"/>
    <w:rsid w:val="5DC2E98B"/>
    <w:rsid w:val="5DEF592A"/>
    <w:rsid w:val="5E17BF58"/>
    <w:rsid w:val="5EE919D4"/>
    <w:rsid w:val="5EEF2BD2"/>
    <w:rsid w:val="5EF7CE76"/>
    <w:rsid w:val="5F2715F1"/>
    <w:rsid w:val="5F7FE471"/>
    <w:rsid w:val="5FA805A8"/>
    <w:rsid w:val="5FBEAAF1"/>
    <w:rsid w:val="5FBFE7A6"/>
    <w:rsid w:val="5FC6BB1E"/>
    <w:rsid w:val="5FF720F1"/>
    <w:rsid w:val="5FFBF4B0"/>
    <w:rsid w:val="5FFE63CC"/>
    <w:rsid w:val="5FFECCEB"/>
    <w:rsid w:val="5FFF2661"/>
    <w:rsid w:val="5FFFC110"/>
    <w:rsid w:val="65ED7E11"/>
    <w:rsid w:val="65EE45BA"/>
    <w:rsid w:val="66AB9724"/>
    <w:rsid w:val="671F8EC7"/>
    <w:rsid w:val="677C2648"/>
    <w:rsid w:val="67A794CB"/>
    <w:rsid w:val="67D714E9"/>
    <w:rsid w:val="67DF2D85"/>
    <w:rsid w:val="67E2C550"/>
    <w:rsid w:val="67FF5C0B"/>
    <w:rsid w:val="69E0CCAE"/>
    <w:rsid w:val="6AFF8A4B"/>
    <w:rsid w:val="6B7FAEF6"/>
    <w:rsid w:val="6BD7F7F0"/>
    <w:rsid w:val="6BE6B83E"/>
    <w:rsid w:val="6BEBB977"/>
    <w:rsid w:val="6BFED3D8"/>
    <w:rsid w:val="6BFF711A"/>
    <w:rsid w:val="6C9DD5B6"/>
    <w:rsid w:val="6DBD4AE5"/>
    <w:rsid w:val="6DCE8CB9"/>
    <w:rsid w:val="6DDFA9BC"/>
    <w:rsid w:val="6DEEDC5B"/>
    <w:rsid w:val="6DFBBCFF"/>
    <w:rsid w:val="6DFF662E"/>
    <w:rsid w:val="6E1ECEB1"/>
    <w:rsid w:val="6EF729C2"/>
    <w:rsid w:val="6EFB3A9C"/>
    <w:rsid w:val="6EFC0924"/>
    <w:rsid w:val="6EFF4D0A"/>
    <w:rsid w:val="6EFF54AE"/>
    <w:rsid w:val="6EFFF38F"/>
    <w:rsid w:val="6F67793B"/>
    <w:rsid w:val="6F6D6340"/>
    <w:rsid w:val="6F7FEB4B"/>
    <w:rsid w:val="6F97C3A3"/>
    <w:rsid w:val="6FB74722"/>
    <w:rsid w:val="6FD77FF4"/>
    <w:rsid w:val="6FDB08DD"/>
    <w:rsid w:val="6FEE02EC"/>
    <w:rsid w:val="6FEF8B7E"/>
    <w:rsid w:val="6FEFF32E"/>
    <w:rsid w:val="6FF64A18"/>
    <w:rsid w:val="6FF7F003"/>
    <w:rsid w:val="6FFD03B9"/>
    <w:rsid w:val="6FFE0341"/>
    <w:rsid w:val="6FFF1F5D"/>
    <w:rsid w:val="6FFF42FE"/>
    <w:rsid w:val="6FFF60E7"/>
    <w:rsid w:val="6FFF85EF"/>
    <w:rsid w:val="71A6591B"/>
    <w:rsid w:val="71F7E61B"/>
    <w:rsid w:val="72BB53E3"/>
    <w:rsid w:val="737D59BA"/>
    <w:rsid w:val="73EF3678"/>
    <w:rsid w:val="73FB0721"/>
    <w:rsid w:val="74FB6A06"/>
    <w:rsid w:val="75CFE256"/>
    <w:rsid w:val="75FFB929"/>
    <w:rsid w:val="767D44A2"/>
    <w:rsid w:val="76DD6BD5"/>
    <w:rsid w:val="771B5B17"/>
    <w:rsid w:val="777BB4B6"/>
    <w:rsid w:val="77AF70C2"/>
    <w:rsid w:val="77B76981"/>
    <w:rsid w:val="77C37683"/>
    <w:rsid w:val="77D568F8"/>
    <w:rsid w:val="77E3489E"/>
    <w:rsid w:val="77F784D2"/>
    <w:rsid w:val="77F7F79D"/>
    <w:rsid w:val="77FF9161"/>
    <w:rsid w:val="78688791"/>
    <w:rsid w:val="793A6480"/>
    <w:rsid w:val="79FF515B"/>
    <w:rsid w:val="79FF6580"/>
    <w:rsid w:val="7A33C6B0"/>
    <w:rsid w:val="7ADBA885"/>
    <w:rsid w:val="7AF7CD36"/>
    <w:rsid w:val="7AFA9B65"/>
    <w:rsid w:val="7B5A9BB2"/>
    <w:rsid w:val="7B5F389F"/>
    <w:rsid w:val="7B795728"/>
    <w:rsid w:val="7B7A395A"/>
    <w:rsid w:val="7B8676D6"/>
    <w:rsid w:val="7BD3A1F7"/>
    <w:rsid w:val="7BD64CFA"/>
    <w:rsid w:val="7BDF5E2E"/>
    <w:rsid w:val="7BF77389"/>
    <w:rsid w:val="7BFB37C7"/>
    <w:rsid w:val="7BFCCD96"/>
    <w:rsid w:val="7BFCDEB5"/>
    <w:rsid w:val="7CBCA3BB"/>
    <w:rsid w:val="7D3D0C1E"/>
    <w:rsid w:val="7D440AE5"/>
    <w:rsid w:val="7D7EB18C"/>
    <w:rsid w:val="7DB3D24E"/>
    <w:rsid w:val="7DD548A1"/>
    <w:rsid w:val="7DEC6CF6"/>
    <w:rsid w:val="7DEE7B23"/>
    <w:rsid w:val="7DFF41E2"/>
    <w:rsid w:val="7E1D2F6A"/>
    <w:rsid w:val="7E71B421"/>
    <w:rsid w:val="7E75725F"/>
    <w:rsid w:val="7E7734E0"/>
    <w:rsid w:val="7E7B0C21"/>
    <w:rsid w:val="7E8D381B"/>
    <w:rsid w:val="7E9D061B"/>
    <w:rsid w:val="7E9E1962"/>
    <w:rsid w:val="7E9F11B4"/>
    <w:rsid w:val="7EAC0EEC"/>
    <w:rsid w:val="7ED764CC"/>
    <w:rsid w:val="7EF3D31A"/>
    <w:rsid w:val="7EF65AAD"/>
    <w:rsid w:val="7EF75C96"/>
    <w:rsid w:val="7EFB2BA1"/>
    <w:rsid w:val="7F071E2B"/>
    <w:rsid w:val="7F37EC1E"/>
    <w:rsid w:val="7F4B303E"/>
    <w:rsid w:val="7F5F5A62"/>
    <w:rsid w:val="7F718B79"/>
    <w:rsid w:val="7F7BA715"/>
    <w:rsid w:val="7F7DCD9D"/>
    <w:rsid w:val="7F952D00"/>
    <w:rsid w:val="7F970A6F"/>
    <w:rsid w:val="7F9A3A9C"/>
    <w:rsid w:val="7F9D5EDE"/>
    <w:rsid w:val="7FBBEE30"/>
    <w:rsid w:val="7FBF9A77"/>
    <w:rsid w:val="7FC1FFF3"/>
    <w:rsid w:val="7FC69637"/>
    <w:rsid w:val="7FD3D582"/>
    <w:rsid w:val="7FD70830"/>
    <w:rsid w:val="7FD73493"/>
    <w:rsid w:val="7FDE6CE2"/>
    <w:rsid w:val="7FDF8620"/>
    <w:rsid w:val="7FEDF291"/>
    <w:rsid w:val="7FEE462D"/>
    <w:rsid w:val="7FEFC3D1"/>
    <w:rsid w:val="7FF620DE"/>
    <w:rsid w:val="7FF793C1"/>
    <w:rsid w:val="7FF7E3FA"/>
    <w:rsid w:val="7FFB242F"/>
    <w:rsid w:val="7FFBCDD4"/>
    <w:rsid w:val="7FFD1EF1"/>
    <w:rsid w:val="7FFDB408"/>
    <w:rsid w:val="7FFDBFCA"/>
    <w:rsid w:val="7FFE4EEB"/>
    <w:rsid w:val="7FFFA2E9"/>
    <w:rsid w:val="7FFFBAD7"/>
    <w:rsid w:val="8F5F2F5F"/>
    <w:rsid w:val="8FEF53B1"/>
    <w:rsid w:val="95FB2B98"/>
    <w:rsid w:val="96FF2B07"/>
    <w:rsid w:val="9A639BC2"/>
    <w:rsid w:val="9E5F64AC"/>
    <w:rsid w:val="9E7BC47A"/>
    <w:rsid w:val="9F767A89"/>
    <w:rsid w:val="9F7B7DDF"/>
    <w:rsid w:val="9F959105"/>
    <w:rsid w:val="9FF739F7"/>
    <w:rsid w:val="9FF7D786"/>
    <w:rsid w:val="A6753192"/>
    <w:rsid w:val="ABBFB23D"/>
    <w:rsid w:val="AC9F60E3"/>
    <w:rsid w:val="ACFAA5D7"/>
    <w:rsid w:val="AE6D1AD4"/>
    <w:rsid w:val="AEEF8541"/>
    <w:rsid w:val="AEF6C761"/>
    <w:rsid w:val="AF3E1323"/>
    <w:rsid w:val="AFCA3270"/>
    <w:rsid w:val="AFD51EAD"/>
    <w:rsid w:val="AFDF695B"/>
    <w:rsid w:val="B2EB6E4D"/>
    <w:rsid w:val="B33360CB"/>
    <w:rsid w:val="B3F81EA0"/>
    <w:rsid w:val="B76E1D37"/>
    <w:rsid w:val="B777D61A"/>
    <w:rsid w:val="B7FDDD9E"/>
    <w:rsid w:val="B7FEECF1"/>
    <w:rsid w:val="BAF37656"/>
    <w:rsid w:val="BB7B1CF5"/>
    <w:rsid w:val="BBBF0B5C"/>
    <w:rsid w:val="BD7730B2"/>
    <w:rsid w:val="BDDC4A2A"/>
    <w:rsid w:val="BDF44520"/>
    <w:rsid w:val="BDFB9CCF"/>
    <w:rsid w:val="BDFD9DF8"/>
    <w:rsid w:val="BEFF6CBF"/>
    <w:rsid w:val="BF1FF6F9"/>
    <w:rsid w:val="BF7DE23A"/>
    <w:rsid w:val="BF7F1FFD"/>
    <w:rsid w:val="BF8ABD57"/>
    <w:rsid w:val="BFA78EF5"/>
    <w:rsid w:val="BFDD65CA"/>
    <w:rsid w:val="BFE70937"/>
    <w:rsid w:val="BFFB9816"/>
    <w:rsid w:val="C3B4DA5A"/>
    <w:rsid w:val="C53E3AD1"/>
    <w:rsid w:val="C6DAED04"/>
    <w:rsid w:val="C777DAA5"/>
    <w:rsid w:val="C7DC62D3"/>
    <w:rsid w:val="C7DEBEDB"/>
    <w:rsid w:val="CBFF70E0"/>
    <w:rsid w:val="CCDF6DF9"/>
    <w:rsid w:val="CDFDC34A"/>
    <w:rsid w:val="CE9F5889"/>
    <w:rsid w:val="CF1CC217"/>
    <w:rsid w:val="CFF50B82"/>
    <w:rsid w:val="CFFFAD89"/>
    <w:rsid w:val="D2CE2DF9"/>
    <w:rsid w:val="D37F0098"/>
    <w:rsid w:val="D6A11400"/>
    <w:rsid w:val="D6E6BFEC"/>
    <w:rsid w:val="D73EE1BB"/>
    <w:rsid w:val="D77D66F2"/>
    <w:rsid w:val="D7DE0AC9"/>
    <w:rsid w:val="D7EF4A8C"/>
    <w:rsid w:val="D93D995E"/>
    <w:rsid w:val="DB9FAF03"/>
    <w:rsid w:val="DBBF4062"/>
    <w:rsid w:val="DBEEE11B"/>
    <w:rsid w:val="DBEFBC09"/>
    <w:rsid w:val="DD4711BD"/>
    <w:rsid w:val="DDBEAE87"/>
    <w:rsid w:val="DDBFD534"/>
    <w:rsid w:val="DDDC98AE"/>
    <w:rsid w:val="DDE1F367"/>
    <w:rsid w:val="DDF58204"/>
    <w:rsid w:val="DDFB6CB7"/>
    <w:rsid w:val="DDFE15EC"/>
    <w:rsid w:val="DE53EF8C"/>
    <w:rsid w:val="DE7E8334"/>
    <w:rsid w:val="DEAFCEC8"/>
    <w:rsid w:val="DEFD9299"/>
    <w:rsid w:val="DF6D2057"/>
    <w:rsid w:val="DF7626D7"/>
    <w:rsid w:val="DF7F0556"/>
    <w:rsid w:val="DFBF4827"/>
    <w:rsid w:val="DFC6DBA6"/>
    <w:rsid w:val="DFDF2B4D"/>
    <w:rsid w:val="DFEE1504"/>
    <w:rsid w:val="DFFB0D9E"/>
    <w:rsid w:val="DFFE359E"/>
    <w:rsid w:val="DFFE4FFD"/>
    <w:rsid w:val="E2DF9322"/>
    <w:rsid w:val="E3BF2036"/>
    <w:rsid w:val="E5DFA673"/>
    <w:rsid w:val="E5FBB86A"/>
    <w:rsid w:val="E665CCAA"/>
    <w:rsid w:val="E6DFA7C9"/>
    <w:rsid w:val="E74B963A"/>
    <w:rsid w:val="E7732EFE"/>
    <w:rsid w:val="E779563F"/>
    <w:rsid w:val="E7D8D6FA"/>
    <w:rsid w:val="E7EF7408"/>
    <w:rsid w:val="E7FA071A"/>
    <w:rsid w:val="E7FE3C62"/>
    <w:rsid w:val="E7FE4F8B"/>
    <w:rsid w:val="E8F75FF4"/>
    <w:rsid w:val="E96FB514"/>
    <w:rsid w:val="EB372ACC"/>
    <w:rsid w:val="EB8D0549"/>
    <w:rsid w:val="EDFF76E2"/>
    <w:rsid w:val="EEABED75"/>
    <w:rsid w:val="EEB3AF51"/>
    <w:rsid w:val="EEDF3816"/>
    <w:rsid w:val="EEF09ECB"/>
    <w:rsid w:val="EF7DD50A"/>
    <w:rsid w:val="EFDF4E4C"/>
    <w:rsid w:val="EFF238B9"/>
    <w:rsid w:val="EFFE1F24"/>
    <w:rsid w:val="EFFF9FBA"/>
    <w:rsid w:val="F0F4B1EC"/>
    <w:rsid w:val="F0FEE811"/>
    <w:rsid w:val="F28DC96D"/>
    <w:rsid w:val="F31BFF15"/>
    <w:rsid w:val="F35788FD"/>
    <w:rsid w:val="F37B883D"/>
    <w:rsid w:val="F3D961D6"/>
    <w:rsid w:val="F3FB6368"/>
    <w:rsid w:val="F3FD0811"/>
    <w:rsid w:val="F3FF1BCA"/>
    <w:rsid w:val="F56FDF51"/>
    <w:rsid w:val="F5F66077"/>
    <w:rsid w:val="F5FBBF23"/>
    <w:rsid w:val="F63D67FB"/>
    <w:rsid w:val="F6B69F17"/>
    <w:rsid w:val="F74F6B43"/>
    <w:rsid w:val="F77F1D61"/>
    <w:rsid w:val="F7D85549"/>
    <w:rsid w:val="F7EABBD1"/>
    <w:rsid w:val="F7EE9728"/>
    <w:rsid w:val="F7EFCC6F"/>
    <w:rsid w:val="F7F24101"/>
    <w:rsid w:val="F7F9D606"/>
    <w:rsid w:val="F7FED3A9"/>
    <w:rsid w:val="F7FF08AF"/>
    <w:rsid w:val="F8C9DB26"/>
    <w:rsid w:val="F97E8EAE"/>
    <w:rsid w:val="F9B696D9"/>
    <w:rsid w:val="F9BEDD53"/>
    <w:rsid w:val="FB36E1A6"/>
    <w:rsid w:val="FB39CF39"/>
    <w:rsid w:val="FB3BE134"/>
    <w:rsid w:val="FB5ACC92"/>
    <w:rsid w:val="FB7B4D9A"/>
    <w:rsid w:val="FBCEAC5C"/>
    <w:rsid w:val="FBDE3DE8"/>
    <w:rsid w:val="FBE50C29"/>
    <w:rsid w:val="FBE528ED"/>
    <w:rsid w:val="FBF66D34"/>
    <w:rsid w:val="FBF8781E"/>
    <w:rsid w:val="FBF950C2"/>
    <w:rsid w:val="FBFBD6DE"/>
    <w:rsid w:val="FCFF4275"/>
    <w:rsid w:val="FD1716CF"/>
    <w:rsid w:val="FD7FEEEA"/>
    <w:rsid w:val="FDCF6CA9"/>
    <w:rsid w:val="FDD72038"/>
    <w:rsid w:val="FDF4D2ED"/>
    <w:rsid w:val="FDFFB577"/>
    <w:rsid w:val="FE3E2D58"/>
    <w:rsid w:val="FE6B0768"/>
    <w:rsid w:val="FE779240"/>
    <w:rsid w:val="FEAE62B1"/>
    <w:rsid w:val="FED39767"/>
    <w:rsid w:val="FEEA50FE"/>
    <w:rsid w:val="FEED38FF"/>
    <w:rsid w:val="FEF9FAC8"/>
    <w:rsid w:val="FEFDA59E"/>
    <w:rsid w:val="FEFFA8CA"/>
    <w:rsid w:val="FF3FCB43"/>
    <w:rsid w:val="FF6ED773"/>
    <w:rsid w:val="FF7C34BF"/>
    <w:rsid w:val="FF7D1893"/>
    <w:rsid w:val="FF7D47A9"/>
    <w:rsid w:val="FFAABFF5"/>
    <w:rsid w:val="FFBB5B61"/>
    <w:rsid w:val="FFBD91CE"/>
    <w:rsid w:val="FFBF3C06"/>
    <w:rsid w:val="FFBFC23C"/>
    <w:rsid w:val="FFBFD9DA"/>
    <w:rsid w:val="FFC28E60"/>
    <w:rsid w:val="FFC97D45"/>
    <w:rsid w:val="FFCF21CB"/>
    <w:rsid w:val="FFDBB7C6"/>
    <w:rsid w:val="FFDFB519"/>
    <w:rsid w:val="FFE5D2E7"/>
    <w:rsid w:val="FFEF28A0"/>
    <w:rsid w:val="FFF51530"/>
    <w:rsid w:val="FFF70311"/>
    <w:rsid w:val="FFFB8133"/>
    <w:rsid w:val="FFFD3E7E"/>
    <w:rsid w:val="FFFD6A05"/>
    <w:rsid w:val="FFFD83F7"/>
    <w:rsid w:val="FFFDA2BD"/>
    <w:rsid w:val="FFFDFAEE"/>
    <w:rsid w:val="FFFEC01A"/>
    <w:rsid w:val="FFFF1C8B"/>
    <w:rsid w:val="FFFF360C"/>
    <w:rsid w:val="FFFF9D9A"/>
    <w:rsid w:val="FFFFD714"/>
    <w:rsid w:val="FFFFD93A"/>
    <w:rsid w:val="FFFFD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EndnoteText"/>
    <w:qFormat/>
    <w:uiPriority w:val="0"/>
    <w:pPr>
      <w:widowControl w:val="0"/>
      <w:snapToGrid w:val="0"/>
      <w:jc w:val="left"/>
      <w:textAlignment w:val="baseline"/>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35</TotalTime>
  <ScaleCrop>false</ScaleCrop>
  <LinksUpToDate>false</LinksUpToDate>
  <CharactersWithSpaces>9008</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2020-07-11T10:32:00Z</dcterms:created>
  <dc:creator>李航 null</dc:creator>
  <cp:lastModifiedBy>kylin</cp:lastModifiedBy>
  <cp:lastPrinted>2025-09-24T10:24:54Z</cp:lastPrinted>
  <dcterms:modified xsi:type="dcterms:W3CDTF">2025-09-24T10:25:08Z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C54C8958C826D5348D2CEA667C18C337</vt:lpwstr>
  </property>
</Properties>
</file>