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E5F387">
      <w:pPr>
        <w:widowControl/>
        <w:spacing w:beforeLines="20" w:afterLines="10" w:line="540" w:lineRule="atLeast"/>
        <w:ind w:right="1280"/>
        <w:rPr>
          <w:rFonts w:ascii="仿宋" w:hAnsi="仿宋" w:eastAsia="仿宋" w:cs="仿宋"/>
          <w:color w:val="FF0000"/>
          <w:sz w:val="32"/>
          <w:szCs w:val="32"/>
        </w:rPr>
      </w:pPr>
    </w:p>
    <w:p w14:paraId="22DC48D0">
      <w:pPr>
        <w:widowControl/>
        <w:spacing w:beforeLines="20" w:afterLines="10" w:line="540" w:lineRule="atLeast"/>
        <w:ind w:right="1280"/>
        <w:rPr>
          <w:rFonts w:ascii="仿宋" w:hAnsi="仿宋" w:eastAsia="仿宋" w:cs="仿宋"/>
          <w:color w:val="FF0000"/>
          <w:sz w:val="32"/>
          <w:szCs w:val="32"/>
        </w:rPr>
      </w:pPr>
    </w:p>
    <w:p w14:paraId="1F8E0A30">
      <w:pPr>
        <w:widowControl/>
        <w:spacing w:beforeLines="20" w:afterLines="10" w:line="540" w:lineRule="atLeast"/>
        <w:jc w:val="right"/>
        <w:rPr>
          <w:rFonts w:ascii="仿宋" w:hAnsi="仿宋" w:eastAsia="仿宋" w:cs="仿宋"/>
          <w:sz w:val="32"/>
          <w:szCs w:val="32"/>
        </w:rPr>
      </w:pPr>
      <w:r>
        <w:rPr>
          <w:rFonts w:hint="eastAsia" w:ascii="仿宋" w:hAnsi="仿宋" w:eastAsia="仿宋" w:cs="仿宋"/>
          <w:sz w:val="32"/>
          <w:szCs w:val="32"/>
        </w:rPr>
        <w:t>潭环审(湘潭县)〔2025〕</w:t>
      </w:r>
      <w:r>
        <w:rPr>
          <w:rFonts w:hint="eastAsia" w:ascii="仿宋" w:hAnsi="仿宋" w:eastAsia="仿宋" w:cs="仿宋"/>
          <w:sz w:val="32"/>
          <w:szCs w:val="32"/>
          <w:lang w:val="en-US" w:eastAsia="zh-CN"/>
        </w:rPr>
        <w:t>32</w:t>
      </w:r>
      <w:r>
        <w:rPr>
          <w:rFonts w:hint="eastAsia" w:ascii="仿宋" w:hAnsi="仿宋" w:eastAsia="仿宋" w:cs="仿宋"/>
          <w:sz w:val="32"/>
          <w:szCs w:val="32"/>
        </w:rPr>
        <w:t>号</w:t>
      </w:r>
    </w:p>
    <w:p w14:paraId="7609A2D9">
      <w:pPr>
        <w:widowControl/>
        <w:spacing w:line="540" w:lineRule="atLeast"/>
        <w:jc w:val="right"/>
        <w:rPr>
          <w:rFonts w:ascii="仿宋" w:hAnsi="仿宋" w:eastAsia="仿宋" w:cs="仿宋"/>
          <w:color w:val="FF0000"/>
          <w:sz w:val="52"/>
          <w:szCs w:val="52"/>
        </w:rPr>
      </w:pPr>
    </w:p>
    <w:p w14:paraId="69D45316">
      <w:pPr>
        <w:spacing w:line="480" w:lineRule="exact"/>
        <w:ind w:right="-42" w:rightChars="-20"/>
        <w:jc w:val="center"/>
        <w:rPr>
          <w:rFonts w:ascii="宋体" w:hAnsi="宋体"/>
          <w:b/>
          <w:bCs/>
          <w:color w:val="000000" w:themeColor="text1"/>
          <w:sz w:val="44"/>
          <w:szCs w:val="44"/>
          <w14:textFill>
            <w14:solidFill>
              <w14:schemeClr w14:val="tx1"/>
            </w14:solidFill>
          </w14:textFill>
        </w:rPr>
      </w:pPr>
      <w:r>
        <w:rPr>
          <w:rFonts w:hint="eastAsia" w:ascii="宋体" w:hAnsi="宋体"/>
          <w:b/>
          <w:bCs/>
          <w:color w:val="000000" w:themeColor="text1"/>
          <w:sz w:val="44"/>
          <w:szCs w:val="44"/>
          <w14:textFill>
            <w14:solidFill>
              <w14:schemeClr w14:val="tx1"/>
            </w14:solidFill>
          </w14:textFill>
        </w:rPr>
        <w:t>关于《</w:t>
      </w:r>
      <w:bookmarkStart w:id="0" w:name="OLE_LINK6"/>
      <w:bookmarkStart w:id="1" w:name="OLE_LINK5"/>
      <w:r>
        <w:rPr>
          <w:rFonts w:hint="eastAsia" w:ascii="宋体" w:hAnsi="宋体"/>
          <w:b/>
          <w:bCs/>
          <w:color w:val="000000" w:themeColor="text1"/>
          <w:sz w:val="44"/>
          <w:szCs w:val="44"/>
          <w14:textFill>
            <w14:solidFill>
              <w14:schemeClr w14:val="tx1"/>
            </w14:solidFill>
          </w14:textFill>
        </w:rPr>
        <w:t>湘潭海方电器有限公司湘潭县分公司</w:t>
      </w:r>
      <w:bookmarkEnd w:id="0"/>
      <w:bookmarkEnd w:id="1"/>
      <w:r>
        <w:rPr>
          <w:rFonts w:hint="eastAsia" w:ascii="宋体" w:hAnsi="宋体"/>
          <w:b/>
          <w:bCs/>
          <w:color w:val="000000" w:themeColor="text1"/>
          <w:sz w:val="44"/>
          <w:szCs w:val="44"/>
          <w14:textFill>
            <w14:solidFill>
              <w14:schemeClr w14:val="tx1"/>
            </w14:solidFill>
          </w14:textFill>
        </w:rPr>
        <w:t>年产端盖500件、支架20件、风机150件、零部件20000件、电机涤玻绳0.3吨建设项目</w:t>
      </w:r>
      <w:bookmarkStart w:id="8" w:name="_GoBack"/>
      <w:r>
        <w:rPr>
          <w:rFonts w:hint="eastAsia" w:ascii="宋体" w:hAnsi="宋体"/>
          <w:b/>
          <w:bCs/>
          <w:color w:val="000000" w:themeColor="text1"/>
          <w:sz w:val="44"/>
          <w:szCs w:val="44"/>
          <w14:textFill>
            <w14:solidFill>
              <w14:schemeClr w14:val="tx1"/>
            </w14:solidFill>
          </w14:textFill>
        </w:rPr>
        <w:t>环境影响报告表》的审批意见</w:t>
      </w:r>
    </w:p>
    <w:bookmarkEnd w:id="8"/>
    <w:p w14:paraId="6D11836A">
      <w:pPr>
        <w:spacing w:line="480" w:lineRule="exact"/>
        <w:ind w:right="-42" w:rightChars="-20"/>
        <w:jc w:val="center"/>
        <w:rPr>
          <w:rFonts w:ascii="仿宋" w:hAnsi="仿宋" w:eastAsia="仿宋"/>
          <w:color w:val="000000" w:themeColor="text1"/>
          <w:sz w:val="10"/>
          <w:szCs w:val="10"/>
          <w14:textFill>
            <w14:solidFill>
              <w14:schemeClr w14:val="tx1"/>
            </w14:solidFill>
          </w14:textFill>
        </w:rPr>
      </w:pPr>
    </w:p>
    <w:p w14:paraId="530416CA">
      <w:pPr>
        <w:spacing w:line="480" w:lineRule="exact"/>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湘潭海方电器有限公司湘潭县分公司：</w:t>
      </w:r>
    </w:p>
    <w:p w14:paraId="00492A92">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你公司由湖南睿鼎建设服务有限公司编制的《湘潭海方电器有限公司湘潭县分公司</w:t>
      </w:r>
      <w:bookmarkStart w:id="2" w:name="OLE_LINK8"/>
      <w:bookmarkStart w:id="3" w:name="OLE_LINK7"/>
      <w:r>
        <w:rPr>
          <w:rFonts w:hint="eastAsia" w:ascii="仿宋" w:hAnsi="仿宋" w:eastAsia="仿宋" w:cs="仿宋"/>
          <w:color w:val="000000" w:themeColor="text1"/>
          <w:sz w:val="32"/>
          <w:szCs w:val="32"/>
          <w14:textFill>
            <w14:solidFill>
              <w14:schemeClr w14:val="tx1"/>
            </w14:solidFill>
          </w14:textFill>
        </w:rPr>
        <w:t>年产端盖500件、支架20件、风机150件、零部件20000件、电机涤玻绳0.3吨建设项目</w:t>
      </w:r>
      <w:bookmarkEnd w:id="2"/>
      <w:bookmarkEnd w:id="3"/>
      <w:r>
        <w:rPr>
          <w:rFonts w:hint="eastAsia" w:ascii="仿宋" w:hAnsi="仿宋" w:eastAsia="仿宋" w:cs="仿宋"/>
          <w:color w:val="000000" w:themeColor="text1"/>
          <w:sz w:val="32"/>
          <w:szCs w:val="32"/>
          <w14:textFill>
            <w14:solidFill>
              <w14:schemeClr w14:val="tx1"/>
            </w14:solidFill>
          </w14:textFill>
        </w:rPr>
        <w:t>环境影响报告表》(以下简称报告表)及相关材料已收悉。经研究，批复如下：</w:t>
      </w:r>
    </w:p>
    <w:p w14:paraId="2BB57A41">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湘潭海方电器有限公司湘潭县分公司拟投资2000万元选址于湘潭天易经开区柏屹智能装备配件园8栋已建标准化厂房内，建设年产端盖500件、支架20件、风机150件、零部件20000件、电机涤玻绳0.3吨建设项目。项目总占地面积</w:t>
      </w:r>
      <w:r>
        <w:rPr>
          <w:rFonts w:ascii="仿宋" w:hAnsi="仿宋" w:eastAsia="仿宋" w:cs="仿宋"/>
          <w:color w:val="000000" w:themeColor="text1"/>
          <w:sz w:val="32"/>
          <w:szCs w:val="32"/>
          <w14:textFill>
            <w14:solidFill>
              <w14:schemeClr w14:val="tx1"/>
            </w14:solidFill>
          </w14:textFill>
        </w:rPr>
        <w:t>3091.2</w:t>
      </w:r>
      <w:r>
        <w:rPr>
          <w:rFonts w:hint="eastAsia" w:ascii="仿宋" w:hAnsi="仿宋" w:eastAsia="仿宋" w:cs="仿宋"/>
          <w:color w:val="000000" w:themeColor="text1"/>
          <w:sz w:val="32"/>
          <w:szCs w:val="32"/>
          <w14:textFill>
            <w14:solidFill>
              <w14:schemeClr w14:val="tx1"/>
            </w14:solidFill>
          </w14:textFill>
        </w:rPr>
        <w:t>m</w:t>
      </w:r>
      <w:r>
        <w:rPr>
          <w:rFonts w:hint="eastAsia" w:ascii="仿宋" w:hAnsi="仿宋" w:eastAsia="仿宋" w:cs="仿宋"/>
          <w:color w:val="000000" w:themeColor="text1"/>
          <w:sz w:val="32"/>
          <w:szCs w:val="32"/>
          <w:vertAlign w:val="superscript"/>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主要建设内容包括：生产车间、办公区、仓库等配套环保工程。主要产品方案及规模包括：端盖500件/a、风机150件/a、支架20件/a、零部件2万件/a、电机涤玻绳0.3t/a。主要生产设备包括：龙门刨铣1台、剪板机2台、折弯机1台、铣床6台、砂轮磨槽楔削机2台、钻床4台、刨床1台、雕刻机2台、数控加工中心1台、切割机4台、锯床1台、线切割2台、织床4台、焊机2台、手动砂轮机6台、液压机1台、车床3台、喷漆房1间、喷枪1台等环保设备。主要原辅材料及能源消耗包括：型材（钢板）100t/a、稀释剂0.15t/a、油漆0.217t/a、焊丝2t/a、混合气2.16t/a、焊条0.1t/a、润滑油0.5t/a、切削液0.5t/a、水772t/a、电7.5万kw•h/a等。项目端盖、支架、风机、零部件加工主要工艺包括：下料、切割、焊接、机加工、打磨、喷漆、自然晾干、成品等；电机涤玻绳主要工艺包括：并股、编织、包装、成品等。</w:t>
      </w:r>
    </w:p>
    <w:p w14:paraId="6463ECD1">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该项目符合国家相关产业政策，根据天易经开区联合预审会议纪要和环评结论，经现场勘察，从环境保护的角度分析，同意该项目按报告表中所列内容进行建设。</w:t>
      </w:r>
    </w:p>
    <w:p w14:paraId="1C111450">
      <w:pPr>
        <w:spacing w:line="480" w:lineRule="exact"/>
        <w:ind w:firstLine="645"/>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二、在项目营运期间，建设单位必须认真落实环评报告表中提出的各项环保要求，落实环保“三同时”措施，确保各项污染物稳定达标排放，并须着重做好以下工作：</w:t>
      </w:r>
    </w:p>
    <w:p w14:paraId="39BDB1B4">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1、废气污染防治工作。厂区内必须使用天然气、液化气或电等清洁能源。</w:t>
      </w:r>
      <w:bookmarkStart w:id="4" w:name="OLE_LINK80"/>
      <w:bookmarkStart w:id="5" w:name="OLE_LINK79"/>
      <w:r>
        <w:rPr>
          <w:rFonts w:hint="eastAsia" w:ascii="仿宋" w:hAnsi="仿宋" w:eastAsia="仿宋" w:cs="仿宋"/>
          <w:color w:val="000000" w:themeColor="text1"/>
          <w:sz w:val="32"/>
          <w:szCs w:val="32"/>
          <w14:textFill>
            <w14:solidFill>
              <w14:schemeClr w14:val="tx1"/>
            </w14:solidFill>
          </w14:textFill>
        </w:rPr>
        <w:t>设置单独焊接专区，</w:t>
      </w:r>
      <w:bookmarkEnd w:id="4"/>
      <w:bookmarkEnd w:id="5"/>
      <w:r>
        <w:rPr>
          <w:rFonts w:hint="eastAsia" w:ascii="仿宋" w:hAnsi="仿宋" w:eastAsia="仿宋" w:cs="仿宋"/>
          <w:color w:val="000000" w:themeColor="text1"/>
          <w:sz w:val="32"/>
          <w:szCs w:val="32"/>
          <w14:textFill>
            <w14:solidFill>
              <w14:schemeClr w14:val="tx1"/>
            </w14:solidFill>
          </w14:textFill>
        </w:rPr>
        <w:t>焊接粉尘采取移动式焊烟净化器处理，颗粒物排放确保达到《大气污染物综合排放标准》（GB16297-1996）表2中无组织排放监控浓度限值要求；打磨、气体切割工序产生的粉尘经集气罩收集，采取布袋除尘器处理后，通过1根不低于15米高排气筒（DA001）高空排放，颗粒物排放确保达到《大气污染物综合排放标准》（GB16297-1996）表2中二级标准限值。调漆、喷漆、晾干工序均在密闭喷漆房内进行，产生的有机废气经负压收集，采取“干式过滤+二级活性炭吸附”处理后，通过1根不低于15米高排气筒（DA002）高空排放，废气排放确保达到湖南省地方标准《表面涂装(汽车制造及维修)挥发性有机物、镍排放标准》（DB43/1356-2017）表1挥发性有机物排放浓度限值要求,颗粒物达到《大气污染物综合排放标准》（GB16297-1996）表2中二级标准限值，臭气浓度达到《恶臭污染物排放标准》（GB14554-93）表2中相关标准限值。厂界VOCs无组织排放达到湖南省地方标准《表面涂装（汽车制造及维修）挥发性有机物、镍排放标准》（DB43/1356-2017）表3中排放浓度限值，臭气浓度确保达到《恶臭污染物排放标准》（GB14554-93）表1中二级新改扩建限值。厂区内VOCs无组织排放达到《挥发性有机物无组织排放控制标准》（GB37822-2019）附录A表A.1中限值要求。</w:t>
      </w:r>
    </w:p>
    <w:p w14:paraId="40DA0FF4">
      <w:pPr>
        <w:pStyle w:val="25"/>
        <w:autoSpaceDE/>
        <w:autoSpaceDN/>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废水污染防治工作。按照“雨污分流”的原则建设厂区排水管网。项目生产性废水均不外排，水切割用水经沉淀池处理后循环使用。生活污水经化粪池处理后，确保达到《污水综合排放标准》(GB8978-1996)表4中三级标准和湘潭县第一污水处理厂进水水质接纳标准后排入城市污水管网。</w:t>
      </w:r>
    </w:p>
    <w:p w14:paraId="4ED477D2">
      <w:pPr>
        <w:pStyle w:val="25"/>
        <w:autoSpaceDE/>
        <w:autoSpaceDN/>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3、噪声污染防治工作。优化厂区内设备布局，选用低噪声设备，并采取隔音、降噪和减震等措施，确保厂界噪声达到《工业企业厂界环境噪声排放标准》（GB12348-2008）中3类标准。</w:t>
      </w:r>
    </w:p>
    <w:p w14:paraId="2DF4D9FA">
      <w:pPr>
        <w:pStyle w:val="25"/>
        <w:autoSpaceDE/>
        <w:autoSpaceDN/>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固体废物污染防治工作。不合格产品、废包装材料、废边角料、废布袋、焊渣、废涤玻绳、除尘器收集粉尘等一般固废分类收集后，外售回收单位综合利用。废活性炭、废过滤棉、废润滑油、废液压油、废切削液、漆渣、废油漆桶、废稀释剂桶、废油桶、等危险废物，须按照《危险废物贮存污染控制标准》（GB/18597-2023）要求进行收集贮存后，交由资质单位进行处理并报县分局备案，危废暂存间须按相关要求设置并建立相关台账，规范设立标识标牌等；生活垃圾分类收集后，定期交由环卫部门妥善处理。</w:t>
      </w:r>
    </w:p>
    <w:p w14:paraId="211EAA5E">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环境风险防范工作。严格履行建设单位环保主体责任，提高清洁生产水平，加强生产和环保管理，安排环保专员负责环保设施运转维护。建立健全污染事故应急处理和定期监测制度，落实事故风险防范措施，切实防范各类环境风险事故。</w:t>
      </w:r>
    </w:p>
    <w:p w14:paraId="730848E5">
      <w:pPr>
        <w:pStyle w:val="20"/>
        <w:shd w:val="clear" w:color="auto" w:fill="FFFFFF"/>
        <w:spacing w:before="0" w:beforeAutospacing="0" w:after="0" w:afterAutospacing="0" w:line="480" w:lineRule="exact"/>
        <w:ind w:firstLine="640" w:firstLineChars="200"/>
        <w:jc w:val="both"/>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三、根据湘潭市生态环境局总量部门核定，该项目实施后，主要污染物年排放总量为：VOCs≤0.1742</w:t>
      </w:r>
      <w:bookmarkStart w:id="6" w:name="OLE_LINK2"/>
      <w:bookmarkStart w:id="7" w:name="OLE_LINK1"/>
      <w:r>
        <w:rPr>
          <w:rFonts w:hint="eastAsia" w:ascii="仿宋" w:hAnsi="仿宋" w:eastAsia="仿宋" w:cs="仿宋"/>
          <w:color w:val="000000" w:themeColor="text1"/>
          <w:sz w:val="32"/>
          <w:szCs w:val="32"/>
          <w14:textFill>
            <w14:solidFill>
              <w14:schemeClr w14:val="tx1"/>
            </w14:solidFill>
          </w14:textFill>
        </w:rPr>
        <w:t>t/a</w:t>
      </w:r>
      <w:bookmarkEnd w:id="6"/>
      <w:bookmarkEnd w:id="7"/>
      <w:r>
        <w:rPr>
          <w:rFonts w:hint="eastAsia" w:ascii="仿宋" w:hAnsi="仿宋" w:eastAsia="仿宋" w:cs="仿宋"/>
          <w:color w:val="000000" w:themeColor="text1"/>
          <w:sz w:val="32"/>
          <w:szCs w:val="32"/>
          <w14:textFill>
            <w14:solidFill>
              <w14:schemeClr w14:val="tx1"/>
            </w14:solidFill>
          </w14:textFill>
        </w:rPr>
        <w:t>(有组织0.151</w:t>
      </w:r>
      <w:r>
        <w:rPr>
          <w:rFonts w:ascii="仿宋" w:hAnsi="仿宋" w:eastAsia="仿宋" w:cs="仿宋"/>
          <w:color w:val="000000" w:themeColor="text1"/>
          <w:sz w:val="32"/>
          <w:szCs w:val="32"/>
          <w14:textFill>
            <w14:solidFill>
              <w14:schemeClr w14:val="tx1"/>
            </w14:solidFill>
          </w14:textFill>
        </w:rPr>
        <w:t>t/a</w:t>
      </w:r>
      <w:r>
        <w:rPr>
          <w:rFonts w:hint="eastAsia" w:ascii="仿宋" w:hAnsi="仿宋" w:eastAsia="仿宋" w:cs="仿宋"/>
          <w:color w:val="000000" w:themeColor="text1"/>
          <w:sz w:val="32"/>
          <w:szCs w:val="32"/>
          <w14:textFill>
            <w14:solidFill>
              <w14:schemeClr w14:val="tx1"/>
            </w14:solidFill>
          </w14:textFill>
        </w:rPr>
        <w:t>)。</w:t>
      </w:r>
    </w:p>
    <w:p w14:paraId="02C324C2">
      <w:pPr>
        <w:spacing w:line="480" w:lineRule="exact"/>
        <w:ind w:firstLine="640" w:firstLineChars="200"/>
        <w:rPr>
          <w:rFonts w:ascii="仿宋" w:hAnsi="仿宋" w:eastAsia="仿宋" w:cs="仿宋"/>
          <w:color w:val="000000" w:themeColor="text1"/>
          <w:sz w:val="32"/>
          <w:szCs w:val="32"/>
          <w:shd w:val="clear" w:color="050000" w:fill="auto"/>
          <w14:textFill>
            <w14:solidFill>
              <w14:schemeClr w14:val="tx1"/>
            </w14:solidFill>
          </w14:textFill>
        </w:rPr>
      </w:pPr>
      <w:r>
        <w:rPr>
          <w:rFonts w:hint="eastAsia" w:ascii="仿宋" w:hAnsi="仿宋" w:eastAsia="仿宋" w:cs="仿宋"/>
          <w:color w:val="000000" w:themeColor="text1"/>
          <w:sz w:val="32"/>
          <w:szCs w:val="32"/>
          <w:shd w:val="clear" w:color="050000" w:fill="auto"/>
          <w14:textFill>
            <w14:solidFill>
              <w14:schemeClr w14:val="tx1"/>
            </w14:solidFill>
          </w14:textFill>
        </w:rPr>
        <w:t>四、</w:t>
      </w:r>
      <w:r>
        <w:rPr>
          <w:rFonts w:hint="eastAsia" w:ascii="仿宋" w:hAnsi="仿宋" w:eastAsia="仿宋" w:cs="仿宋"/>
          <w:color w:val="000000" w:themeColor="text1"/>
          <w:sz w:val="32"/>
          <w:szCs w:val="32"/>
          <w14:textFill>
            <w14:solidFill>
              <w14:schemeClr w14:val="tx1"/>
            </w14:solidFill>
          </w14:textFill>
        </w:rPr>
        <w:t>项目启动生产设施或实际排污之前，须取得排污许可手续，并按照规定依法开展竣工环境保护验收工作。</w:t>
      </w:r>
    </w:p>
    <w:p w14:paraId="0533BED2">
      <w:pPr>
        <w:spacing w:line="480" w:lineRule="exact"/>
        <w:ind w:firstLine="640" w:firstLineChars="200"/>
        <w:rPr>
          <w:rFonts w:ascii="仿宋" w:hAnsi="仿宋" w:eastAsia="仿宋" w:cs="仿宋"/>
          <w:color w:val="000000" w:themeColor="text1"/>
          <w:sz w:val="32"/>
          <w:szCs w:val="32"/>
          <w:shd w:val="clear" w:color="050000" w:fill="auto"/>
          <w14:textFill>
            <w14:solidFill>
              <w14:schemeClr w14:val="tx1"/>
            </w14:solidFill>
          </w14:textFill>
        </w:rPr>
      </w:pPr>
      <w:r>
        <w:rPr>
          <w:rFonts w:hint="eastAsia" w:ascii="仿宋" w:hAnsi="仿宋" w:eastAsia="仿宋" w:cs="仿宋"/>
          <w:color w:val="000000" w:themeColor="text1"/>
          <w:sz w:val="32"/>
          <w:szCs w:val="32"/>
          <w:shd w:val="clear" w:color="050000" w:fill="auto"/>
          <w14:textFill>
            <w14:solidFill>
              <w14:schemeClr w14:val="tx1"/>
            </w14:solidFill>
          </w14:textFill>
        </w:rPr>
        <w:t>五</w:t>
      </w:r>
      <w:r>
        <w:rPr>
          <w:rFonts w:hint="eastAsia" w:ascii="仿宋" w:hAnsi="仿宋" w:eastAsia="仿宋" w:cs="仿宋"/>
          <w:color w:val="000000" w:themeColor="text1"/>
          <w:sz w:val="32"/>
          <w:szCs w:val="32"/>
          <w14:textFill>
            <w14:solidFill>
              <w14:schemeClr w14:val="tx1"/>
            </w14:solidFill>
          </w14:textFill>
        </w:rPr>
        <w:t>、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14:paraId="493BE0F6">
      <w:pPr>
        <w:pStyle w:val="16"/>
        <w:tabs>
          <w:tab w:val="clear" w:pos="4153"/>
          <w:tab w:val="clear" w:pos="8306"/>
        </w:tabs>
        <w:spacing w:line="480" w:lineRule="exact"/>
        <w:rPr>
          <w:rFonts w:ascii="仿宋" w:hAnsi="仿宋" w:eastAsia="仿宋" w:cs="仿宋"/>
          <w:color w:val="000000" w:themeColor="text1"/>
          <w:sz w:val="32"/>
          <w:szCs w:val="32"/>
          <w14:textFill>
            <w14:solidFill>
              <w14:schemeClr w14:val="tx1"/>
            </w14:solidFill>
          </w14:textFill>
        </w:rPr>
      </w:pPr>
    </w:p>
    <w:p w14:paraId="27665753">
      <w:pPr>
        <w:pStyle w:val="16"/>
        <w:tabs>
          <w:tab w:val="clear" w:pos="4153"/>
          <w:tab w:val="clear" w:pos="8306"/>
        </w:tabs>
        <w:spacing w:line="480" w:lineRule="exact"/>
        <w:rPr>
          <w:rFonts w:ascii="仿宋" w:hAnsi="仿宋" w:eastAsia="仿宋" w:cs="仿宋"/>
          <w:color w:val="000000" w:themeColor="text1"/>
          <w:sz w:val="32"/>
          <w:szCs w:val="32"/>
          <w14:textFill>
            <w14:solidFill>
              <w14:schemeClr w14:val="tx1"/>
            </w14:solidFill>
          </w14:textFill>
        </w:rPr>
      </w:pPr>
    </w:p>
    <w:p w14:paraId="4A116DBB">
      <w:pPr>
        <w:pStyle w:val="16"/>
        <w:tabs>
          <w:tab w:val="clear" w:pos="4153"/>
          <w:tab w:val="clear" w:pos="8306"/>
        </w:tabs>
        <w:spacing w:line="480" w:lineRule="exact"/>
        <w:rPr>
          <w:rFonts w:ascii="仿宋" w:hAnsi="仿宋" w:eastAsia="仿宋" w:cs="仿宋"/>
          <w:color w:val="000000" w:themeColor="text1"/>
          <w:sz w:val="32"/>
          <w:szCs w:val="32"/>
          <w14:textFill>
            <w14:solidFill>
              <w14:schemeClr w14:val="tx1"/>
            </w14:solidFill>
          </w14:textFill>
        </w:rPr>
      </w:pPr>
    </w:p>
    <w:p w14:paraId="7B9FACA5">
      <w:pPr>
        <w:spacing w:line="480" w:lineRule="exact"/>
        <w:ind w:right="640" w:firstLine="5280" w:firstLineChars="1650"/>
        <w:rPr>
          <w:rFonts w:ascii="仿宋" w:hAnsi="仿宋" w:eastAsia="仿宋" w:cs="仿宋"/>
          <w:color w:val="000000" w:themeColor="text1"/>
          <w:kern w:val="1"/>
          <w:sz w:val="32"/>
          <w:szCs w:val="32"/>
          <w14:textFill>
            <w14:solidFill>
              <w14:schemeClr w14:val="tx1"/>
            </w14:solidFill>
          </w14:textFill>
        </w:rPr>
      </w:pPr>
      <w:r>
        <w:rPr>
          <w:rFonts w:hint="eastAsia" w:ascii="仿宋" w:hAnsi="仿宋" w:eastAsia="仿宋" w:cs="仿宋"/>
          <w:color w:val="000000" w:themeColor="text1"/>
          <w:kern w:val="1"/>
          <w:sz w:val="32"/>
          <w:szCs w:val="32"/>
          <w14:textFill>
            <w14:solidFill>
              <w14:schemeClr w14:val="tx1"/>
            </w14:solidFill>
          </w14:textFill>
        </w:rPr>
        <w:t xml:space="preserve">   （盖 章）</w:t>
      </w:r>
    </w:p>
    <w:p w14:paraId="799348BE">
      <w:pPr>
        <w:spacing w:line="480" w:lineRule="exact"/>
        <w:ind w:right="640"/>
        <w:jc w:val="center"/>
        <w:rPr>
          <w:rFonts w:ascii="仿宋" w:hAnsi="仿宋" w:eastAsia="仿宋" w:cs="仿宋"/>
          <w:color w:val="000000" w:themeColor="text1"/>
          <w:kern w:val="1"/>
          <w:sz w:val="32"/>
          <w:szCs w:val="32"/>
          <w14:textFill>
            <w14:solidFill>
              <w14:schemeClr w14:val="tx1"/>
            </w14:solidFill>
          </w14:textFill>
        </w:rPr>
      </w:pPr>
      <w:r>
        <w:rPr>
          <w:rFonts w:hint="eastAsia" w:ascii="仿宋" w:hAnsi="仿宋" w:eastAsia="仿宋" w:cs="仿宋"/>
          <w:color w:val="000000" w:themeColor="text1"/>
          <w:kern w:val="1"/>
          <w:sz w:val="32"/>
          <w:szCs w:val="32"/>
          <w14:textFill>
            <w14:solidFill>
              <w14:schemeClr w14:val="tx1"/>
            </w14:solidFill>
          </w14:textFill>
        </w:rPr>
        <w:t xml:space="preserve">                            2025年9月2</w:t>
      </w:r>
      <w:r>
        <w:rPr>
          <w:rFonts w:hint="eastAsia" w:ascii="仿宋" w:hAnsi="仿宋" w:eastAsia="仿宋" w:cs="仿宋"/>
          <w:color w:val="000000" w:themeColor="text1"/>
          <w:kern w:val="1"/>
          <w:sz w:val="32"/>
          <w:szCs w:val="32"/>
          <w:lang w:val="en-US" w:eastAsia="zh-CN"/>
          <w14:textFill>
            <w14:solidFill>
              <w14:schemeClr w14:val="tx1"/>
            </w14:solidFill>
          </w14:textFill>
        </w:rPr>
        <w:t>3</w:t>
      </w:r>
      <w:r>
        <w:rPr>
          <w:rFonts w:hint="eastAsia" w:ascii="仿宋" w:hAnsi="仿宋" w:eastAsia="仿宋" w:cs="仿宋"/>
          <w:color w:val="000000" w:themeColor="text1"/>
          <w:kern w:val="1"/>
          <w:sz w:val="32"/>
          <w:szCs w:val="32"/>
          <w14:textFill>
            <w14:solidFill>
              <w14:schemeClr w14:val="tx1"/>
            </w14:solidFill>
          </w14:textFill>
        </w:rPr>
        <w:t>日</w:t>
      </w:r>
    </w:p>
    <w:sectPr>
      <w:footerReference r:id="rId6" w:type="first"/>
      <w:headerReference r:id="rId3" w:type="default"/>
      <w:footerReference r:id="rId4" w:type="default"/>
      <w:footerReference r:id="rId5" w:type="even"/>
      <w:pgSz w:w="11906" w:h="16838"/>
      <w:pgMar w:top="1644" w:right="1474" w:bottom="1474"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0B057">
    <w:pPr>
      <w:pStyle w:val="16"/>
      <w:tabs>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67D0C">
    <w:pPr>
      <w:pStyle w:val="16"/>
      <w:framePr w:wrap="around" w:vAnchor="text" w:hAnchor="margin" w:xAlign="center" w:y="1"/>
      <w:tabs>
        <w:tab w:val="clear" w:pos="4153"/>
        <w:tab w:val="clear" w:pos="8306"/>
      </w:tabs>
    </w:pPr>
    <w:r>
      <w:fldChar w:fldCharType="begin"/>
    </w:r>
    <w:r>
      <w:rPr>
        <w:rStyle w:val="24"/>
      </w:rPr>
      <w:instrText xml:space="preserve">PAGE  </w:instrText>
    </w:r>
    <w:r>
      <w:fldChar w:fldCharType="end"/>
    </w:r>
  </w:p>
  <w:p w14:paraId="14164B02">
    <w:pPr>
      <w:pStyle w:val="16"/>
      <w:tabs>
        <w:tab w:val="clear" w:pos="4153"/>
        <w:tab w:val="clear" w:pos="8306"/>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C988F">
    <w:pPr>
      <w:pStyle w:val="16"/>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D2F21">
    <w:pPr>
      <w:pStyle w:val="18"/>
      <w:pBdr>
        <w:bottom w:val="none" w:color="auto" w:sz="0" w:space="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2"/>
  </w:compat>
  <w:rsids>
    <w:rsidRoot w:val="008450D2"/>
    <w:rsid w:val="000126F3"/>
    <w:rsid w:val="000944C6"/>
    <w:rsid w:val="000F6CF5"/>
    <w:rsid w:val="0010787A"/>
    <w:rsid w:val="001151B6"/>
    <w:rsid w:val="00123C4C"/>
    <w:rsid w:val="00154521"/>
    <w:rsid w:val="00302ABC"/>
    <w:rsid w:val="00330F79"/>
    <w:rsid w:val="003542C3"/>
    <w:rsid w:val="00391006"/>
    <w:rsid w:val="003C1A3D"/>
    <w:rsid w:val="003D0E3A"/>
    <w:rsid w:val="00473F06"/>
    <w:rsid w:val="00485E9E"/>
    <w:rsid w:val="00536407"/>
    <w:rsid w:val="006343F9"/>
    <w:rsid w:val="006821D2"/>
    <w:rsid w:val="00693158"/>
    <w:rsid w:val="006F3163"/>
    <w:rsid w:val="007043B9"/>
    <w:rsid w:val="00722FE4"/>
    <w:rsid w:val="00744472"/>
    <w:rsid w:val="00774511"/>
    <w:rsid w:val="0079496A"/>
    <w:rsid w:val="00825165"/>
    <w:rsid w:val="008450D2"/>
    <w:rsid w:val="0085032A"/>
    <w:rsid w:val="008A7152"/>
    <w:rsid w:val="00940B5F"/>
    <w:rsid w:val="00972530"/>
    <w:rsid w:val="009D0A25"/>
    <w:rsid w:val="00AD498E"/>
    <w:rsid w:val="00AF038C"/>
    <w:rsid w:val="00B241CD"/>
    <w:rsid w:val="00BA2442"/>
    <w:rsid w:val="00CD2516"/>
    <w:rsid w:val="00DC401E"/>
    <w:rsid w:val="00E62BBE"/>
    <w:rsid w:val="00E9044C"/>
    <w:rsid w:val="00EA5BF3"/>
    <w:rsid w:val="00EF57A9"/>
    <w:rsid w:val="00F243BE"/>
    <w:rsid w:val="00F3003D"/>
    <w:rsid w:val="00F321F3"/>
    <w:rsid w:val="00FD3907"/>
    <w:rsid w:val="09D0518B"/>
    <w:rsid w:val="0FF53773"/>
    <w:rsid w:val="12C94730"/>
    <w:rsid w:val="13F001AD"/>
    <w:rsid w:val="13F24102"/>
    <w:rsid w:val="17141A67"/>
    <w:rsid w:val="2869704A"/>
    <w:rsid w:val="2EC66E71"/>
    <w:rsid w:val="34260F9E"/>
    <w:rsid w:val="35E433B0"/>
    <w:rsid w:val="36C9721A"/>
    <w:rsid w:val="3D101348"/>
    <w:rsid w:val="43754D8C"/>
    <w:rsid w:val="47595DDA"/>
    <w:rsid w:val="520E3CCE"/>
    <w:rsid w:val="53C573A9"/>
    <w:rsid w:val="562B56CE"/>
    <w:rsid w:val="569869C4"/>
    <w:rsid w:val="5B076B17"/>
    <w:rsid w:val="70051865"/>
    <w:rsid w:val="72EE6C9D"/>
    <w:rsid w:val="7B526CD1"/>
    <w:rsid w:val="7E602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文字"/>
    <w:basedOn w:val="3"/>
    <w:next w:val="1"/>
    <w:qFormat/>
    <w:uiPriority w:val="0"/>
    <w:pPr>
      <w:snapToGrid w:val="0"/>
      <w:spacing w:line="480" w:lineRule="exact"/>
      <w:ind w:firstLine="200" w:firstLineChars="200"/>
    </w:pPr>
    <w:rPr>
      <w:sz w:val="24"/>
      <w:szCs w:val="24"/>
    </w:rPr>
  </w:style>
  <w:style w:type="paragraph" w:customStyle="1" w:styleId="3">
    <w:name w:val="正文缩进1"/>
    <w:basedOn w:val="1"/>
    <w:qFormat/>
    <w:uiPriority w:val="0"/>
    <w:pPr>
      <w:spacing w:line="0" w:lineRule="atLeast"/>
      <w:ind w:firstLine="420"/>
    </w:pPr>
    <w:rPr>
      <w:szCs w:val="20"/>
    </w:rPr>
  </w:style>
  <w:style w:type="paragraph" w:styleId="4">
    <w:name w:val="Normal Indent"/>
    <w:next w:val="1"/>
    <w:qFormat/>
    <w:uiPriority w:val="0"/>
    <w:pPr>
      <w:widowControl w:val="0"/>
      <w:spacing w:line="0" w:lineRule="atLeast"/>
      <w:ind w:firstLine="420"/>
      <w:jc w:val="both"/>
    </w:pPr>
    <w:rPr>
      <w:rFonts w:ascii="Calibri" w:hAnsi="Calibri" w:eastAsia="宋体" w:cs="Times New Roman"/>
      <w:kern w:val="2"/>
      <w:sz w:val="21"/>
      <w:lang w:val="en-US" w:eastAsia="zh-CN" w:bidi="ar-SA"/>
    </w:rPr>
  </w:style>
  <w:style w:type="paragraph" w:styleId="5">
    <w:name w:val="Balloon Text"/>
    <w:basedOn w:val="1"/>
    <w:link w:val="28"/>
    <w:qFormat/>
    <w:uiPriority w:val="0"/>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9">
    <w:name w:val="默认段落字体1"/>
    <w:semiHidden/>
    <w:qFormat/>
    <w:uiPriority w:val="0"/>
  </w:style>
  <w:style w:type="table" w:customStyle="1" w:styleId="10">
    <w:name w:val="普通表格1"/>
    <w:semiHidden/>
    <w:qFormat/>
    <w:uiPriority w:val="0"/>
    <w:tblPr>
      <w:tblCellMar>
        <w:top w:w="0" w:type="dxa"/>
        <w:left w:w="0" w:type="dxa"/>
        <w:bottom w:w="0" w:type="dxa"/>
        <w:right w:w="0" w:type="dxa"/>
      </w:tblCellMar>
    </w:tblPr>
  </w:style>
  <w:style w:type="paragraph" w:customStyle="1" w:styleId="11">
    <w:name w:val="正文文本1"/>
    <w:qFormat/>
    <w:uiPriority w:val="0"/>
    <w:pPr>
      <w:widowControl w:val="0"/>
      <w:spacing w:line="460" w:lineRule="exact"/>
      <w:jc w:val="center"/>
    </w:pPr>
    <w:rPr>
      <w:rFonts w:ascii="宋体" w:hAnsi="Calibri" w:eastAsia="宋体" w:cs="Times New Roman"/>
      <w:spacing w:val="6"/>
      <w:kern w:val="2"/>
      <w:sz w:val="28"/>
      <w:lang w:val="en-US" w:eastAsia="zh-CN" w:bidi="ar-SA"/>
    </w:rPr>
  </w:style>
  <w:style w:type="paragraph" w:customStyle="1" w:styleId="12">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3">
    <w:name w:val="正文文本缩进1"/>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customStyle="1" w:styleId="14">
    <w:name w:val="批注框文本1"/>
    <w:basedOn w:val="1"/>
    <w:link w:val="15"/>
    <w:qFormat/>
    <w:uiPriority w:val="0"/>
    <w:rPr>
      <w:sz w:val="18"/>
      <w:szCs w:val="18"/>
    </w:rPr>
  </w:style>
  <w:style w:type="character" w:customStyle="1" w:styleId="15">
    <w:name w:val="批注框文本 Char"/>
    <w:link w:val="14"/>
    <w:qFormat/>
    <w:uiPriority w:val="0"/>
    <w:rPr>
      <w:rFonts w:ascii="Calibri" w:hAnsi="Calibri"/>
      <w:kern w:val="2"/>
      <w:sz w:val="18"/>
      <w:szCs w:val="18"/>
    </w:rPr>
  </w:style>
  <w:style w:type="paragraph" w:customStyle="1" w:styleId="16">
    <w:name w:val="页脚1"/>
    <w:link w:val="17"/>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character" w:customStyle="1" w:styleId="17">
    <w:name w:val="页脚 Char"/>
    <w:link w:val="16"/>
    <w:qFormat/>
    <w:uiPriority w:val="0"/>
    <w:rPr>
      <w:rFonts w:ascii="Calibri" w:hAnsi="Calibri"/>
      <w:kern w:val="2"/>
      <w:sz w:val="18"/>
      <w:szCs w:val="18"/>
      <w:lang w:bidi="ar-SA"/>
    </w:rPr>
  </w:style>
  <w:style w:type="paragraph" w:customStyle="1" w:styleId="18">
    <w:name w:val="页眉1"/>
    <w:link w:val="19"/>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character" w:customStyle="1" w:styleId="19">
    <w:name w:val="页眉 Char"/>
    <w:link w:val="18"/>
    <w:qFormat/>
    <w:uiPriority w:val="0"/>
    <w:rPr>
      <w:rFonts w:ascii="Calibri" w:hAnsi="Calibri"/>
      <w:kern w:val="2"/>
      <w:sz w:val="18"/>
      <w:szCs w:val="18"/>
      <w:lang w:bidi="ar-SA"/>
    </w:rPr>
  </w:style>
  <w:style w:type="paragraph" w:customStyle="1" w:styleId="20">
    <w:name w:val="普通(网站)1"/>
    <w:basedOn w:val="1"/>
    <w:link w:val="21"/>
    <w:qFormat/>
    <w:uiPriority w:val="0"/>
    <w:pPr>
      <w:widowControl/>
      <w:spacing w:before="100" w:beforeAutospacing="1" w:after="100" w:afterAutospacing="1"/>
      <w:jc w:val="left"/>
    </w:pPr>
    <w:rPr>
      <w:rFonts w:ascii="宋体" w:hAnsi="宋体"/>
      <w:kern w:val="0"/>
      <w:sz w:val="24"/>
    </w:rPr>
  </w:style>
  <w:style w:type="character" w:customStyle="1" w:styleId="21">
    <w:name w:val="普通(网站) Char"/>
    <w:link w:val="20"/>
    <w:qFormat/>
    <w:uiPriority w:val="0"/>
    <w:rPr>
      <w:rFonts w:ascii="宋体" w:hAnsi="宋体"/>
      <w:sz w:val="24"/>
      <w:szCs w:val="24"/>
    </w:rPr>
  </w:style>
  <w:style w:type="paragraph" w:customStyle="1" w:styleId="22">
    <w:name w:val="正文首行缩进1"/>
    <w:qFormat/>
    <w:uiPriority w:val="0"/>
    <w:pPr>
      <w:widowControl w:val="0"/>
      <w:overflowPunct w:val="0"/>
      <w:autoSpaceDE w:val="0"/>
      <w:autoSpaceDN w:val="0"/>
      <w:spacing w:line="360" w:lineRule="auto"/>
      <w:ind w:firstLine="539"/>
      <w:jc w:val="center"/>
    </w:pPr>
    <w:rPr>
      <w:rFonts w:ascii="宋体" w:hAnsi="Calibri" w:eastAsia="宋体" w:cs="Times New Roman"/>
      <w:spacing w:val="6"/>
      <w:sz w:val="28"/>
      <w:lang w:val="en-US" w:eastAsia="zh-CN" w:bidi="ar-SA"/>
    </w:rPr>
  </w:style>
  <w:style w:type="paragraph" w:customStyle="1" w:styleId="23">
    <w:name w:val="正文首行缩进 21"/>
    <w:qFormat/>
    <w:uiPriority w:val="0"/>
    <w:pPr>
      <w:widowControl w:val="0"/>
      <w:spacing w:after="120" w:line="360" w:lineRule="auto"/>
      <w:ind w:left="200" w:leftChars="200" w:firstLine="1446" w:firstLineChars="200"/>
      <w:jc w:val="both"/>
    </w:pPr>
    <w:rPr>
      <w:rFonts w:ascii="Times New Roman" w:hAnsi="Times New Roman" w:eastAsia="宋体" w:cs="Times New Roman"/>
      <w:kern w:val="2"/>
      <w:sz w:val="21"/>
      <w:szCs w:val="24"/>
      <w:lang w:val="en-US" w:eastAsia="zh-CN" w:bidi="ar-SA"/>
    </w:rPr>
  </w:style>
  <w:style w:type="character" w:customStyle="1" w:styleId="24">
    <w:name w:val="页码1"/>
    <w:qFormat/>
    <w:uiPriority w:val="0"/>
  </w:style>
  <w:style w:type="paragraph" w:customStyle="1" w:styleId="25">
    <w:name w:val="Default"/>
    <w:qFormat/>
    <w:uiPriority w:val="0"/>
    <w:pPr>
      <w:widowControl w:val="0"/>
      <w:autoSpaceDE w:val="0"/>
      <w:autoSpaceDN w:val="0"/>
      <w:ind w:firstLine="480"/>
      <w:jc w:val="both"/>
    </w:pPr>
    <w:rPr>
      <w:rFonts w:ascii="Calibri" w:hAnsi="Calibri" w:eastAsia="宋体" w:cs="Times New Roman"/>
      <w:color w:val="000000"/>
      <w:kern w:val="2"/>
      <w:sz w:val="24"/>
      <w:szCs w:val="24"/>
      <w:lang w:val="en-US" w:eastAsia="zh-CN" w:bidi="ar-SA"/>
    </w:rPr>
  </w:style>
  <w:style w:type="paragraph" w:customStyle="1" w:styleId="26">
    <w:name w:val="文本"/>
    <w:qFormat/>
    <w:uiPriority w:val="0"/>
    <w:pPr>
      <w:widowControl w:val="0"/>
      <w:autoSpaceDE w:val="0"/>
      <w:autoSpaceDN w:val="0"/>
      <w:ind w:firstLine="480"/>
      <w:jc w:val="both"/>
    </w:pPr>
    <w:rPr>
      <w:rFonts w:ascii="Calibri" w:hAnsi="Calibri" w:eastAsia="宋体" w:cs="Times New Roman"/>
      <w:kern w:val="2"/>
      <w:sz w:val="21"/>
      <w:szCs w:val="24"/>
      <w:lang w:val="zh-CN" w:eastAsia="zh-CN" w:bidi="ar-SA"/>
    </w:rPr>
  </w:style>
  <w:style w:type="paragraph" w:styleId="27">
    <w:name w:val="List Paragraph"/>
    <w:basedOn w:val="1"/>
    <w:unhideWhenUsed/>
    <w:qFormat/>
    <w:uiPriority w:val="99"/>
    <w:pPr>
      <w:ind w:firstLine="420" w:firstLineChars="200"/>
    </w:pPr>
  </w:style>
  <w:style w:type="character" w:customStyle="1" w:styleId="28">
    <w:name w:val="批注框文本 Char1"/>
    <w:basedOn w:val="8"/>
    <w:link w:val="5"/>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2063</Words>
  <Characters>2340</Characters>
  <Lines>16</Lines>
  <Paragraphs>4</Paragraphs>
  <TotalTime>30</TotalTime>
  <ScaleCrop>false</ScaleCrop>
  <LinksUpToDate>false</LinksUpToDate>
  <CharactersWithSpaces>2372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2025-06-05T06:36:00Z</dcterms:created>
  <dc:creator>Tang</dc:creator>
  <cp:lastModifiedBy>Tang</cp:lastModifiedBy>
  <cp:lastPrinted>2025-09-23T01:24:37Z</cp:lastPrinted>
  <dcterms:modified xsi:type="dcterms:W3CDTF">2025-09-23T02:30:09Z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eyJoZGlkIjoiOTQxZTljMDNlZDQzMGQzNzNiNTcxZDQyMWJlNWYxN2MiLCJ1c2VySWQiOiIxMjk3NjkzMjgwIn0=</vt:lpwstr>
  </property>
  <property fmtid="{D5CDD505-2E9C-101B-9397-08002B2CF9AE}" pid="3" name="KSOProductBuildVer">
    <vt:lpwstr>2052-12.1.0.22529</vt:lpwstr>
  </property>
  <property fmtid="{D5CDD505-2E9C-101B-9397-08002B2CF9AE}" pid="4" name="ICV">
    <vt:lpwstr>4D7891418D5540BDA475EBBD55EA5C65_13</vt:lpwstr>
  </property>
</Properties>
</file>