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9"/>
        <w:jc w:val="center"/>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w:r>
    </w:p>
    <w:p w14:paraId="043ED144">
      <w:pPr>
        <w:pStyle w:val="19"/>
        <w:jc w:val="center"/>
        <w:rPr>
          <w:rFonts w:cs="Times New Roman"/>
          <w:sz w:val="56"/>
          <w:szCs w:val="56"/>
        </w:rPr>
      </w:pPr>
    </w:p>
    <w:p w14:paraId="672BB6FC">
      <w:pPr>
        <w:pStyle w:val="19"/>
        <w:jc w:val="center"/>
        <w:rPr>
          <w:rFonts w:cs="Times New Roman"/>
          <w:sz w:val="84"/>
          <w:szCs w:val="84"/>
        </w:rPr>
      </w:pPr>
    </w:p>
    <w:p w14:paraId="28BB10A1">
      <w:pPr>
        <w:pStyle w:val="19"/>
        <w:jc w:val="center"/>
        <w:rPr>
          <w:rFonts w:cs="Times New Roman"/>
          <w:sz w:val="84"/>
          <w:szCs w:val="84"/>
        </w:rPr>
      </w:pPr>
    </w:p>
    <w:p w14:paraId="520390F1">
      <w:pPr>
        <w:pStyle w:val="19"/>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72"/>
          <w:szCs w:val="72"/>
        </w:rPr>
        <w:t>2024</w:t>
      </w:r>
      <w:r>
        <w:rPr>
          <w:rFonts w:hint="eastAsia" w:ascii="方正小标宋_GBK" w:hAnsi="方正小标宋_GBK" w:eastAsia="方正小标宋_GBK" w:cs="方正小标宋_GBK"/>
          <w:sz w:val="72"/>
          <w:szCs w:val="72"/>
        </w:rPr>
        <w:t>年度</w:t>
      </w:r>
    </w:p>
    <w:p w14:paraId="516FBCFC">
      <w:pPr>
        <w:pStyle w:val="19"/>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湘潭县优化人居环境事务中心</w:t>
      </w:r>
    </w:p>
    <w:p w14:paraId="6F5EFB65">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部门决算</w:t>
      </w:r>
    </w:p>
    <w:p w14:paraId="1BA6C1AD">
      <w:pPr>
        <w:pStyle w:val="19"/>
        <w:jc w:val="center"/>
        <w:rPr>
          <w:rFonts w:ascii="方正小标宋_GBK" w:hAnsi="方正小标宋_GBK" w:eastAsia="方正小标宋_GBK" w:cs="Times New Roman"/>
          <w:sz w:val="56"/>
          <w:szCs w:val="56"/>
        </w:rPr>
      </w:pPr>
    </w:p>
    <w:p w14:paraId="7409AC2F">
      <w:pPr>
        <w:pStyle w:val="19"/>
        <w:jc w:val="center"/>
        <w:rPr>
          <w:rFonts w:cs="Times New Roman"/>
          <w:sz w:val="56"/>
          <w:szCs w:val="56"/>
        </w:rPr>
      </w:pPr>
    </w:p>
    <w:p w14:paraId="672DD629">
      <w:pPr>
        <w:pStyle w:val="19"/>
        <w:jc w:val="center"/>
        <w:rPr>
          <w:rFonts w:cs="Times New Roman"/>
          <w:sz w:val="56"/>
          <w:szCs w:val="56"/>
        </w:rPr>
      </w:pPr>
    </w:p>
    <w:p w14:paraId="28023637">
      <w:pPr>
        <w:pStyle w:val="19"/>
        <w:jc w:val="center"/>
        <w:rPr>
          <w:rFonts w:cs="Times New Roman"/>
          <w:sz w:val="56"/>
          <w:szCs w:val="56"/>
        </w:rPr>
      </w:pPr>
    </w:p>
    <w:p w14:paraId="67DD6656">
      <w:pPr>
        <w:pStyle w:val="19"/>
        <w:jc w:val="center"/>
        <w:rPr>
          <w:rFonts w:cs="Times New Roman"/>
          <w:sz w:val="32"/>
          <w:szCs w:val="32"/>
        </w:rPr>
      </w:pPr>
    </w:p>
    <w:p w14:paraId="37D7969C">
      <w:pPr>
        <w:pStyle w:val="19"/>
        <w:jc w:val="center"/>
        <w:rPr>
          <w:rFonts w:cs="Times New Roman"/>
          <w:sz w:val="32"/>
          <w:szCs w:val="32"/>
        </w:rPr>
      </w:pPr>
    </w:p>
    <w:p w14:paraId="5E3B5FD5">
      <w:pPr>
        <w:pStyle w:val="19"/>
        <w:jc w:val="center"/>
        <w:rPr>
          <w:rFonts w:cs="Times New Roman"/>
          <w:sz w:val="32"/>
          <w:szCs w:val="32"/>
        </w:rPr>
      </w:pPr>
    </w:p>
    <w:p w14:paraId="74F4DC30">
      <w:pPr>
        <w:pStyle w:val="19"/>
        <w:jc w:val="center"/>
        <w:rPr>
          <w:rFonts w:cs="Times New Roman"/>
          <w:sz w:val="32"/>
          <w:szCs w:val="32"/>
        </w:rPr>
      </w:pPr>
    </w:p>
    <w:p w14:paraId="0F4A4356">
      <w:pPr>
        <w:pStyle w:val="19"/>
        <w:jc w:val="center"/>
        <w:rPr>
          <w:rFonts w:cs="Times New Roman"/>
          <w:sz w:val="32"/>
          <w:szCs w:val="32"/>
        </w:rPr>
      </w:pPr>
    </w:p>
    <w:p w14:paraId="3AF31743">
      <w:pPr>
        <w:pStyle w:val="19"/>
        <w:spacing w:line="540" w:lineRule="exact"/>
        <w:jc w:val="center"/>
        <w:rPr>
          <w:rFonts w:cs="Times New Roman"/>
          <w:sz w:val="56"/>
          <w:szCs w:val="56"/>
        </w:rPr>
      </w:pPr>
    </w:p>
    <w:p w14:paraId="1A89514F">
      <w:pPr>
        <w:pStyle w:val="19"/>
        <w:spacing w:line="500" w:lineRule="exact"/>
        <w:jc w:val="both"/>
        <w:rPr>
          <w:rFonts w:cs="Times New Roman"/>
          <w:b/>
          <w:bCs/>
          <w:sz w:val="36"/>
          <w:szCs w:val="36"/>
        </w:rPr>
      </w:pPr>
    </w:p>
    <w:p w14:paraId="79E62098">
      <w:pPr>
        <w:pStyle w:val="19"/>
        <w:spacing w:line="500" w:lineRule="exact"/>
        <w:jc w:val="center"/>
        <w:rPr>
          <w:rFonts w:cs="Times New Roman"/>
          <w:b/>
          <w:bCs/>
          <w:sz w:val="36"/>
          <w:szCs w:val="36"/>
        </w:rPr>
      </w:pPr>
      <w:r>
        <w:rPr>
          <w:rFonts w:hint="eastAsia"/>
          <w:b/>
          <w:bCs/>
          <w:sz w:val="36"/>
          <w:szCs w:val="36"/>
        </w:rPr>
        <w:t>目录</w:t>
      </w:r>
    </w:p>
    <w:p w14:paraId="1A5C69DF">
      <w:pPr>
        <w:pStyle w:val="19"/>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bCs/>
          <w:sz w:val="28"/>
          <w:szCs w:val="28"/>
        </w:rPr>
        <w:t>湘潭县优化人居环境事务中心</w:t>
      </w:r>
      <w:r>
        <w:rPr>
          <w:rFonts w:hint="eastAsia" w:hAnsi="黑体"/>
          <w:sz w:val="28"/>
          <w:szCs w:val="28"/>
        </w:rPr>
        <w:t>概况</w:t>
      </w:r>
    </w:p>
    <w:p w14:paraId="3E003710">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9"/>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9"/>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9"/>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9"/>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9"/>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9"/>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9"/>
        <w:jc w:val="center"/>
        <w:rPr>
          <w:rFonts w:ascii="方正小标宋_GBK" w:hAnsi="方正小标宋_GBK" w:eastAsia="方正小标宋_GBK" w:cs="方正小标宋_GBK"/>
          <w:sz w:val="84"/>
          <w:szCs w:val="84"/>
        </w:rPr>
      </w:pPr>
    </w:p>
    <w:p w14:paraId="6B0F5978">
      <w:pPr>
        <w:pStyle w:val="19"/>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湘潭县优化人居环境事务中心</w:t>
      </w:r>
    </w:p>
    <w:p w14:paraId="2F5E2DF6">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概况</w:t>
      </w:r>
    </w:p>
    <w:p w14:paraId="62831DC0">
      <w:pPr>
        <w:jc w:val="center"/>
        <w:rPr>
          <w:rFonts w:ascii="方正小标宋_GBK" w:hAnsi="方正小标宋_GBK" w:eastAsia="方正小标宋_GBK" w:cs="Times New Roman"/>
          <w:sz w:val="72"/>
          <w:szCs w:val="72"/>
        </w:rPr>
      </w:pPr>
    </w:p>
    <w:p w14:paraId="1995B7A2">
      <w:pPr>
        <w:jc w:val="both"/>
        <w:rPr>
          <w:rFonts w:cs="Times New Roman"/>
          <w:sz w:val="72"/>
          <w:szCs w:val="72"/>
        </w:rPr>
      </w:pPr>
    </w:p>
    <w:p w14:paraId="7511E109">
      <w:pPr>
        <w:pStyle w:val="9"/>
        <w:rPr>
          <w:rFonts w:cs="Times New Roman"/>
          <w:sz w:val="72"/>
          <w:szCs w:val="72"/>
        </w:rPr>
      </w:pPr>
    </w:p>
    <w:p w14:paraId="07A9A76C">
      <w:pPr>
        <w:pStyle w:val="5"/>
      </w:pPr>
    </w:p>
    <w:p w14:paraId="388AF93D">
      <w:pPr>
        <w:pStyle w:val="20"/>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5C157B2C">
      <w:pPr>
        <w:widowControl/>
        <w:numPr>
          <w:ilvl w:val="0"/>
          <w:numId w:val="2"/>
        </w:numPr>
        <w:spacing w:line="600" w:lineRule="exact"/>
        <w:rPr>
          <w:rFonts w:eastAsia="仿宋_GB2312"/>
          <w:sz w:val="32"/>
          <w:szCs w:val="32"/>
        </w:rPr>
      </w:pPr>
      <w:r>
        <w:rPr>
          <w:rFonts w:eastAsia="仿宋_GB2312"/>
          <w:sz w:val="32"/>
          <w:szCs w:val="32"/>
        </w:rPr>
        <w:t>贯彻执行国家、省、市、县有关土地和房屋征收法律法规和政策。拟定全县土地和房屋征收与补偿中长期规划、年度计划和规章制度并监督执行。</w:t>
      </w:r>
    </w:p>
    <w:p w14:paraId="3F232F36">
      <w:pPr>
        <w:widowControl/>
        <w:numPr>
          <w:ilvl w:val="0"/>
          <w:numId w:val="2"/>
        </w:numPr>
        <w:spacing w:line="600" w:lineRule="exact"/>
        <w:rPr>
          <w:rFonts w:eastAsia="仿宋_GB2312"/>
          <w:sz w:val="32"/>
          <w:szCs w:val="32"/>
        </w:rPr>
      </w:pPr>
      <w:r>
        <w:rPr>
          <w:rFonts w:eastAsia="仿宋_GB2312"/>
          <w:sz w:val="32"/>
          <w:szCs w:val="32"/>
        </w:rPr>
        <w:t>宣传解释征地拆迁和房屋征收政策并监督执行。组织开展征地拆迁和房屋征收从业人员业务培训。</w:t>
      </w:r>
    </w:p>
    <w:p w14:paraId="43D6F77E">
      <w:pPr>
        <w:widowControl/>
        <w:numPr>
          <w:ilvl w:val="0"/>
          <w:numId w:val="2"/>
        </w:numPr>
        <w:spacing w:line="600" w:lineRule="exact"/>
        <w:rPr>
          <w:rFonts w:eastAsia="仿宋_GB2312"/>
          <w:sz w:val="32"/>
          <w:szCs w:val="32"/>
        </w:rPr>
      </w:pPr>
      <w:r>
        <w:rPr>
          <w:rFonts w:hint="eastAsia" w:eastAsia="仿宋_GB2312"/>
          <w:sz w:val="32"/>
          <w:szCs w:val="32"/>
        </w:rPr>
        <w:t>管理、指导、监督全县的征地拆迁和房屋征收事务。</w:t>
      </w:r>
    </w:p>
    <w:p w14:paraId="28E1848D">
      <w:pPr>
        <w:widowControl/>
        <w:numPr>
          <w:ilvl w:val="0"/>
          <w:numId w:val="2"/>
        </w:numPr>
        <w:spacing w:line="600" w:lineRule="exact"/>
        <w:rPr>
          <w:rFonts w:eastAsia="仿宋_GB2312"/>
          <w:sz w:val="32"/>
          <w:szCs w:val="32"/>
        </w:rPr>
      </w:pPr>
      <w:r>
        <w:rPr>
          <w:rFonts w:hint="eastAsia" w:eastAsia="仿宋_GB2312"/>
          <w:sz w:val="32"/>
          <w:szCs w:val="32"/>
        </w:rPr>
        <w:t>组织实施全县征地拆迁具体工作，拟定、呈报集体土地征收土地公告、房屋拆迁补偿和安置方案公告，参与集体土地征收及房屋拆迁补偿和安置方案的听证工作，监督、指导补偿和安置方案的实施。</w:t>
      </w:r>
    </w:p>
    <w:p w14:paraId="6EA6DEA6">
      <w:pPr>
        <w:widowControl/>
        <w:numPr>
          <w:ilvl w:val="0"/>
          <w:numId w:val="2"/>
        </w:numPr>
        <w:spacing w:line="600" w:lineRule="exact"/>
        <w:rPr>
          <w:rFonts w:eastAsia="仿宋_GB2312"/>
          <w:sz w:val="32"/>
          <w:szCs w:val="32"/>
        </w:rPr>
      </w:pPr>
      <w:r>
        <w:rPr>
          <w:rFonts w:hint="eastAsia" w:eastAsia="仿宋_GB2312"/>
          <w:sz w:val="32"/>
          <w:szCs w:val="32"/>
        </w:rPr>
        <w:t>组织实施由县人民政府作为征收主体的房屋征收具体工作，拟定和呈报房屋征收决定、房屋征收补偿决定，审核国有土地上房屋征收与补偿方案，评估管理房屋征收工作。</w:t>
      </w:r>
    </w:p>
    <w:p w14:paraId="12B886CF">
      <w:pPr>
        <w:widowControl/>
        <w:numPr>
          <w:ilvl w:val="0"/>
          <w:numId w:val="2"/>
        </w:numPr>
        <w:spacing w:line="600" w:lineRule="exact"/>
        <w:rPr>
          <w:rFonts w:eastAsia="仿宋_GB2312"/>
          <w:sz w:val="32"/>
          <w:szCs w:val="32"/>
        </w:rPr>
      </w:pPr>
      <w:r>
        <w:rPr>
          <w:rFonts w:hint="eastAsia" w:eastAsia="仿宋_GB2312"/>
          <w:sz w:val="32"/>
          <w:szCs w:val="32"/>
        </w:rPr>
        <w:t>负责全县土地和房屋征收补偿资金的监管、调度、拨付、预算和结算审核工作。</w:t>
      </w:r>
    </w:p>
    <w:p w14:paraId="4C187A75">
      <w:pPr>
        <w:widowControl/>
        <w:numPr>
          <w:ilvl w:val="0"/>
          <w:numId w:val="2"/>
        </w:numPr>
        <w:spacing w:line="600" w:lineRule="exact"/>
        <w:rPr>
          <w:rFonts w:eastAsia="仿宋_GB2312"/>
          <w:sz w:val="32"/>
          <w:szCs w:val="32"/>
        </w:rPr>
      </w:pPr>
      <w:r>
        <w:rPr>
          <w:rFonts w:hint="eastAsia" w:eastAsia="仿宋_GB2312"/>
          <w:sz w:val="32"/>
          <w:szCs w:val="32"/>
        </w:rPr>
        <w:t>负责全县土地和房屋征收安置房源的组织、管理、调配和监督工作。</w:t>
      </w:r>
    </w:p>
    <w:p w14:paraId="621EAA60">
      <w:pPr>
        <w:widowControl/>
        <w:numPr>
          <w:ilvl w:val="0"/>
          <w:numId w:val="2"/>
        </w:numPr>
        <w:spacing w:line="600" w:lineRule="exact"/>
        <w:rPr>
          <w:rFonts w:eastAsia="仿宋_GB2312"/>
          <w:sz w:val="32"/>
          <w:szCs w:val="32"/>
        </w:rPr>
      </w:pPr>
      <w:r>
        <w:rPr>
          <w:rFonts w:hint="eastAsia" w:eastAsia="仿宋_GB2312"/>
          <w:sz w:val="32"/>
          <w:szCs w:val="32"/>
        </w:rPr>
        <w:t>负责督促项目指挥部、乡镇和相关部门按时完成土地和房屋征收、安置、腾地等相关工作，协助征收项目限期腾地。</w:t>
      </w:r>
    </w:p>
    <w:p w14:paraId="22033CE8">
      <w:pPr>
        <w:widowControl/>
        <w:numPr>
          <w:ilvl w:val="0"/>
          <w:numId w:val="2"/>
        </w:numPr>
        <w:spacing w:line="600" w:lineRule="exact"/>
        <w:rPr>
          <w:rFonts w:eastAsia="仿宋_GB2312"/>
          <w:sz w:val="32"/>
          <w:szCs w:val="32"/>
        </w:rPr>
      </w:pPr>
      <w:r>
        <w:rPr>
          <w:rFonts w:hint="eastAsia" w:eastAsia="仿宋_GB2312"/>
          <w:sz w:val="32"/>
          <w:szCs w:val="32"/>
        </w:rPr>
        <w:t>承担县委、县人民政府交办的其他工作任务。</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456707D0">
      <w:pPr>
        <w:widowControl/>
        <w:spacing w:line="600" w:lineRule="exact"/>
        <w:rPr>
          <w:rFonts w:hint="eastAsia" w:eastAsia="仿宋_GB2312"/>
          <w:sz w:val="32"/>
          <w:szCs w:val="32"/>
        </w:rPr>
      </w:pPr>
      <w:r>
        <w:rPr>
          <w:rFonts w:hint="eastAsia" w:ascii="Times New Roman" w:hAnsi="Times New Roman" w:eastAsia="仿宋_GB2312" w:cs="仿宋_GB2312"/>
          <w:kern w:val="0"/>
          <w:sz w:val="32"/>
          <w:szCs w:val="32"/>
        </w:rPr>
        <w:t>（一）内设机构设置。</w:t>
      </w:r>
      <w:r>
        <w:rPr>
          <w:rFonts w:hint="eastAsia" w:eastAsia="仿宋_GB2312"/>
          <w:sz w:val="32"/>
          <w:szCs w:val="32"/>
        </w:rPr>
        <w:t>湘潭县优化人居环境事务中心成立于2019年3月，系湘潭县人民政府直属公益一类正科级事业单位，是县人民政府确定的集体土地征收与房屋拆迁补偿安置和国有土地上房屋征收与补偿部门。为财政独立核算单位，下设4个股室</w:t>
      </w:r>
      <w:r>
        <w:rPr>
          <w:rFonts w:hint="eastAsia" w:eastAsia="仿宋_GB2312"/>
          <w:sz w:val="32"/>
          <w:szCs w:val="32"/>
          <w:lang w:val="en-US" w:eastAsia="zh-CN"/>
        </w:rPr>
        <w:t>--</w:t>
      </w:r>
      <w:r>
        <w:rPr>
          <w:rFonts w:hint="eastAsia" w:eastAsia="仿宋_GB2312"/>
          <w:sz w:val="32"/>
          <w:szCs w:val="32"/>
        </w:rPr>
        <w:t>党政综合办公室、财务股、政策业务股、稽核股</w:t>
      </w:r>
      <w:r>
        <w:rPr>
          <w:rFonts w:hint="eastAsia" w:eastAsia="仿宋_GB2312"/>
          <w:sz w:val="32"/>
          <w:szCs w:val="32"/>
          <w:lang w:eastAsia="zh-CN"/>
        </w:rPr>
        <w:t>，核定全额事业</w:t>
      </w:r>
      <w:r>
        <w:rPr>
          <w:rFonts w:hint="eastAsia" w:eastAsia="仿宋_GB2312"/>
          <w:sz w:val="32"/>
          <w:szCs w:val="32"/>
        </w:rPr>
        <w:t>编制1</w:t>
      </w:r>
      <w:r>
        <w:rPr>
          <w:rFonts w:hint="eastAsia" w:eastAsia="仿宋_GB2312"/>
          <w:sz w:val="32"/>
          <w:szCs w:val="32"/>
          <w:lang w:val="en-US" w:eastAsia="zh-CN"/>
        </w:rPr>
        <w:t>2</w:t>
      </w:r>
      <w:r>
        <w:rPr>
          <w:rFonts w:hint="eastAsia" w:eastAsia="仿宋_GB2312"/>
          <w:sz w:val="32"/>
          <w:szCs w:val="32"/>
        </w:rPr>
        <w:t>人，实有在职</w:t>
      </w:r>
      <w:r>
        <w:rPr>
          <w:rFonts w:hint="eastAsia" w:eastAsia="仿宋_GB2312"/>
          <w:sz w:val="32"/>
          <w:szCs w:val="32"/>
          <w:lang w:eastAsia="zh-CN"/>
        </w:rPr>
        <w:t>在编</w:t>
      </w:r>
      <w:r>
        <w:rPr>
          <w:rFonts w:hint="eastAsia" w:eastAsia="仿宋_GB2312"/>
          <w:sz w:val="32"/>
          <w:szCs w:val="32"/>
        </w:rPr>
        <w:t>人数1</w:t>
      </w:r>
      <w:r>
        <w:rPr>
          <w:rFonts w:hint="eastAsia" w:eastAsia="仿宋_GB2312"/>
          <w:sz w:val="32"/>
          <w:szCs w:val="32"/>
          <w:lang w:val="en-US" w:eastAsia="zh-CN"/>
        </w:rPr>
        <w:t>2</w:t>
      </w:r>
      <w:r>
        <w:rPr>
          <w:rFonts w:hint="eastAsia" w:eastAsia="仿宋_GB2312"/>
          <w:sz w:val="32"/>
          <w:szCs w:val="32"/>
        </w:rPr>
        <w:t>人</w:t>
      </w:r>
      <w:r>
        <w:rPr>
          <w:rFonts w:hint="eastAsia" w:eastAsia="仿宋_GB2312"/>
          <w:sz w:val="32"/>
          <w:szCs w:val="32"/>
          <w:lang w:eastAsia="zh-CN"/>
        </w:rPr>
        <w:t>；</w:t>
      </w:r>
      <w:r>
        <w:rPr>
          <w:rFonts w:hint="eastAsia" w:eastAsia="仿宋_GB2312"/>
          <w:sz w:val="32"/>
          <w:szCs w:val="32"/>
          <w:lang w:val="en-US" w:eastAsia="zh-CN"/>
        </w:rPr>
        <w:t>1个二级机构--征拆事务所，为</w:t>
      </w:r>
      <w:r>
        <w:rPr>
          <w:rFonts w:hint="eastAsia" w:eastAsia="仿宋_GB2312"/>
          <w:sz w:val="32"/>
          <w:szCs w:val="32"/>
        </w:rPr>
        <w:t>公益一类事业单位，股级，核定自收自支事业编制5名，</w:t>
      </w:r>
      <w:r>
        <w:rPr>
          <w:rFonts w:hint="eastAsia" w:eastAsia="仿宋_GB2312"/>
          <w:sz w:val="32"/>
          <w:szCs w:val="32"/>
          <w:lang w:eastAsia="zh-CN"/>
        </w:rPr>
        <w:t>实有</w:t>
      </w:r>
      <w:r>
        <w:rPr>
          <w:rFonts w:hint="eastAsia" w:eastAsia="仿宋_GB2312"/>
          <w:sz w:val="32"/>
          <w:szCs w:val="32"/>
        </w:rPr>
        <w:t>在职在编人员</w:t>
      </w:r>
      <w:r>
        <w:rPr>
          <w:rFonts w:hint="eastAsia" w:eastAsia="仿宋_GB2312"/>
          <w:sz w:val="32"/>
          <w:szCs w:val="32"/>
          <w:lang w:val="en-US" w:eastAsia="zh-CN"/>
        </w:rPr>
        <w:t>5</w:t>
      </w:r>
      <w:r>
        <w:rPr>
          <w:rFonts w:hint="eastAsia" w:eastAsia="仿宋_GB2312"/>
          <w:sz w:val="32"/>
          <w:szCs w:val="32"/>
        </w:rPr>
        <w:t>人。</w:t>
      </w:r>
    </w:p>
    <w:p w14:paraId="75465037">
      <w:pPr>
        <w:widowControl/>
        <w:spacing w:line="600" w:lineRule="exact"/>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仿宋_GB2312"/>
          <w:kern w:val="0"/>
          <w:sz w:val="32"/>
          <w:szCs w:val="32"/>
        </w:rPr>
        <w:t>（二）决算单位构成。</w:t>
      </w:r>
      <w:r>
        <w:rPr>
          <w:rFonts w:hint="eastAsia" w:ascii="Times New Roman" w:hAnsi="Times New Roman" w:eastAsia="仿宋_GB2312" w:cs="仿宋_GB2312"/>
          <w:bCs/>
          <w:kern w:val="0"/>
          <w:sz w:val="32"/>
          <w:szCs w:val="32"/>
        </w:rPr>
        <w:t>湘潭</w:t>
      </w:r>
      <w:r>
        <w:rPr>
          <w:rFonts w:hint="eastAsia" w:eastAsia="仿宋_GB2312"/>
          <w:sz w:val="32"/>
          <w:szCs w:val="32"/>
        </w:rPr>
        <w:t>县优化人居环境事务中心</w:t>
      </w:r>
      <w:r>
        <w:rPr>
          <w:rFonts w:ascii="Times New Roman" w:hAnsi="Times New Roman" w:eastAsia="仿宋_GB2312" w:cs="Times New Roman"/>
          <w:kern w:val="0"/>
          <w:sz w:val="32"/>
          <w:szCs w:val="32"/>
        </w:rPr>
        <w:t>2024</w:t>
      </w:r>
      <w:r>
        <w:rPr>
          <w:rFonts w:hint="eastAsia" w:ascii="Times New Roman" w:hAnsi="Times New Roman" w:eastAsia="仿宋_GB2312" w:cs="仿宋_GB2312"/>
          <w:kern w:val="0"/>
          <w:sz w:val="32"/>
          <w:szCs w:val="32"/>
        </w:rPr>
        <w:t>年部门决算汇总公开单位构成包括：</w:t>
      </w:r>
      <w:r>
        <w:rPr>
          <w:rFonts w:hint="eastAsia" w:ascii="Times New Roman" w:hAnsi="Times New Roman" w:eastAsia="仿宋_GB2312" w:cs="仿宋_GB2312"/>
          <w:bCs/>
          <w:kern w:val="0"/>
          <w:sz w:val="32"/>
          <w:szCs w:val="32"/>
        </w:rPr>
        <w:t>湘潭</w:t>
      </w:r>
      <w:r>
        <w:rPr>
          <w:rFonts w:hint="eastAsia" w:eastAsia="仿宋_GB2312"/>
          <w:sz w:val="32"/>
          <w:szCs w:val="32"/>
        </w:rPr>
        <w:t>县优化人居环境事务中心</w:t>
      </w:r>
      <w:r>
        <w:rPr>
          <w:rFonts w:hint="eastAsia" w:ascii="Times New Roman" w:hAnsi="Times New Roman" w:eastAsia="仿宋_GB2312" w:cs="仿宋_GB2312"/>
          <w:kern w:val="0"/>
          <w:sz w:val="32"/>
          <w:szCs w:val="32"/>
        </w:rPr>
        <w:t>本级</w:t>
      </w:r>
      <w:r>
        <w:rPr>
          <w:rFonts w:hint="eastAsia" w:ascii="Times New Roman" w:hAnsi="Times New Roman" w:eastAsia="仿宋_GB2312" w:cs="仿宋_GB2312"/>
          <w:kern w:val="0"/>
          <w:sz w:val="32"/>
          <w:szCs w:val="32"/>
          <w:lang w:eastAsia="zh-CN"/>
        </w:rPr>
        <w:t>。</w:t>
      </w:r>
    </w:p>
    <w:p w14:paraId="7026CD89">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1494C707">
      <w:pPr>
        <w:jc w:val="center"/>
        <w:rPr>
          <w:rFonts w:ascii="黑体" w:hAnsi="黑体" w:eastAsia="黑体" w:cs="Times New Roman"/>
          <w:sz w:val="28"/>
          <w:szCs w:val="28"/>
        </w:rPr>
      </w:pPr>
    </w:p>
    <w:p w14:paraId="7BF437DB">
      <w:pPr>
        <w:jc w:val="center"/>
        <w:rPr>
          <w:rFonts w:ascii="黑体" w:hAnsi="黑体" w:eastAsia="黑体" w:cs="Times New Roman"/>
          <w:sz w:val="28"/>
          <w:szCs w:val="28"/>
        </w:rPr>
      </w:pPr>
    </w:p>
    <w:p w14:paraId="3BD05EA6">
      <w:pPr>
        <w:jc w:val="center"/>
        <w:rPr>
          <w:rFonts w:cs="Times New Roman"/>
          <w:sz w:val="72"/>
          <w:szCs w:val="72"/>
        </w:rPr>
      </w:pPr>
    </w:p>
    <w:p w14:paraId="4240FB51">
      <w:pPr>
        <w:jc w:val="center"/>
        <w:rPr>
          <w:rFonts w:cs="Times New Roman"/>
          <w:sz w:val="72"/>
          <w:szCs w:val="72"/>
        </w:rPr>
      </w:pPr>
    </w:p>
    <w:p w14:paraId="2071F1CE">
      <w:pPr>
        <w:jc w:val="center"/>
        <w:rPr>
          <w:rFonts w:cs="Times New Roman"/>
          <w:sz w:val="72"/>
          <w:szCs w:val="72"/>
        </w:rPr>
      </w:pPr>
    </w:p>
    <w:p w14:paraId="6F1DA3A4">
      <w:pPr>
        <w:jc w:val="center"/>
        <w:rPr>
          <w:rFonts w:cs="Times New Roman"/>
          <w:sz w:val="72"/>
          <w:szCs w:val="72"/>
        </w:rPr>
      </w:pPr>
    </w:p>
    <w:p w14:paraId="2C553E63">
      <w:pPr>
        <w:pStyle w:val="19"/>
        <w:jc w:val="center"/>
        <w:rPr>
          <w:rFonts w:ascii="方正小标宋_GBK" w:hAnsi="方正小标宋_GBK" w:eastAsia="方正小标宋_GBK" w:cs="Times New Roman"/>
          <w:sz w:val="84"/>
          <w:szCs w:val="84"/>
        </w:rPr>
      </w:pPr>
    </w:p>
    <w:p w14:paraId="76F79887">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9"/>
        <w:jc w:val="center"/>
        <w:rPr>
          <w:rFonts w:ascii="方正小标宋_GBK" w:hAnsi="方正小标宋_GBK" w:eastAsia="方正小标宋_GBK" w:cs="Times New Roman"/>
          <w:sz w:val="84"/>
          <w:szCs w:val="84"/>
        </w:rPr>
      </w:pPr>
    </w:p>
    <w:p w14:paraId="5D1D30EB">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11"/>
        <w:tblW w:w="15426" w:type="dxa"/>
        <w:tblInd w:w="2" w:type="dxa"/>
        <w:tblLayout w:type="fixed"/>
        <w:tblCellMar>
          <w:top w:w="0" w:type="dxa"/>
          <w:left w:w="0" w:type="dxa"/>
          <w:bottom w:w="0" w:type="dxa"/>
          <w:right w:w="0" w:type="dxa"/>
        </w:tblCellMar>
      </w:tblPr>
      <w:tblGrid>
        <w:gridCol w:w="297"/>
        <w:gridCol w:w="833"/>
        <w:gridCol w:w="2568"/>
        <w:gridCol w:w="1764"/>
        <w:gridCol w:w="1716"/>
        <w:gridCol w:w="1680"/>
        <w:gridCol w:w="1884"/>
        <w:gridCol w:w="1644"/>
        <w:gridCol w:w="1536"/>
        <w:gridCol w:w="1504"/>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11"/>
              <w:tblW w:w="15396" w:type="dxa"/>
              <w:tblInd w:w="0" w:type="dxa"/>
              <w:tblLayout w:type="fixed"/>
              <w:tblCellMar>
                <w:top w:w="0" w:type="dxa"/>
                <w:left w:w="108" w:type="dxa"/>
                <w:bottom w:w="0" w:type="dxa"/>
                <w:right w:w="108" w:type="dxa"/>
              </w:tblCellMar>
            </w:tblPr>
            <w:tblGrid>
              <w:gridCol w:w="4441"/>
              <w:gridCol w:w="603"/>
              <w:gridCol w:w="1399"/>
              <w:gridCol w:w="4716"/>
              <w:gridCol w:w="1224"/>
              <w:gridCol w:w="713"/>
              <w:gridCol w:w="455"/>
              <w:gridCol w:w="1845"/>
            </w:tblGrid>
            <w:tr w14:paraId="04E82255">
              <w:tblPrEx>
                <w:tblCellMar>
                  <w:top w:w="0" w:type="dxa"/>
                  <w:left w:w="108" w:type="dxa"/>
                  <w:bottom w:w="0" w:type="dxa"/>
                  <w:right w:w="108" w:type="dxa"/>
                </w:tblCellMar>
              </w:tblPrEx>
              <w:trPr>
                <w:trHeight w:val="304" w:hRule="atLeast"/>
              </w:trPr>
              <w:tc>
                <w:tcPr>
                  <w:tcW w:w="4441"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603"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399"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4716"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937"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2300"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441"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603"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399"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716"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937"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300"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441"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603"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399"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716"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937"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300"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1845" w:type="dxa"/>
                <w:trHeight w:val="448" w:hRule="atLeast"/>
              </w:trPr>
              <w:tc>
                <w:tcPr>
                  <w:tcW w:w="644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108"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1845" w:type="dxa"/>
                <w:trHeight w:val="62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16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3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116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41F284D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235.97</w:t>
                  </w: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299.13</w:t>
                  </w:r>
                </w:p>
              </w:tc>
            </w:tr>
            <w:tr w14:paraId="716B1A90">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14FC7EB">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center"/>
                    <w:rPr>
                      <w:rFonts w:ascii="宋体" w:cs="Times New Roman"/>
                      <w:color w:val="000000"/>
                      <w:sz w:val="22"/>
                      <w:szCs w:val="22"/>
                    </w:rPr>
                  </w:pPr>
                </w:p>
              </w:tc>
            </w:tr>
            <w:tr w14:paraId="55248751">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6952DEE">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eastAsia="宋体" w:cs="宋体"/>
                      <w:color w:val="000000"/>
                      <w:kern w:val="0"/>
                      <w:sz w:val="24"/>
                      <w:szCs w:val="24"/>
                      <w:lang w:bidi="ar"/>
                    </w:rPr>
                    <w:t>……</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center"/>
                    <w:rPr>
                      <w:rFonts w:ascii="宋体" w:cs="Times New Roman"/>
                      <w:color w:val="000000"/>
                      <w:sz w:val="22"/>
                      <w:szCs w:val="22"/>
                    </w:rPr>
                  </w:pPr>
                </w:p>
              </w:tc>
            </w:tr>
            <w:tr w14:paraId="00665E84">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2876D83">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eastAsia="宋体" w:cs="宋体"/>
                      <w:color w:val="000000"/>
                      <w:kern w:val="0"/>
                      <w:sz w:val="22"/>
                      <w:lang w:bidi="ar"/>
                    </w:rPr>
                    <w:t>八、社会保障和就业支出</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13.75</w:t>
                  </w:r>
                </w:p>
              </w:tc>
            </w:tr>
            <w:tr w14:paraId="53BD995E">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0BB0B7A">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163.37</w:t>
                  </w: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eastAsia="宋体" w:cs="宋体"/>
                      <w:color w:val="000000"/>
                      <w:kern w:val="0"/>
                      <w:sz w:val="22"/>
                      <w:lang w:bidi="ar"/>
                    </w:rPr>
                    <w:t>九、卫生健康支出</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8.03</w:t>
                  </w:r>
                </w:p>
              </w:tc>
            </w:tr>
            <w:tr w14:paraId="4D7679AF">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4E852C85">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十二、农林水支出</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70.53</w:t>
                  </w:r>
                </w:p>
              </w:tc>
            </w:tr>
            <w:tr w14:paraId="7C37FBF9">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541D775">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十九、住房保障支出</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10.67</w:t>
                  </w:r>
                </w:p>
              </w:tc>
            </w:tr>
            <w:tr w14:paraId="66B2759B">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A89D36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2.77</w:t>
                  </w:r>
                </w:p>
              </w:tc>
              <w:tc>
                <w:tcPr>
                  <w:tcW w:w="4716"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ascii="宋体" w:cs="Times New Roman"/>
                      <w:color w:val="000000"/>
                      <w:sz w:val="22"/>
                      <w:szCs w:val="22"/>
                    </w:rPr>
                  </w:pPr>
                  <w:r>
                    <w:rPr>
                      <w:rFonts w:hint="eastAsia" w:ascii="宋体" w:hAnsi="宋体" w:eastAsia="宋体" w:cs="宋体"/>
                      <w:color w:val="000000"/>
                      <w:kern w:val="0"/>
                      <w:sz w:val="24"/>
                      <w:szCs w:val="24"/>
                      <w:lang w:bidi="ar"/>
                    </w:rPr>
                    <w:t>……</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center"/>
                    <w:rPr>
                      <w:rFonts w:ascii="宋体" w:cs="Times New Roman"/>
                      <w:color w:val="000000"/>
                      <w:sz w:val="22"/>
                      <w:szCs w:val="22"/>
                    </w:rPr>
                  </w:pPr>
                </w:p>
              </w:tc>
            </w:tr>
            <w:tr w14:paraId="025BCBBD">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281705AB">
                  <w:pPr>
                    <w:jc w:val="right"/>
                    <w:rPr>
                      <w:rFonts w:ascii="宋体" w:cs="Times New Roman"/>
                      <w:color w:val="000000"/>
                      <w:sz w:val="20"/>
                      <w:szCs w:val="20"/>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E5CFE79">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noWrap/>
                  <w:vAlign w:val="center"/>
                </w:tcPr>
                <w:p w14:paraId="011A13D6">
                  <w:pPr>
                    <w:jc w:val="right"/>
                    <w:rPr>
                      <w:rFonts w:ascii="宋体" w:cs="Times New Roman"/>
                      <w:color w:val="000000"/>
                      <w:sz w:val="20"/>
                      <w:szCs w:val="20"/>
                    </w:rPr>
                  </w:pP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widowControl/>
                    <w:jc w:val="center"/>
                    <w:textAlignment w:val="center"/>
                    <w:rPr>
                      <w:rFonts w:ascii="宋体" w:cs="Times New Roman"/>
                      <w:color w:val="000000"/>
                      <w:sz w:val="22"/>
                      <w:szCs w:val="22"/>
                    </w:rPr>
                  </w:pPr>
                  <w:r>
                    <w:rPr>
                      <w:rFonts w:ascii="宋体" w:hAnsi="宋体" w:cs="宋体"/>
                      <w:color w:val="000000"/>
                      <w:kern w:val="0"/>
                      <w:sz w:val="22"/>
                      <w:szCs w:val="22"/>
                    </w:rPr>
                    <w:t>22</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jc w:val="center"/>
                    <w:rPr>
                      <w:rFonts w:ascii="宋体" w:cs="Times New Roman"/>
                      <w:b/>
                      <w:bCs/>
                      <w:color w:val="000000"/>
                      <w:sz w:val="22"/>
                      <w:szCs w:val="22"/>
                    </w:rPr>
                  </w:pPr>
                </w:p>
              </w:tc>
            </w:tr>
            <w:tr w14:paraId="6F1DD4F3">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621654DC">
                  <w:pPr>
                    <w:jc w:val="center"/>
                    <w:rPr>
                      <w:rFonts w:ascii="宋体" w:cs="Times New Roman"/>
                      <w:color w:val="000000"/>
                      <w:sz w:val="22"/>
                      <w:szCs w:val="22"/>
                    </w:rPr>
                  </w:pPr>
                  <w:r>
                    <w:rPr>
                      <w:rFonts w:hint="eastAsia" w:ascii="宋体" w:cs="Times New Roman"/>
                      <w:color w:val="000000"/>
                      <w:sz w:val="22"/>
                      <w:szCs w:val="22"/>
                      <w:lang w:val="en-US" w:eastAsia="zh-CN"/>
                    </w:rPr>
                    <w:t>402.12</w:t>
                  </w:r>
                </w:p>
              </w:tc>
              <w:tc>
                <w:tcPr>
                  <w:tcW w:w="4716"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402.12</w:t>
                  </w:r>
                </w:p>
              </w:tc>
            </w:tr>
            <w:tr w14:paraId="3DB41C0C">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1C99836F">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jc w:val="center"/>
                    <w:rPr>
                      <w:rFonts w:ascii="宋体" w:cs="Times New Roman"/>
                      <w:color w:val="000000"/>
                      <w:sz w:val="22"/>
                      <w:szCs w:val="22"/>
                    </w:rPr>
                  </w:pPr>
                </w:p>
              </w:tc>
            </w:tr>
            <w:tr w14:paraId="346F4959">
              <w:tblPrEx>
                <w:tblCellMar>
                  <w:top w:w="0" w:type="dxa"/>
                  <w:left w:w="108" w:type="dxa"/>
                  <w:bottom w:w="0" w:type="dxa"/>
                  <w:right w:w="108" w:type="dxa"/>
                </w:tblCellMar>
              </w:tblPrEx>
              <w:trPr>
                <w:gridAfter w:val="1"/>
                <w:wAfter w:w="1845" w:type="dxa"/>
                <w:trHeight w:val="628" w:hRule="atLeast"/>
              </w:trPr>
              <w:tc>
                <w:tcPr>
                  <w:tcW w:w="4441"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2C626843">
                  <w:pPr>
                    <w:jc w:val="center"/>
                    <w:rPr>
                      <w:rFonts w:ascii="宋体" w:cs="Times New Roman"/>
                      <w:color w:val="000000"/>
                      <w:sz w:val="22"/>
                      <w:szCs w:val="22"/>
                    </w:rPr>
                  </w:pPr>
                </w:p>
              </w:tc>
              <w:tc>
                <w:tcPr>
                  <w:tcW w:w="4716"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jc w:val="center"/>
                    <w:rPr>
                      <w:rFonts w:ascii="宋体" w:cs="Times New Roman"/>
                      <w:color w:val="000000"/>
                      <w:sz w:val="22"/>
                      <w:szCs w:val="22"/>
                    </w:rPr>
                  </w:pPr>
                </w:p>
              </w:tc>
            </w:tr>
            <w:tr w14:paraId="50C7D5A9">
              <w:tblPrEx>
                <w:tblCellMar>
                  <w:top w:w="0" w:type="dxa"/>
                  <w:left w:w="108" w:type="dxa"/>
                  <w:bottom w:w="0" w:type="dxa"/>
                  <w:right w:w="108" w:type="dxa"/>
                </w:tblCellMar>
              </w:tblPrEx>
              <w:trPr>
                <w:gridAfter w:val="1"/>
                <w:wAfter w:w="1845" w:type="dxa"/>
                <w:trHeight w:val="448" w:hRule="atLeast"/>
              </w:trPr>
              <w:tc>
                <w:tcPr>
                  <w:tcW w:w="4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DC85F75">
                  <w:pPr>
                    <w:jc w:val="center"/>
                    <w:rPr>
                      <w:rFonts w:ascii="宋体" w:cs="Times New Roman"/>
                      <w:color w:val="000000"/>
                      <w:sz w:val="22"/>
                      <w:szCs w:val="22"/>
                    </w:rPr>
                  </w:pPr>
                  <w:r>
                    <w:rPr>
                      <w:rFonts w:hint="eastAsia" w:ascii="宋体" w:cs="Times New Roman"/>
                      <w:color w:val="000000"/>
                      <w:sz w:val="22"/>
                      <w:szCs w:val="22"/>
                      <w:lang w:val="en-US" w:eastAsia="zh-CN"/>
                    </w:rPr>
                    <w:t>402.12</w:t>
                  </w:r>
                </w:p>
              </w:tc>
              <w:tc>
                <w:tcPr>
                  <w:tcW w:w="47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1168"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jc w:val="center"/>
                    <w:rPr>
                      <w:rFonts w:ascii="宋体" w:cs="Times New Roman"/>
                      <w:b/>
                      <w:bCs/>
                      <w:color w:val="000000"/>
                      <w:sz w:val="22"/>
                      <w:szCs w:val="22"/>
                    </w:rPr>
                  </w:pPr>
                  <w:r>
                    <w:rPr>
                      <w:rFonts w:hint="eastAsia" w:ascii="宋体" w:cs="Times New Roman"/>
                      <w:color w:val="000000"/>
                      <w:sz w:val="22"/>
                      <w:szCs w:val="22"/>
                      <w:lang w:val="en-US" w:eastAsia="zh-CN"/>
                    </w:rPr>
                    <w:t>402.12</w:t>
                  </w:r>
                </w:p>
              </w:tc>
            </w:tr>
            <w:tr w14:paraId="41C74E8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297"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833"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2568"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1764"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1716"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680"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884"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644"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1504"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11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rPr>
              <w:t>部门：</w:t>
            </w:r>
          </w:p>
        </w:tc>
        <w:tc>
          <w:tcPr>
            <w:tcW w:w="2568"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right"/>
              <w:rPr>
                <w:rFonts w:ascii="宋体" w:cs="Times New Roman"/>
                <w:sz w:val="24"/>
                <w:szCs w:val="24"/>
              </w:rPr>
            </w:pPr>
            <w:r>
              <w:rPr>
                <w:rFonts w:hint="eastAsia" w:cs="宋体"/>
              </w:rPr>
              <w:t>　</w:t>
            </w:r>
          </w:p>
        </w:tc>
        <w:tc>
          <w:tcPr>
            <w:tcW w:w="1764"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1716"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680"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884"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644"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1504"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369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w:t>
            </w:r>
            <w:r>
              <w:t xml:space="preserve">    </w:t>
            </w:r>
            <w:r>
              <w:rPr>
                <w:rFonts w:hint="eastAsia" w:cs="宋体"/>
              </w:rPr>
              <w:t>目</w:t>
            </w:r>
          </w:p>
        </w:tc>
        <w:tc>
          <w:tcPr>
            <w:tcW w:w="176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center"/>
              <w:rPr>
                <w:rFonts w:ascii="宋体" w:cs="Times New Roman"/>
                <w:sz w:val="24"/>
                <w:szCs w:val="24"/>
              </w:rPr>
            </w:pPr>
            <w:r>
              <w:rPr>
                <w:rFonts w:hint="eastAsia" w:cs="宋体"/>
              </w:rPr>
              <w:t>本年收入合计</w:t>
            </w:r>
          </w:p>
        </w:tc>
        <w:tc>
          <w:tcPr>
            <w:tcW w:w="1716"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88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64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15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113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256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1764" w:type="dxa"/>
            <w:vMerge w:val="continue"/>
            <w:tcBorders>
              <w:top w:val="single" w:color="auto" w:sz="4" w:space="0"/>
              <w:left w:val="single" w:color="auto" w:sz="4" w:space="0"/>
              <w:bottom w:val="single" w:color="auto" w:sz="4" w:space="0"/>
              <w:right w:val="single" w:color="auto" w:sz="4" w:space="0"/>
            </w:tcBorders>
            <w:vAlign w:val="center"/>
          </w:tcPr>
          <w:p w14:paraId="491372AA">
            <w:pPr>
              <w:rPr>
                <w:rFonts w:ascii="宋体" w:cs="Times New Roman"/>
                <w:sz w:val="24"/>
                <w:szCs w:val="24"/>
              </w:rPr>
            </w:pPr>
          </w:p>
        </w:tc>
        <w:tc>
          <w:tcPr>
            <w:tcW w:w="1716"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1884"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1504"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blPrEx>
          <w:tblCellMar>
            <w:top w:w="0" w:type="dxa"/>
            <w:left w:w="0" w:type="dxa"/>
            <w:bottom w:w="0" w:type="dxa"/>
            <w:right w:w="0" w:type="dxa"/>
          </w:tblCellMar>
        </w:tblPrEx>
        <w:trPr>
          <w:trHeight w:val="450" w:hRule="atLeast"/>
        </w:trPr>
        <w:tc>
          <w:tcPr>
            <w:tcW w:w="1130"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2568"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1764" w:type="dxa"/>
            <w:vMerge w:val="continue"/>
            <w:tcBorders>
              <w:top w:val="single" w:color="auto" w:sz="4" w:space="0"/>
              <w:left w:val="single" w:color="auto" w:sz="4" w:space="0"/>
              <w:bottom w:val="single" w:color="auto" w:sz="4" w:space="0"/>
              <w:right w:val="single" w:color="auto" w:sz="4" w:space="0"/>
            </w:tcBorders>
            <w:vAlign w:val="center"/>
          </w:tcPr>
          <w:p w14:paraId="00346A58">
            <w:pPr>
              <w:rPr>
                <w:rFonts w:ascii="宋体" w:cs="Times New Roman"/>
                <w:sz w:val="24"/>
                <w:szCs w:val="24"/>
              </w:rPr>
            </w:pPr>
          </w:p>
        </w:tc>
        <w:tc>
          <w:tcPr>
            <w:tcW w:w="1716"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1884"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1504"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blPrEx>
          <w:tblCellMar>
            <w:top w:w="0" w:type="dxa"/>
            <w:left w:w="0" w:type="dxa"/>
            <w:bottom w:w="0" w:type="dxa"/>
            <w:right w:w="0" w:type="dxa"/>
          </w:tblCellMar>
        </w:tblPrEx>
        <w:trPr>
          <w:trHeight w:val="450" w:hRule="atLeast"/>
        </w:trPr>
        <w:tc>
          <w:tcPr>
            <w:tcW w:w="369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176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center"/>
              <w:rPr>
                <w:rFonts w:ascii="宋体" w:cs="Times New Roman"/>
                <w:sz w:val="24"/>
                <w:szCs w:val="24"/>
              </w:rPr>
            </w:pPr>
            <w:r>
              <w:t>1</w:t>
            </w:r>
          </w:p>
        </w:tc>
        <w:tc>
          <w:tcPr>
            <w:tcW w:w="171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16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188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16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15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369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402.12</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235.97</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163.38</w:t>
            </w: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2.77</w:t>
            </w:r>
          </w:p>
        </w:tc>
      </w:tr>
      <w:tr w14:paraId="524117DE">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2010350</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事业运行</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120.94</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120.94</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E19EF5">
            <w:pPr>
              <w:jc w:val="center"/>
              <w:rPr>
                <w:rFonts w:ascii="宋体" w:cs="Times New Roman"/>
                <w:sz w:val="24"/>
                <w:szCs w:val="24"/>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800AB">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1066B">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103D62">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14:paraId="3A975A44">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CA34B">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2012901</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4A3E9">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0BB1BE">
            <w:pPr>
              <w:keepNext w:val="0"/>
              <w:keepLines w:val="0"/>
              <w:widowControl/>
              <w:suppressLineNumbers w:val="0"/>
              <w:jc w:val="center"/>
              <w:textAlignment w:val="center"/>
              <w:rPr>
                <w:rFonts w:ascii="华文中宋" w:hAnsi="华文中宋" w:eastAsia="华文中宋" w:cs="Times New Roman"/>
                <w:sz w:val="24"/>
                <w:szCs w:val="24"/>
              </w:rPr>
            </w:pPr>
            <w:r>
              <w:rPr>
                <w:rFonts w:hint="eastAsia" w:ascii="宋体" w:hAnsi="宋体" w:eastAsia="宋体" w:cs="宋体"/>
                <w:i w:val="0"/>
                <w:iCs w:val="0"/>
                <w:color w:val="000000"/>
                <w:kern w:val="0"/>
                <w:sz w:val="22"/>
                <w:szCs w:val="22"/>
                <w:u w:val="none"/>
                <w:lang w:val="en-US" w:eastAsia="zh-CN" w:bidi="ar"/>
              </w:rPr>
              <w:t>12.05</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39AC1">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12.05</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2A957D">
            <w:pPr>
              <w:jc w:val="center"/>
              <w:rPr>
                <w:rFonts w:ascii="宋体" w:cs="Times New Roman"/>
                <w:sz w:val="24"/>
                <w:szCs w:val="24"/>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A97581">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AA82FF">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61D2F4">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12FB97">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14:paraId="190861ED">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166.15</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keepNext w:val="0"/>
              <w:keepLines w:val="0"/>
              <w:widowControl/>
              <w:suppressLineNumbers w:val="0"/>
              <w:jc w:val="center"/>
              <w:textAlignment w:val="center"/>
              <w:rPr>
                <w:rFonts w:ascii="宋体" w:cs="Times New Roman"/>
                <w:sz w:val="24"/>
                <w:szCs w:val="24"/>
              </w:rPr>
            </w:pP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C0D0DA">
            <w:pPr>
              <w:jc w:val="center"/>
              <w:rPr>
                <w:rFonts w:ascii="宋体" w:cs="Times New Roman"/>
                <w:sz w:val="24"/>
                <w:szCs w:val="24"/>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495E3">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163.38</w:t>
            </w: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3AB231">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3CA2B">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7DF31">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2.77</w:t>
            </w:r>
          </w:p>
        </w:tc>
      </w:tr>
      <w:tr w14:paraId="7B6AC5C1">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B03A34">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2080505</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6AD15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82C9A4">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13.75</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041B90">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13.75</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BC92B3">
            <w:pPr>
              <w:jc w:val="center"/>
              <w:rPr>
                <w:rFonts w:hint="eastAsia" w:cs="宋体"/>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CF8933">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8789C5">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0011DF">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2583B9">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14:paraId="57C59B38">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2101102</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事业单位医疗</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8.03</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8.03</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B83D65">
            <w:pPr>
              <w:jc w:val="center"/>
              <w:rPr>
                <w:rFonts w:ascii="宋体" w:cs="Times New Roman"/>
                <w:sz w:val="24"/>
                <w:szCs w:val="24"/>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8295B">
            <w:pPr>
              <w:jc w:val="center"/>
              <w:rPr>
                <w:rFonts w:ascii="宋体" w:cs="Times New Roman"/>
                <w:sz w:val="24"/>
                <w:szCs w:val="24"/>
              </w:rPr>
            </w:pP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86A38">
            <w:pPr>
              <w:jc w:val="center"/>
              <w:rPr>
                <w:rFonts w:ascii="宋体" w:cs="Times New Roman"/>
                <w:sz w:val="24"/>
                <w:szCs w:val="24"/>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E21001">
            <w:pPr>
              <w:jc w:val="center"/>
              <w:rPr>
                <w:rFonts w:ascii="宋体" w:cs="Times New Roman"/>
                <w:sz w:val="24"/>
                <w:szCs w:val="24"/>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3F012F">
            <w:pPr>
              <w:jc w:val="center"/>
              <w:rPr>
                <w:rFonts w:ascii="宋体" w:cs="Times New Roman"/>
                <w:sz w:val="24"/>
                <w:szCs w:val="24"/>
              </w:rPr>
            </w:pPr>
          </w:p>
        </w:tc>
      </w:tr>
      <w:tr w14:paraId="739546AB">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70.53</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70.53</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BC55C5">
            <w:pPr>
              <w:jc w:val="center"/>
              <w:rPr>
                <w:rFonts w:ascii="宋体" w:cs="Times New Roman"/>
                <w:sz w:val="24"/>
                <w:szCs w:val="24"/>
              </w:rPr>
            </w:pP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2C41CB">
            <w:pPr>
              <w:jc w:val="center"/>
              <w:rPr>
                <w:rFonts w:ascii="宋体" w:cs="Times New Roman"/>
                <w:sz w:val="24"/>
                <w:szCs w:val="24"/>
              </w:rPr>
            </w:pP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51F1FF">
            <w:pPr>
              <w:jc w:val="center"/>
              <w:rPr>
                <w:rFonts w:ascii="宋体" w:cs="Times New Roman"/>
                <w:sz w:val="24"/>
                <w:szCs w:val="24"/>
              </w:rPr>
            </w:pP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163CD0">
            <w:pPr>
              <w:jc w:val="center"/>
              <w:rPr>
                <w:rFonts w:ascii="宋体" w:cs="Times New Roman"/>
                <w:sz w:val="24"/>
                <w:szCs w:val="24"/>
              </w:rPr>
            </w:pP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4FCCF">
            <w:pPr>
              <w:jc w:val="center"/>
              <w:rPr>
                <w:rFonts w:ascii="宋体" w:cs="Times New Roman"/>
                <w:sz w:val="24"/>
                <w:szCs w:val="24"/>
              </w:rPr>
            </w:pPr>
          </w:p>
        </w:tc>
      </w:tr>
      <w:tr w14:paraId="78A5FEF8">
        <w:tblPrEx>
          <w:tblCellMar>
            <w:top w:w="0" w:type="dxa"/>
            <w:left w:w="0" w:type="dxa"/>
            <w:bottom w:w="0" w:type="dxa"/>
            <w:right w:w="0" w:type="dxa"/>
          </w:tblCellMar>
        </w:tblPrEx>
        <w:trPr>
          <w:trHeight w:val="450" w:hRule="atLeast"/>
        </w:trPr>
        <w:tc>
          <w:tcPr>
            <w:tcW w:w="11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95CD5">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CA0A2D">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7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3F6DAB">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10.67</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C35B62">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10.67</w:t>
            </w:r>
          </w:p>
        </w:tc>
        <w:tc>
          <w:tcPr>
            <w:tcW w:w="16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64B8A9">
            <w:pPr>
              <w:jc w:val="right"/>
              <w:rPr>
                <w:rFonts w:ascii="宋体" w:cs="Times New Roman"/>
                <w:sz w:val="24"/>
                <w:szCs w:val="24"/>
              </w:rPr>
            </w:pPr>
            <w:r>
              <w:rPr>
                <w:rFonts w:hint="eastAsia" w:cs="宋体"/>
              </w:rPr>
              <w:t>　</w:t>
            </w:r>
          </w:p>
        </w:tc>
        <w:tc>
          <w:tcPr>
            <w:tcW w:w="18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1602E8">
            <w:pPr>
              <w:jc w:val="right"/>
              <w:rPr>
                <w:rFonts w:ascii="宋体" w:cs="Times New Roman"/>
                <w:sz w:val="24"/>
                <w:szCs w:val="24"/>
              </w:rPr>
            </w:pPr>
            <w:r>
              <w:rPr>
                <w:rFonts w:hint="eastAsia" w:cs="宋体"/>
              </w:rPr>
              <w:t>　</w:t>
            </w:r>
          </w:p>
        </w:tc>
        <w:tc>
          <w:tcPr>
            <w:tcW w:w="164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E9154B">
            <w:pPr>
              <w:jc w:val="right"/>
              <w:rPr>
                <w:rFonts w:ascii="宋体" w:cs="Times New Roman"/>
                <w:sz w:val="24"/>
                <w:szCs w:val="24"/>
              </w:rPr>
            </w:pPr>
            <w:r>
              <w:rPr>
                <w:rFonts w:hint="eastAsia" w:cs="宋体"/>
              </w:rPr>
              <w:t>　</w:t>
            </w:r>
          </w:p>
        </w:tc>
        <w:tc>
          <w:tcPr>
            <w:tcW w:w="153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A95112">
            <w:pPr>
              <w:jc w:val="right"/>
              <w:rPr>
                <w:rFonts w:ascii="宋体" w:cs="Times New Roman"/>
                <w:sz w:val="24"/>
                <w:szCs w:val="24"/>
              </w:rPr>
            </w:pPr>
            <w:r>
              <w:rPr>
                <w:rFonts w:hint="eastAsia" w:cs="宋体"/>
              </w:rPr>
              <w:t>　</w:t>
            </w:r>
          </w:p>
        </w:tc>
        <w:tc>
          <w:tcPr>
            <w:tcW w:w="150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4B2E0B">
            <w:pPr>
              <w:jc w:val="right"/>
              <w:rPr>
                <w:rFonts w:ascii="宋体" w:cs="Times New Roman"/>
                <w:sz w:val="24"/>
                <w:szCs w:val="24"/>
              </w:rPr>
            </w:pPr>
            <w:r>
              <w:rPr>
                <w:rFonts w:hint="eastAsia" w:cs="宋体"/>
              </w:rPr>
              <w:t>　</w:t>
            </w:r>
          </w:p>
        </w:tc>
      </w:tr>
      <w:tr w14:paraId="34B9EE5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383B06E6">
            <w:pPr>
              <w:rPr>
                <w:rFonts w:ascii="宋体" w:cs="Times New Roman"/>
                <w:sz w:val="24"/>
                <w:szCs w:val="24"/>
              </w:rPr>
            </w:pPr>
            <w:r>
              <w:rPr>
                <w:rFonts w:hint="eastAsia" w:cs="宋体"/>
              </w:rPr>
              <w:t>注：本表反映部门本年度取得的各项收入情况。</w:t>
            </w:r>
          </w:p>
        </w:tc>
      </w:tr>
    </w:tbl>
    <w:p w14:paraId="5BA01B82">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p w14:paraId="70643D72">
      <w:pPr>
        <w:pStyle w:val="9"/>
        <w:rPr>
          <w:rFonts w:ascii="Times New Roman" w:hAnsi="Times New Roman" w:eastAsia="黑体" w:cs="Times New Roman"/>
          <w:kern w:val="0"/>
          <w:sz w:val="32"/>
          <w:szCs w:val="32"/>
        </w:rPr>
      </w:pPr>
    </w:p>
    <w:p w14:paraId="43A83FC5">
      <w:pPr>
        <w:pStyle w:val="5"/>
        <w:rPr>
          <w:rFonts w:ascii="Times New Roman" w:hAnsi="Times New Roman" w:eastAsia="黑体" w:cs="Times New Roman"/>
          <w:kern w:val="0"/>
          <w:sz w:val="32"/>
          <w:szCs w:val="32"/>
        </w:rPr>
      </w:pPr>
    </w:p>
    <w:p w14:paraId="17912FA6"/>
    <w:tbl>
      <w:tblPr>
        <w:tblStyle w:val="11"/>
        <w:tblW w:w="15640" w:type="dxa"/>
        <w:tblInd w:w="-106" w:type="dxa"/>
        <w:tblLayout w:type="fixed"/>
        <w:tblCellMar>
          <w:top w:w="0" w:type="dxa"/>
          <w:left w:w="108" w:type="dxa"/>
          <w:bottom w:w="0" w:type="dxa"/>
          <w:right w:w="108" w:type="dxa"/>
        </w:tblCellMar>
      </w:tblPr>
      <w:tblGrid>
        <w:gridCol w:w="1236"/>
        <w:gridCol w:w="240"/>
        <w:gridCol w:w="3239"/>
        <w:gridCol w:w="2028"/>
        <w:gridCol w:w="2016"/>
        <w:gridCol w:w="2076"/>
        <w:gridCol w:w="1764"/>
        <w:gridCol w:w="1452"/>
        <w:gridCol w:w="1589"/>
      </w:tblGrid>
      <w:tr w14:paraId="7F2CB362">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40"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3239"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2028"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2016"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2076"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764"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95136B2">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14:paraId="38D8E8CB">
            <w:pPr>
              <w:widowControl/>
              <w:jc w:val="right"/>
              <w:rPr>
                <w:rFonts w:ascii="宋体" w:cs="Times New Roman"/>
                <w:kern w:val="0"/>
                <w:sz w:val="24"/>
                <w:szCs w:val="24"/>
              </w:rPr>
            </w:pPr>
            <w:r>
              <w:rPr>
                <w:rFonts w:hint="eastAsia" w:ascii="宋体" w:hAnsi="宋体" w:cs="宋体"/>
                <w:kern w:val="0"/>
                <w:sz w:val="24"/>
                <w:szCs w:val="24"/>
              </w:rPr>
              <w:t>　</w:t>
            </w:r>
          </w:p>
        </w:tc>
        <w:tc>
          <w:tcPr>
            <w:tcW w:w="3239"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2028"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2016"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2076"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764"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B2D414F">
        <w:tblPrEx>
          <w:tblCellMar>
            <w:top w:w="0" w:type="dxa"/>
            <w:left w:w="108" w:type="dxa"/>
            <w:bottom w:w="0" w:type="dxa"/>
            <w:right w:w="108" w:type="dxa"/>
          </w:tblCellMar>
        </w:tblPrEx>
        <w:trPr>
          <w:trHeight w:val="595" w:hRule="atLeast"/>
        </w:trPr>
        <w:tc>
          <w:tcPr>
            <w:tcW w:w="471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20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201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20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176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4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158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239"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2028"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2016"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2076"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1764"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452"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1589"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595"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3239"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2028"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2016"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2076"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1764"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452"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1589"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blPrEx>
          <w:tblCellMar>
            <w:top w:w="0" w:type="dxa"/>
            <w:left w:w="108" w:type="dxa"/>
            <w:bottom w:w="0" w:type="dxa"/>
            <w:right w:w="108" w:type="dxa"/>
          </w:tblCellMar>
        </w:tblPrEx>
        <w:trPr>
          <w:trHeight w:val="595" w:hRule="atLeast"/>
        </w:trPr>
        <w:tc>
          <w:tcPr>
            <w:tcW w:w="471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2028"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2016"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2076"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1764"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452"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1589"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595" w:hRule="atLeast"/>
        </w:trPr>
        <w:tc>
          <w:tcPr>
            <w:tcW w:w="471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2028" w:type="dxa"/>
            <w:tcBorders>
              <w:top w:val="nil"/>
              <w:left w:val="nil"/>
              <w:bottom w:val="single" w:color="auto" w:sz="4" w:space="0"/>
              <w:right w:val="single" w:color="auto" w:sz="4" w:space="0"/>
            </w:tcBorders>
            <w:noWrap/>
            <w:vAlign w:val="center"/>
          </w:tcPr>
          <w:p w14:paraId="37B28B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402.12　</w:t>
            </w:r>
          </w:p>
        </w:tc>
        <w:tc>
          <w:tcPr>
            <w:tcW w:w="2016" w:type="dxa"/>
            <w:tcBorders>
              <w:top w:val="nil"/>
              <w:left w:val="nil"/>
              <w:bottom w:val="single" w:color="auto" w:sz="4" w:space="0"/>
              <w:right w:val="single" w:color="auto" w:sz="4" w:space="0"/>
            </w:tcBorders>
            <w:noWrap/>
            <w:vAlign w:val="center"/>
          </w:tcPr>
          <w:p w14:paraId="106919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168.21　</w:t>
            </w:r>
          </w:p>
        </w:tc>
        <w:tc>
          <w:tcPr>
            <w:tcW w:w="2076" w:type="dxa"/>
            <w:tcBorders>
              <w:top w:val="nil"/>
              <w:left w:val="nil"/>
              <w:bottom w:val="single" w:color="auto" w:sz="4" w:space="0"/>
              <w:right w:val="single" w:color="auto" w:sz="4" w:space="0"/>
            </w:tcBorders>
            <w:noWrap/>
            <w:vAlign w:val="center"/>
          </w:tcPr>
          <w:p w14:paraId="444A85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233.91　</w:t>
            </w:r>
          </w:p>
        </w:tc>
        <w:tc>
          <w:tcPr>
            <w:tcW w:w="1764"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CAE0E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2010350</w:t>
            </w:r>
          </w:p>
        </w:tc>
        <w:tc>
          <w:tcPr>
            <w:tcW w:w="3239" w:type="dxa"/>
            <w:tcBorders>
              <w:top w:val="nil"/>
              <w:left w:val="nil"/>
              <w:bottom w:val="single" w:color="auto" w:sz="4" w:space="0"/>
              <w:right w:val="single" w:color="auto" w:sz="4" w:space="0"/>
            </w:tcBorders>
            <w:shd w:val="clear" w:color="000000" w:fill="FFFFFF"/>
            <w:noWrap/>
            <w:vAlign w:val="center"/>
          </w:tcPr>
          <w:p w14:paraId="4E9B0E3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事业运行</w:t>
            </w:r>
          </w:p>
        </w:tc>
        <w:tc>
          <w:tcPr>
            <w:tcW w:w="2028" w:type="dxa"/>
            <w:tcBorders>
              <w:top w:val="nil"/>
              <w:left w:val="nil"/>
              <w:bottom w:val="single" w:color="auto" w:sz="4" w:space="0"/>
              <w:right w:val="single" w:color="auto" w:sz="4" w:space="0"/>
            </w:tcBorders>
            <w:noWrap/>
            <w:vAlign w:val="center"/>
          </w:tcPr>
          <w:p w14:paraId="467B51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120.94</w:t>
            </w:r>
          </w:p>
        </w:tc>
        <w:tc>
          <w:tcPr>
            <w:tcW w:w="2016" w:type="dxa"/>
            <w:tcBorders>
              <w:top w:val="nil"/>
              <w:left w:val="nil"/>
              <w:bottom w:val="single" w:color="auto" w:sz="4" w:space="0"/>
              <w:right w:val="single" w:color="auto" w:sz="4" w:space="0"/>
            </w:tcBorders>
            <w:noWrap/>
            <w:vAlign w:val="center"/>
          </w:tcPr>
          <w:p w14:paraId="270CF8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120.94 </w:t>
            </w:r>
          </w:p>
        </w:tc>
        <w:tc>
          <w:tcPr>
            <w:tcW w:w="2076" w:type="dxa"/>
            <w:tcBorders>
              <w:top w:val="nil"/>
              <w:left w:val="nil"/>
              <w:bottom w:val="single" w:color="auto" w:sz="4" w:space="0"/>
              <w:right w:val="single" w:color="auto" w:sz="4" w:space="0"/>
            </w:tcBorders>
            <w:noWrap/>
            <w:vAlign w:val="center"/>
          </w:tcPr>
          <w:p w14:paraId="1F81D2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764" w:type="dxa"/>
            <w:tcBorders>
              <w:top w:val="nil"/>
              <w:left w:val="nil"/>
              <w:bottom w:val="single" w:color="auto" w:sz="4" w:space="0"/>
              <w:right w:val="single" w:color="auto" w:sz="4" w:space="0"/>
            </w:tcBorders>
            <w:noWrap/>
            <w:vAlign w:val="center"/>
          </w:tcPr>
          <w:p w14:paraId="7709352B">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26E76392">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1892E0AE">
            <w:pPr>
              <w:widowControl/>
              <w:jc w:val="right"/>
              <w:rPr>
                <w:rFonts w:ascii="宋体" w:cs="Times New Roman"/>
                <w:kern w:val="0"/>
                <w:sz w:val="24"/>
                <w:szCs w:val="24"/>
              </w:rPr>
            </w:pPr>
            <w:r>
              <w:rPr>
                <w:rFonts w:hint="eastAsia" w:ascii="宋体" w:hAnsi="宋体" w:cs="宋体"/>
                <w:kern w:val="0"/>
                <w:sz w:val="24"/>
                <w:szCs w:val="24"/>
              </w:rPr>
              <w:t>　</w:t>
            </w:r>
          </w:p>
        </w:tc>
      </w:tr>
      <w:tr w14:paraId="51A4A076">
        <w:tblPrEx>
          <w:tblCellMar>
            <w:top w:w="0" w:type="dxa"/>
            <w:left w:w="108" w:type="dxa"/>
            <w:bottom w:w="0" w:type="dxa"/>
            <w:right w:w="108" w:type="dxa"/>
          </w:tblCellMar>
        </w:tblPrEx>
        <w:trPr>
          <w:trHeight w:val="583"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159DA1">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2012901</w:t>
            </w:r>
          </w:p>
        </w:tc>
        <w:tc>
          <w:tcPr>
            <w:tcW w:w="3239" w:type="dxa"/>
            <w:tcBorders>
              <w:top w:val="nil"/>
              <w:left w:val="nil"/>
              <w:bottom w:val="single" w:color="auto" w:sz="4" w:space="0"/>
              <w:right w:val="single" w:color="auto" w:sz="4" w:space="0"/>
            </w:tcBorders>
            <w:shd w:val="clear" w:color="000000" w:fill="FFFFFF"/>
            <w:noWrap/>
            <w:vAlign w:val="center"/>
          </w:tcPr>
          <w:p w14:paraId="4CCC7E8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2028" w:type="dxa"/>
            <w:tcBorders>
              <w:top w:val="nil"/>
              <w:left w:val="nil"/>
              <w:bottom w:val="single" w:color="auto" w:sz="4" w:space="0"/>
              <w:right w:val="single" w:color="auto" w:sz="4" w:space="0"/>
            </w:tcBorders>
            <w:noWrap/>
            <w:vAlign w:val="center"/>
          </w:tcPr>
          <w:p w14:paraId="10DB0F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12.05</w:t>
            </w:r>
          </w:p>
        </w:tc>
        <w:tc>
          <w:tcPr>
            <w:tcW w:w="2016" w:type="dxa"/>
            <w:tcBorders>
              <w:top w:val="nil"/>
              <w:left w:val="nil"/>
              <w:bottom w:val="single" w:color="auto" w:sz="4" w:space="0"/>
              <w:right w:val="single" w:color="auto" w:sz="4" w:space="0"/>
            </w:tcBorders>
            <w:noWrap/>
            <w:vAlign w:val="center"/>
          </w:tcPr>
          <w:p w14:paraId="6FD752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12.05 </w:t>
            </w:r>
          </w:p>
        </w:tc>
        <w:tc>
          <w:tcPr>
            <w:tcW w:w="2076" w:type="dxa"/>
            <w:tcBorders>
              <w:top w:val="nil"/>
              <w:left w:val="nil"/>
              <w:bottom w:val="single" w:color="auto" w:sz="4" w:space="0"/>
              <w:right w:val="single" w:color="auto" w:sz="4" w:space="0"/>
            </w:tcBorders>
            <w:noWrap/>
            <w:vAlign w:val="center"/>
          </w:tcPr>
          <w:p w14:paraId="5A7348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764" w:type="dxa"/>
            <w:tcBorders>
              <w:top w:val="nil"/>
              <w:left w:val="nil"/>
              <w:bottom w:val="single" w:color="auto" w:sz="4" w:space="0"/>
              <w:right w:val="single" w:color="auto" w:sz="4" w:space="0"/>
            </w:tcBorders>
            <w:noWrap/>
            <w:vAlign w:val="center"/>
          </w:tcPr>
          <w:p w14:paraId="6D9822B0">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618D6451">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61486EBC">
            <w:pPr>
              <w:widowControl/>
              <w:jc w:val="right"/>
              <w:rPr>
                <w:rFonts w:ascii="宋体" w:cs="Times New Roman"/>
                <w:kern w:val="0"/>
                <w:sz w:val="24"/>
                <w:szCs w:val="24"/>
              </w:rPr>
            </w:pPr>
            <w:r>
              <w:rPr>
                <w:rFonts w:hint="eastAsia" w:ascii="宋体" w:hAnsi="宋体" w:cs="宋体"/>
                <w:kern w:val="0"/>
                <w:sz w:val="24"/>
                <w:szCs w:val="24"/>
              </w:rPr>
              <w:t>　</w:t>
            </w:r>
          </w:p>
        </w:tc>
      </w:tr>
      <w:tr w14:paraId="5349950F">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B2EBA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3239" w:type="dxa"/>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2028" w:type="dxa"/>
            <w:tcBorders>
              <w:top w:val="nil"/>
              <w:left w:val="nil"/>
              <w:bottom w:val="single" w:color="auto" w:sz="4" w:space="0"/>
              <w:right w:val="single" w:color="auto" w:sz="4" w:space="0"/>
            </w:tcBorders>
            <w:noWrap/>
            <w:vAlign w:val="center"/>
          </w:tcPr>
          <w:p w14:paraId="24EE6CD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166.15</w:t>
            </w:r>
          </w:p>
        </w:tc>
        <w:tc>
          <w:tcPr>
            <w:tcW w:w="2016" w:type="dxa"/>
            <w:tcBorders>
              <w:top w:val="nil"/>
              <w:left w:val="nil"/>
              <w:bottom w:val="single" w:color="auto" w:sz="4" w:space="0"/>
              <w:right w:val="single" w:color="auto" w:sz="4" w:space="0"/>
            </w:tcBorders>
            <w:noWrap/>
            <w:vAlign w:val="center"/>
          </w:tcPr>
          <w:p w14:paraId="199AD9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2.77 </w:t>
            </w:r>
          </w:p>
        </w:tc>
        <w:tc>
          <w:tcPr>
            <w:tcW w:w="2076" w:type="dxa"/>
            <w:tcBorders>
              <w:top w:val="nil"/>
              <w:left w:val="nil"/>
              <w:bottom w:val="single" w:color="auto" w:sz="4" w:space="0"/>
              <w:right w:val="single" w:color="auto" w:sz="4" w:space="0"/>
            </w:tcBorders>
            <w:noWrap/>
            <w:vAlign w:val="center"/>
          </w:tcPr>
          <w:p w14:paraId="7CE701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163.38　</w:t>
            </w:r>
          </w:p>
        </w:tc>
        <w:tc>
          <w:tcPr>
            <w:tcW w:w="1764" w:type="dxa"/>
            <w:tcBorders>
              <w:top w:val="nil"/>
              <w:left w:val="nil"/>
              <w:bottom w:val="single" w:color="auto" w:sz="4" w:space="0"/>
              <w:right w:val="single" w:color="auto" w:sz="4" w:space="0"/>
            </w:tcBorders>
            <w:noWrap/>
            <w:vAlign w:val="center"/>
          </w:tcPr>
          <w:p w14:paraId="2839829B">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53A530FD">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1BD2D92E">
            <w:pPr>
              <w:widowControl/>
              <w:jc w:val="right"/>
              <w:rPr>
                <w:rFonts w:ascii="宋体" w:cs="Times New Roman"/>
                <w:kern w:val="0"/>
                <w:sz w:val="24"/>
                <w:szCs w:val="24"/>
              </w:rPr>
            </w:pPr>
            <w:r>
              <w:rPr>
                <w:rFonts w:hint="eastAsia" w:ascii="宋体" w:hAnsi="宋体" w:cs="宋体"/>
                <w:kern w:val="0"/>
                <w:sz w:val="24"/>
                <w:szCs w:val="24"/>
              </w:rPr>
              <w:t>　</w:t>
            </w:r>
          </w:p>
        </w:tc>
      </w:tr>
      <w:tr w14:paraId="72A8639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652C7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3239" w:type="dxa"/>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028" w:type="dxa"/>
            <w:tcBorders>
              <w:top w:val="nil"/>
              <w:left w:val="nil"/>
              <w:bottom w:val="single" w:color="auto" w:sz="4" w:space="0"/>
              <w:right w:val="single" w:color="auto" w:sz="4" w:space="0"/>
            </w:tcBorders>
            <w:noWrap/>
            <w:vAlign w:val="center"/>
          </w:tcPr>
          <w:p w14:paraId="0DD4896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13.75</w:t>
            </w:r>
          </w:p>
        </w:tc>
        <w:tc>
          <w:tcPr>
            <w:tcW w:w="2016" w:type="dxa"/>
            <w:tcBorders>
              <w:top w:val="nil"/>
              <w:left w:val="nil"/>
              <w:bottom w:val="single" w:color="auto" w:sz="4" w:space="0"/>
              <w:right w:val="single" w:color="auto" w:sz="4" w:space="0"/>
            </w:tcBorders>
            <w:noWrap/>
            <w:vAlign w:val="center"/>
          </w:tcPr>
          <w:p w14:paraId="4DBE7C4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13.75 </w:t>
            </w:r>
          </w:p>
        </w:tc>
        <w:tc>
          <w:tcPr>
            <w:tcW w:w="2076" w:type="dxa"/>
            <w:tcBorders>
              <w:top w:val="nil"/>
              <w:left w:val="nil"/>
              <w:bottom w:val="single" w:color="auto" w:sz="4" w:space="0"/>
              <w:right w:val="single" w:color="auto" w:sz="4" w:space="0"/>
            </w:tcBorders>
            <w:noWrap/>
            <w:vAlign w:val="center"/>
          </w:tcPr>
          <w:p w14:paraId="163DD1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764" w:type="dxa"/>
            <w:tcBorders>
              <w:top w:val="nil"/>
              <w:left w:val="nil"/>
              <w:bottom w:val="single" w:color="auto" w:sz="4" w:space="0"/>
              <w:right w:val="single" w:color="auto" w:sz="4" w:space="0"/>
            </w:tcBorders>
            <w:noWrap/>
            <w:vAlign w:val="center"/>
          </w:tcPr>
          <w:p w14:paraId="6807920A">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42E87B12">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5C5CBC1D">
            <w:pPr>
              <w:widowControl/>
              <w:jc w:val="right"/>
              <w:rPr>
                <w:rFonts w:ascii="宋体" w:cs="Times New Roman"/>
                <w:kern w:val="0"/>
                <w:sz w:val="24"/>
                <w:szCs w:val="24"/>
              </w:rPr>
            </w:pPr>
            <w:r>
              <w:rPr>
                <w:rFonts w:hint="eastAsia" w:ascii="宋体" w:hAnsi="宋体" w:cs="宋体"/>
                <w:kern w:val="0"/>
                <w:sz w:val="24"/>
                <w:szCs w:val="24"/>
              </w:rPr>
              <w:t>　</w:t>
            </w:r>
          </w:p>
        </w:tc>
      </w:tr>
      <w:tr w14:paraId="0DA59CFB">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F4FC1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2101102</w:t>
            </w:r>
          </w:p>
        </w:tc>
        <w:tc>
          <w:tcPr>
            <w:tcW w:w="3239" w:type="dxa"/>
            <w:tcBorders>
              <w:top w:val="nil"/>
              <w:left w:val="nil"/>
              <w:bottom w:val="single" w:color="auto" w:sz="4" w:space="0"/>
              <w:right w:val="single" w:color="auto" w:sz="4" w:space="0"/>
            </w:tcBorders>
            <w:shd w:val="clear" w:color="000000" w:fill="FFFFFF"/>
            <w:noWrap/>
            <w:vAlign w:val="center"/>
          </w:tcPr>
          <w:p w14:paraId="05E4067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事业单位医疗</w:t>
            </w:r>
          </w:p>
        </w:tc>
        <w:tc>
          <w:tcPr>
            <w:tcW w:w="2028" w:type="dxa"/>
            <w:tcBorders>
              <w:top w:val="nil"/>
              <w:left w:val="nil"/>
              <w:bottom w:val="single" w:color="auto" w:sz="4" w:space="0"/>
              <w:right w:val="single" w:color="auto" w:sz="4" w:space="0"/>
            </w:tcBorders>
            <w:noWrap/>
            <w:vAlign w:val="center"/>
          </w:tcPr>
          <w:p w14:paraId="4C954CB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8.03</w:t>
            </w:r>
          </w:p>
        </w:tc>
        <w:tc>
          <w:tcPr>
            <w:tcW w:w="2016" w:type="dxa"/>
            <w:tcBorders>
              <w:top w:val="nil"/>
              <w:left w:val="nil"/>
              <w:bottom w:val="single" w:color="auto" w:sz="4" w:space="0"/>
              <w:right w:val="single" w:color="auto" w:sz="4" w:space="0"/>
            </w:tcBorders>
            <w:noWrap/>
            <w:vAlign w:val="center"/>
          </w:tcPr>
          <w:p w14:paraId="05B03BF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8.03 </w:t>
            </w:r>
          </w:p>
        </w:tc>
        <w:tc>
          <w:tcPr>
            <w:tcW w:w="2076" w:type="dxa"/>
            <w:tcBorders>
              <w:top w:val="nil"/>
              <w:left w:val="nil"/>
              <w:bottom w:val="single" w:color="auto" w:sz="4" w:space="0"/>
              <w:right w:val="single" w:color="auto" w:sz="4" w:space="0"/>
            </w:tcBorders>
            <w:noWrap/>
            <w:vAlign w:val="center"/>
          </w:tcPr>
          <w:p w14:paraId="2126BC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64" w:type="dxa"/>
            <w:tcBorders>
              <w:top w:val="nil"/>
              <w:left w:val="nil"/>
              <w:bottom w:val="single" w:color="auto" w:sz="4" w:space="0"/>
              <w:right w:val="single" w:color="auto" w:sz="4" w:space="0"/>
            </w:tcBorders>
            <w:noWrap/>
            <w:vAlign w:val="center"/>
          </w:tcPr>
          <w:p w14:paraId="27C88B05">
            <w:pPr>
              <w:widowControl/>
              <w:jc w:val="right"/>
              <w:rPr>
                <w:rFonts w:hint="eastAsia" w:ascii="宋体" w:hAnsi="宋体" w:cs="宋体"/>
                <w:kern w:val="0"/>
                <w:sz w:val="24"/>
                <w:szCs w:val="24"/>
              </w:rPr>
            </w:pPr>
          </w:p>
        </w:tc>
        <w:tc>
          <w:tcPr>
            <w:tcW w:w="1452" w:type="dxa"/>
            <w:tcBorders>
              <w:top w:val="nil"/>
              <w:left w:val="nil"/>
              <w:bottom w:val="single" w:color="auto" w:sz="4" w:space="0"/>
              <w:right w:val="single" w:color="auto" w:sz="4" w:space="0"/>
            </w:tcBorders>
            <w:noWrap/>
            <w:vAlign w:val="center"/>
          </w:tcPr>
          <w:p w14:paraId="687BFF79">
            <w:pPr>
              <w:widowControl/>
              <w:jc w:val="right"/>
              <w:rPr>
                <w:rFonts w:hint="eastAsia" w:ascii="宋体" w:hAnsi="宋体" w:cs="宋体"/>
                <w:kern w:val="0"/>
                <w:sz w:val="24"/>
                <w:szCs w:val="24"/>
              </w:rPr>
            </w:pPr>
          </w:p>
        </w:tc>
        <w:tc>
          <w:tcPr>
            <w:tcW w:w="1589" w:type="dxa"/>
            <w:tcBorders>
              <w:top w:val="nil"/>
              <w:left w:val="nil"/>
              <w:bottom w:val="single" w:color="auto" w:sz="4" w:space="0"/>
              <w:right w:val="single" w:color="auto" w:sz="4" w:space="0"/>
            </w:tcBorders>
            <w:noWrap/>
            <w:vAlign w:val="center"/>
          </w:tcPr>
          <w:p w14:paraId="678CEE82">
            <w:pPr>
              <w:widowControl/>
              <w:jc w:val="right"/>
              <w:rPr>
                <w:rFonts w:hint="eastAsia" w:ascii="宋体" w:hAnsi="宋体" w:cs="宋体"/>
                <w:kern w:val="0"/>
                <w:sz w:val="24"/>
                <w:szCs w:val="24"/>
              </w:rPr>
            </w:pPr>
          </w:p>
        </w:tc>
      </w:tr>
      <w:tr w14:paraId="4ADDBCA8">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F6A50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3239" w:type="dxa"/>
            <w:tcBorders>
              <w:top w:val="nil"/>
              <w:left w:val="nil"/>
              <w:bottom w:val="single" w:color="auto" w:sz="4" w:space="0"/>
              <w:right w:val="single" w:color="auto" w:sz="4" w:space="0"/>
            </w:tcBorders>
            <w:shd w:val="clear" w:color="000000" w:fill="FFFFFF"/>
            <w:noWrap/>
            <w:vAlign w:val="center"/>
          </w:tcPr>
          <w:p w14:paraId="128E364A">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2028" w:type="dxa"/>
            <w:tcBorders>
              <w:top w:val="nil"/>
              <w:left w:val="nil"/>
              <w:bottom w:val="single" w:color="auto" w:sz="4" w:space="0"/>
              <w:right w:val="single" w:color="auto" w:sz="4" w:space="0"/>
            </w:tcBorders>
            <w:noWrap/>
            <w:vAlign w:val="center"/>
          </w:tcPr>
          <w:p w14:paraId="5D62DF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70.53</w:t>
            </w:r>
          </w:p>
        </w:tc>
        <w:tc>
          <w:tcPr>
            <w:tcW w:w="2016" w:type="dxa"/>
            <w:tcBorders>
              <w:top w:val="nil"/>
              <w:left w:val="nil"/>
              <w:bottom w:val="single" w:color="auto" w:sz="4" w:space="0"/>
              <w:right w:val="single" w:color="auto" w:sz="4" w:space="0"/>
            </w:tcBorders>
            <w:noWrap/>
            <w:vAlign w:val="center"/>
          </w:tcPr>
          <w:p w14:paraId="7E8A71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w:t>
            </w:r>
          </w:p>
        </w:tc>
        <w:tc>
          <w:tcPr>
            <w:tcW w:w="2076" w:type="dxa"/>
            <w:tcBorders>
              <w:top w:val="nil"/>
              <w:left w:val="nil"/>
              <w:bottom w:val="single" w:color="auto" w:sz="4" w:space="0"/>
              <w:right w:val="single" w:color="auto" w:sz="4" w:space="0"/>
            </w:tcBorders>
            <w:noWrap/>
            <w:vAlign w:val="center"/>
          </w:tcPr>
          <w:p w14:paraId="3E7C65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70.53　</w:t>
            </w:r>
          </w:p>
        </w:tc>
        <w:tc>
          <w:tcPr>
            <w:tcW w:w="1764" w:type="dxa"/>
            <w:tcBorders>
              <w:top w:val="nil"/>
              <w:left w:val="nil"/>
              <w:bottom w:val="single" w:color="auto" w:sz="4" w:space="0"/>
              <w:right w:val="single" w:color="auto" w:sz="4" w:space="0"/>
            </w:tcBorders>
            <w:noWrap/>
            <w:vAlign w:val="center"/>
          </w:tcPr>
          <w:p w14:paraId="2DE50248">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68797212">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3E6980DA">
            <w:pPr>
              <w:widowControl/>
              <w:jc w:val="right"/>
              <w:rPr>
                <w:rFonts w:ascii="宋体" w:cs="Times New Roman"/>
                <w:kern w:val="0"/>
                <w:sz w:val="24"/>
                <w:szCs w:val="24"/>
              </w:rPr>
            </w:pPr>
            <w:r>
              <w:rPr>
                <w:rFonts w:hint="eastAsia" w:ascii="宋体" w:hAnsi="宋体" w:cs="宋体"/>
                <w:kern w:val="0"/>
                <w:sz w:val="24"/>
                <w:szCs w:val="24"/>
              </w:rPr>
              <w:t>　</w:t>
            </w:r>
          </w:p>
        </w:tc>
      </w:tr>
      <w:tr w14:paraId="7B16F4CA">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56FE4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239" w:type="dxa"/>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2028" w:type="dxa"/>
            <w:tcBorders>
              <w:top w:val="nil"/>
              <w:left w:val="nil"/>
              <w:bottom w:val="single" w:color="auto" w:sz="4" w:space="0"/>
              <w:right w:val="single" w:color="auto" w:sz="4" w:space="0"/>
            </w:tcBorders>
            <w:noWrap/>
            <w:vAlign w:val="center"/>
          </w:tcPr>
          <w:p w14:paraId="78966F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10.67</w:t>
            </w:r>
          </w:p>
        </w:tc>
        <w:tc>
          <w:tcPr>
            <w:tcW w:w="2016" w:type="dxa"/>
            <w:tcBorders>
              <w:top w:val="nil"/>
              <w:left w:val="nil"/>
              <w:bottom w:val="single" w:color="auto" w:sz="4" w:space="0"/>
              <w:right w:val="single" w:color="auto" w:sz="4" w:space="0"/>
            </w:tcBorders>
            <w:noWrap/>
            <w:vAlign w:val="center"/>
          </w:tcPr>
          <w:p w14:paraId="1CFBC0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10.67 </w:t>
            </w:r>
          </w:p>
        </w:tc>
        <w:tc>
          <w:tcPr>
            <w:tcW w:w="2076" w:type="dxa"/>
            <w:tcBorders>
              <w:top w:val="nil"/>
              <w:left w:val="nil"/>
              <w:bottom w:val="single" w:color="auto" w:sz="4" w:space="0"/>
              <w:right w:val="single" w:color="auto" w:sz="4" w:space="0"/>
            </w:tcBorders>
            <w:noWrap/>
            <w:vAlign w:val="center"/>
          </w:tcPr>
          <w:p w14:paraId="650209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764" w:type="dxa"/>
            <w:tcBorders>
              <w:top w:val="nil"/>
              <w:left w:val="nil"/>
              <w:bottom w:val="single" w:color="auto" w:sz="4" w:space="0"/>
              <w:right w:val="single" w:color="auto" w:sz="4" w:space="0"/>
            </w:tcBorders>
            <w:noWrap/>
            <w:vAlign w:val="center"/>
          </w:tcPr>
          <w:p w14:paraId="65A0A223">
            <w:pPr>
              <w:widowControl/>
              <w:jc w:val="right"/>
              <w:rPr>
                <w:rFonts w:ascii="宋体" w:cs="Times New Roman"/>
                <w:kern w:val="0"/>
                <w:sz w:val="24"/>
                <w:szCs w:val="24"/>
              </w:rPr>
            </w:pPr>
            <w:r>
              <w:rPr>
                <w:rFonts w:hint="eastAsia" w:ascii="宋体" w:hAnsi="宋体" w:cs="宋体"/>
                <w:kern w:val="0"/>
                <w:sz w:val="24"/>
                <w:szCs w:val="24"/>
              </w:rPr>
              <w:t>　</w:t>
            </w:r>
          </w:p>
        </w:tc>
        <w:tc>
          <w:tcPr>
            <w:tcW w:w="1452" w:type="dxa"/>
            <w:tcBorders>
              <w:top w:val="nil"/>
              <w:left w:val="nil"/>
              <w:bottom w:val="single" w:color="auto" w:sz="4" w:space="0"/>
              <w:right w:val="single" w:color="auto" w:sz="4" w:space="0"/>
            </w:tcBorders>
            <w:noWrap/>
            <w:vAlign w:val="center"/>
          </w:tcPr>
          <w:p w14:paraId="27B8F75A">
            <w:pPr>
              <w:widowControl/>
              <w:jc w:val="right"/>
              <w:rPr>
                <w:rFonts w:ascii="宋体" w:cs="Times New Roman"/>
                <w:kern w:val="0"/>
                <w:sz w:val="24"/>
                <w:szCs w:val="24"/>
              </w:rPr>
            </w:pPr>
            <w:r>
              <w:rPr>
                <w:rFonts w:hint="eastAsia" w:ascii="宋体" w:hAnsi="宋体" w:cs="宋体"/>
                <w:kern w:val="0"/>
                <w:sz w:val="24"/>
                <w:szCs w:val="24"/>
              </w:rPr>
              <w:t>　</w:t>
            </w:r>
          </w:p>
        </w:tc>
        <w:tc>
          <w:tcPr>
            <w:tcW w:w="1589" w:type="dxa"/>
            <w:tcBorders>
              <w:top w:val="nil"/>
              <w:left w:val="nil"/>
              <w:bottom w:val="single" w:color="auto" w:sz="4" w:space="0"/>
              <w:right w:val="single" w:color="auto" w:sz="4" w:space="0"/>
            </w:tcBorders>
            <w:noWrap/>
            <w:vAlign w:val="center"/>
          </w:tcPr>
          <w:p w14:paraId="0E3F04C6">
            <w:pPr>
              <w:widowControl/>
              <w:jc w:val="right"/>
              <w:rPr>
                <w:rFonts w:ascii="宋体" w:cs="Times New Roman"/>
                <w:kern w:val="0"/>
                <w:sz w:val="24"/>
                <w:szCs w:val="24"/>
              </w:rPr>
            </w:pPr>
            <w:r>
              <w:rPr>
                <w:rFonts w:hint="eastAsia" w:ascii="宋体" w:hAnsi="宋体" w:cs="宋体"/>
                <w:kern w:val="0"/>
                <w:sz w:val="24"/>
                <w:szCs w:val="24"/>
              </w:rPr>
              <w:t>　</w:t>
            </w: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19201765">
      <w:pPr>
        <w:widowControl/>
        <w:rPr>
          <w:rFonts w:ascii="Times New Roman" w:hAnsi="Times New Roman" w:eastAsia="方正小标宋_GBK" w:cs="Times New Roman"/>
          <w:color w:val="000000"/>
          <w:kern w:val="0"/>
          <w:sz w:val="36"/>
          <w:szCs w:val="36"/>
        </w:rPr>
      </w:pPr>
    </w:p>
    <w:tbl>
      <w:tblPr>
        <w:tblStyle w:val="11"/>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235.97</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0958EFD8">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ED64AC9">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132.99</w:t>
            </w:r>
          </w:p>
        </w:tc>
        <w:tc>
          <w:tcPr>
            <w:tcW w:w="1394" w:type="dxa"/>
            <w:tcBorders>
              <w:top w:val="nil"/>
              <w:left w:val="nil"/>
              <w:bottom w:val="single" w:color="auto" w:sz="4" w:space="0"/>
              <w:right w:val="single" w:color="auto" w:sz="4" w:space="0"/>
            </w:tcBorders>
            <w:noWrap/>
            <w:vAlign w:val="center"/>
          </w:tcPr>
          <w:p w14:paraId="614639E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CDE3196">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56011E2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9D0BAE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1AF6DC7">
            <w:pPr>
              <w:widowControl/>
              <w:jc w:val="left"/>
              <w:textAlignment w:val="center"/>
              <w:rPr>
                <w:rFonts w:ascii="宋体" w:cs="Times New Roman"/>
                <w:kern w:val="0"/>
                <w:sz w:val="22"/>
                <w:szCs w:val="22"/>
              </w:rPr>
            </w:pPr>
            <w:r>
              <w:rPr>
                <w:rFonts w:hint="eastAsia" w:ascii="宋体" w:hAnsi="宋体" w:eastAsia="宋体" w:cs="宋体"/>
                <w:color w:val="000000"/>
                <w:kern w:val="0"/>
                <w:sz w:val="24"/>
                <w:szCs w:val="24"/>
                <w:lang w:bidi="ar"/>
              </w:rPr>
              <w:t>……</w:t>
            </w:r>
          </w:p>
        </w:tc>
        <w:tc>
          <w:tcPr>
            <w:tcW w:w="1067" w:type="dxa"/>
            <w:gridSpan w:val="2"/>
            <w:tcBorders>
              <w:top w:val="nil"/>
              <w:left w:val="nil"/>
              <w:bottom w:val="single" w:color="auto" w:sz="4" w:space="0"/>
              <w:right w:val="single" w:color="auto" w:sz="4" w:space="0"/>
            </w:tcBorders>
            <w:noWrap/>
            <w:vAlign w:val="center"/>
          </w:tcPr>
          <w:p w14:paraId="607E22D5">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05F6B5A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23F8A5B">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CDF41A2">
            <w:pPr>
              <w:widowControl/>
              <w:jc w:val="left"/>
              <w:textAlignment w:val="center"/>
              <w:rPr>
                <w:rFonts w:ascii="宋体" w:cs="Times New Roman"/>
                <w:kern w:val="0"/>
                <w:sz w:val="22"/>
                <w:szCs w:val="22"/>
              </w:rPr>
            </w:pPr>
            <w:r>
              <w:rPr>
                <w:rFonts w:hint="eastAsia" w:ascii="宋体" w:hAnsi="宋体" w:eastAsia="宋体" w:cs="宋体"/>
                <w:color w:val="000000"/>
                <w:kern w:val="0"/>
                <w:sz w:val="22"/>
                <w:lang w:bidi="ar"/>
              </w:rPr>
              <w:t>八、社会保障和就业支出</w:t>
            </w:r>
          </w:p>
        </w:tc>
        <w:tc>
          <w:tcPr>
            <w:tcW w:w="1067" w:type="dxa"/>
            <w:gridSpan w:val="2"/>
            <w:tcBorders>
              <w:top w:val="nil"/>
              <w:left w:val="nil"/>
              <w:bottom w:val="single" w:color="auto" w:sz="4" w:space="0"/>
              <w:right w:val="single" w:color="auto" w:sz="4" w:space="0"/>
            </w:tcBorders>
            <w:noWrap/>
            <w:vAlign w:val="center"/>
          </w:tcPr>
          <w:p w14:paraId="565AEDC8">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1E8BBFAA">
            <w:pPr>
              <w:widowControl/>
              <w:jc w:val="center"/>
              <w:rPr>
                <w:rFonts w:ascii="宋体" w:cs="Times New Roman"/>
                <w:kern w:val="0"/>
                <w:sz w:val="22"/>
                <w:szCs w:val="22"/>
              </w:rPr>
            </w:pPr>
            <w:r>
              <w:rPr>
                <w:rFonts w:hint="eastAsia" w:ascii="宋体" w:hAnsi="宋体" w:cs="宋体"/>
                <w:kern w:val="0"/>
                <w:sz w:val="22"/>
                <w:szCs w:val="22"/>
                <w:lang w:val="en-US" w:eastAsia="zh-CN"/>
              </w:rPr>
              <w:t>13.75</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65D8D17">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628A2A8">
            <w:pPr>
              <w:widowControl/>
              <w:jc w:val="left"/>
              <w:textAlignment w:val="center"/>
              <w:rPr>
                <w:rFonts w:ascii="宋体" w:cs="Times New Roman"/>
                <w:kern w:val="0"/>
                <w:sz w:val="22"/>
                <w:szCs w:val="22"/>
              </w:rPr>
            </w:pPr>
            <w:r>
              <w:rPr>
                <w:rFonts w:hint="eastAsia" w:ascii="宋体" w:hAnsi="宋体" w:eastAsia="宋体" w:cs="宋体"/>
                <w:color w:val="000000"/>
                <w:kern w:val="0"/>
                <w:sz w:val="22"/>
                <w:lang w:bidi="ar"/>
              </w:rPr>
              <w:t>九、卫生健康支出</w:t>
            </w:r>
          </w:p>
        </w:tc>
        <w:tc>
          <w:tcPr>
            <w:tcW w:w="1067" w:type="dxa"/>
            <w:gridSpan w:val="2"/>
            <w:tcBorders>
              <w:top w:val="nil"/>
              <w:left w:val="nil"/>
              <w:bottom w:val="single" w:color="auto" w:sz="4" w:space="0"/>
              <w:right w:val="single" w:color="auto" w:sz="4" w:space="0"/>
            </w:tcBorders>
            <w:noWrap/>
            <w:vAlign w:val="center"/>
          </w:tcPr>
          <w:p w14:paraId="7BC9A366">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69867035">
            <w:pPr>
              <w:widowControl/>
              <w:jc w:val="center"/>
              <w:rPr>
                <w:rFonts w:ascii="宋体" w:cs="Times New Roman"/>
                <w:kern w:val="0"/>
                <w:sz w:val="22"/>
                <w:szCs w:val="22"/>
              </w:rPr>
            </w:pPr>
            <w:r>
              <w:rPr>
                <w:rFonts w:hint="eastAsia" w:ascii="宋体" w:hAnsi="宋体" w:cs="宋体"/>
                <w:kern w:val="0"/>
                <w:sz w:val="22"/>
                <w:szCs w:val="22"/>
                <w:lang w:val="en-US" w:eastAsia="zh-CN"/>
              </w:rPr>
              <w:t>8.03</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F6751F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76045BB">
            <w:pPr>
              <w:widowControl/>
              <w:jc w:val="left"/>
              <w:textAlignment w:val="center"/>
              <w:rPr>
                <w:rFonts w:ascii="宋体" w:cs="Times New Roman"/>
                <w:kern w:val="0"/>
                <w:sz w:val="22"/>
                <w:szCs w:val="22"/>
              </w:rPr>
            </w:pPr>
            <w:r>
              <w:rPr>
                <w:rFonts w:hint="eastAsia" w:ascii="宋体" w:hAnsi="宋体" w:cs="宋体"/>
                <w:color w:val="000000"/>
                <w:kern w:val="0"/>
                <w:sz w:val="22"/>
                <w:szCs w:val="22"/>
              </w:rPr>
              <w:t>十二、农林水支出</w:t>
            </w:r>
          </w:p>
        </w:tc>
        <w:tc>
          <w:tcPr>
            <w:tcW w:w="1067" w:type="dxa"/>
            <w:gridSpan w:val="2"/>
            <w:tcBorders>
              <w:top w:val="nil"/>
              <w:left w:val="nil"/>
              <w:bottom w:val="single" w:color="auto" w:sz="4" w:space="0"/>
              <w:right w:val="single" w:color="auto" w:sz="4" w:space="0"/>
            </w:tcBorders>
            <w:noWrap/>
            <w:vAlign w:val="center"/>
          </w:tcPr>
          <w:p w14:paraId="2934840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7829A8C8">
            <w:pPr>
              <w:widowControl/>
              <w:jc w:val="center"/>
              <w:rPr>
                <w:rFonts w:ascii="宋体" w:cs="Times New Roman"/>
                <w:kern w:val="0"/>
                <w:sz w:val="22"/>
                <w:szCs w:val="22"/>
              </w:rPr>
            </w:pPr>
            <w:r>
              <w:rPr>
                <w:rFonts w:hint="eastAsia" w:ascii="宋体" w:hAnsi="宋体" w:cs="宋体"/>
                <w:kern w:val="0"/>
                <w:sz w:val="22"/>
                <w:szCs w:val="22"/>
                <w:lang w:val="en-US" w:eastAsia="zh-CN"/>
              </w:rPr>
              <w:t>70.53</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EE222E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8FE7B5F">
            <w:pPr>
              <w:widowControl/>
              <w:jc w:val="left"/>
              <w:textAlignment w:val="center"/>
              <w:rPr>
                <w:rFonts w:ascii="宋体" w:cs="Times New Roman"/>
                <w:kern w:val="0"/>
                <w:sz w:val="24"/>
                <w:szCs w:val="24"/>
              </w:rPr>
            </w:pPr>
            <w:r>
              <w:rPr>
                <w:rFonts w:hint="eastAsia" w:ascii="宋体" w:hAnsi="宋体" w:cs="宋体"/>
                <w:color w:val="000000"/>
                <w:kern w:val="0"/>
                <w:sz w:val="24"/>
                <w:szCs w:val="24"/>
              </w:rPr>
              <w:t>十九、住房保障支出</w:t>
            </w:r>
          </w:p>
        </w:tc>
        <w:tc>
          <w:tcPr>
            <w:tcW w:w="1067" w:type="dxa"/>
            <w:gridSpan w:val="2"/>
            <w:tcBorders>
              <w:top w:val="nil"/>
              <w:left w:val="nil"/>
              <w:bottom w:val="single" w:color="auto" w:sz="4" w:space="0"/>
              <w:right w:val="single" w:color="auto" w:sz="4" w:space="0"/>
            </w:tcBorders>
            <w:noWrap/>
            <w:vAlign w:val="center"/>
          </w:tcPr>
          <w:p w14:paraId="6A255C3F">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1AF20CD6">
            <w:pPr>
              <w:widowControl/>
              <w:jc w:val="center"/>
              <w:rPr>
                <w:rFonts w:ascii="宋体" w:cs="Times New Roman"/>
                <w:kern w:val="0"/>
                <w:sz w:val="22"/>
                <w:szCs w:val="22"/>
              </w:rPr>
            </w:pPr>
            <w:r>
              <w:rPr>
                <w:rFonts w:hint="eastAsia" w:ascii="宋体" w:hAnsi="宋体" w:cs="宋体"/>
                <w:kern w:val="0"/>
                <w:sz w:val="22"/>
                <w:szCs w:val="22"/>
                <w:lang w:val="en-US" w:eastAsia="zh-CN"/>
              </w:rPr>
              <w:t>10.67</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C843BD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314C493">
            <w:pPr>
              <w:widowControl/>
              <w:jc w:val="left"/>
              <w:rPr>
                <w:rFonts w:ascii="宋体" w:cs="Times New Roman"/>
                <w:kern w:val="0"/>
                <w:sz w:val="22"/>
                <w:szCs w:val="22"/>
              </w:rPr>
            </w:pPr>
            <w:r>
              <w:rPr>
                <w:rFonts w:hint="eastAsia" w:ascii="宋体" w:hAnsi="宋体" w:eastAsia="宋体" w:cs="宋体"/>
                <w:color w:val="000000"/>
                <w:kern w:val="0"/>
                <w:sz w:val="24"/>
                <w:szCs w:val="24"/>
                <w:lang w:bidi="ar"/>
              </w:rPr>
              <w:t>……</w:t>
            </w:r>
          </w:p>
        </w:tc>
        <w:tc>
          <w:tcPr>
            <w:tcW w:w="1067" w:type="dxa"/>
            <w:gridSpan w:val="2"/>
            <w:tcBorders>
              <w:top w:val="nil"/>
              <w:left w:val="nil"/>
              <w:bottom w:val="single" w:color="auto" w:sz="4" w:space="0"/>
              <w:right w:val="single" w:color="auto" w:sz="4" w:space="0"/>
            </w:tcBorders>
            <w:noWrap/>
            <w:vAlign w:val="center"/>
          </w:tcPr>
          <w:p w14:paraId="609FD344">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30957B9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4A158C8">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14:paraId="0FCB00C9">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235.97</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CD53282">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090E9A31">
            <w:pPr>
              <w:widowControl/>
              <w:jc w:val="center"/>
              <w:rPr>
                <w:rFonts w:ascii="宋体" w:cs="Times New Roman"/>
                <w:kern w:val="0"/>
                <w:sz w:val="22"/>
                <w:szCs w:val="22"/>
              </w:rPr>
            </w:pPr>
            <w:r>
              <w:rPr>
                <w:rFonts w:hint="eastAsia" w:ascii="宋体" w:hAnsi="宋体" w:cs="宋体"/>
                <w:kern w:val="0"/>
                <w:sz w:val="22"/>
                <w:szCs w:val="22"/>
                <w:lang w:val="en-US" w:eastAsia="zh-CN"/>
              </w:rPr>
              <w:t>235.97</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B83D89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14:paraId="0A290D63">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4E7F8F1D">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14:paraId="32C06E3A">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72D5E678">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6B908A4">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14:paraId="74CEED2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5CB1DEB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E464B88">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64B13F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DB1F0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kern w:val="0"/>
                <w:sz w:val="22"/>
                <w:szCs w:val="22"/>
                <w:lang w:val="en-US" w:eastAsia="zh-CN"/>
              </w:rPr>
              <w:t>235.97</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ascii="宋体" w:cs="Times New Roman"/>
                <w:kern w:val="0"/>
                <w:sz w:val="22"/>
                <w:szCs w:val="22"/>
              </w:rPr>
            </w:pPr>
            <w:r>
              <w:rPr>
                <w:rFonts w:hint="eastAsia" w:ascii="宋体" w:hAnsi="宋体" w:cs="宋体"/>
                <w:kern w:val="0"/>
                <w:sz w:val="22"/>
                <w:szCs w:val="22"/>
                <w:lang w:val="en-US" w:eastAsia="zh-CN"/>
              </w:rPr>
              <w:t>235.97</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12FC0BE">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271E51E5">
      <w:pPr>
        <w:widowControl/>
        <w:jc w:val="center"/>
        <w:rPr>
          <w:rFonts w:ascii="Times New Roman" w:hAnsi="Times New Roman" w:eastAsia="方正小标宋_GBK" w:cs="Times New Roman"/>
          <w:kern w:val="0"/>
          <w:sz w:val="36"/>
          <w:szCs w:val="36"/>
        </w:rPr>
      </w:pPr>
    </w:p>
    <w:p w14:paraId="5CD0C9F5">
      <w:pPr>
        <w:widowControl/>
        <w:jc w:val="cente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1"/>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6FD0F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2CD9D57A">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235.97</w:t>
            </w:r>
          </w:p>
        </w:tc>
        <w:tc>
          <w:tcPr>
            <w:tcW w:w="3492" w:type="dxa"/>
            <w:tcBorders>
              <w:top w:val="nil"/>
              <w:left w:val="nil"/>
              <w:bottom w:val="single" w:color="auto" w:sz="4" w:space="0"/>
              <w:right w:val="single" w:color="auto" w:sz="4" w:space="0"/>
            </w:tcBorders>
            <w:vAlign w:val="center"/>
          </w:tcPr>
          <w:p w14:paraId="7E262BB5">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165.44</w:t>
            </w:r>
          </w:p>
        </w:tc>
        <w:tc>
          <w:tcPr>
            <w:tcW w:w="3000" w:type="dxa"/>
            <w:tcBorders>
              <w:top w:val="nil"/>
              <w:left w:val="nil"/>
              <w:bottom w:val="single" w:color="auto" w:sz="4" w:space="0"/>
              <w:right w:val="single" w:color="auto" w:sz="8" w:space="0"/>
            </w:tcBorders>
            <w:vAlign w:val="center"/>
          </w:tcPr>
          <w:p w14:paraId="15241E74">
            <w:pPr>
              <w:widowControl/>
              <w:jc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70.53</w:t>
            </w:r>
          </w:p>
        </w:tc>
      </w:tr>
      <w:tr w14:paraId="448CC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7DBC8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2010350</w:t>
            </w:r>
          </w:p>
        </w:tc>
        <w:tc>
          <w:tcPr>
            <w:tcW w:w="3527" w:type="dxa"/>
            <w:tcBorders>
              <w:top w:val="nil"/>
              <w:left w:val="nil"/>
              <w:bottom w:val="single" w:color="auto" w:sz="4" w:space="0"/>
              <w:right w:val="single" w:color="auto" w:sz="4" w:space="0"/>
            </w:tcBorders>
            <w:vAlign w:val="center"/>
          </w:tcPr>
          <w:p w14:paraId="3A0E024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事业运行</w:t>
            </w:r>
          </w:p>
        </w:tc>
        <w:tc>
          <w:tcPr>
            <w:tcW w:w="3000" w:type="dxa"/>
            <w:tcBorders>
              <w:top w:val="nil"/>
              <w:left w:val="nil"/>
              <w:bottom w:val="single" w:color="auto" w:sz="4" w:space="0"/>
              <w:right w:val="single" w:color="auto" w:sz="4" w:space="0"/>
            </w:tcBorders>
            <w:vAlign w:val="center"/>
          </w:tcPr>
          <w:p w14:paraId="4F85638B">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120.94</w:t>
            </w:r>
          </w:p>
        </w:tc>
        <w:tc>
          <w:tcPr>
            <w:tcW w:w="3492" w:type="dxa"/>
            <w:tcBorders>
              <w:top w:val="nil"/>
              <w:left w:val="nil"/>
              <w:bottom w:val="single" w:color="auto" w:sz="4" w:space="0"/>
              <w:right w:val="single" w:color="auto" w:sz="4" w:space="0"/>
            </w:tcBorders>
            <w:vAlign w:val="center"/>
          </w:tcPr>
          <w:p w14:paraId="21EAFDA5">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120.94</w:t>
            </w:r>
          </w:p>
        </w:tc>
        <w:tc>
          <w:tcPr>
            <w:tcW w:w="3000" w:type="dxa"/>
            <w:tcBorders>
              <w:top w:val="nil"/>
              <w:left w:val="nil"/>
              <w:bottom w:val="single" w:color="auto" w:sz="4" w:space="0"/>
              <w:right w:val="single" w:color="auto" w:sz="8" w:space="0"/>
            </w:tcBorders>
            <w:vAlign w:val="center"/>
          </w:tcPr>
          <w:p w14:paraId="36DCE8CF">
            <w:pPr>
              <w:widowControl/>
              <w:jc w:val="center"/>
              <w:rPr>
                <w:rFonts w:ascii="Times New Roman" w:hAnsi="Times New Roman" w:eastAsia="仿宋_GB2312" w:cs="Times New Roman"/>
                <w:kern w:val="0"/>
              </w:rPr>
            </w:pPr>
          </w:p>
        </w:tc>
      </w:tr>
      <w:tr w14:paraId="05EBAC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DFA34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2012901</w:t>
            </w:r>
          </w:p>
        </w:tc>
        <w:tc>
          <w:tcPr>
            <w:tcW w:w="3527" w:type="dxa"/>
            <w:tcBorders>
              <w:top w:val="nil"/>
              <w:left w:val="nil"/>
              <w:bottom w:val="single" w:color="auto" w:sz="4" w:space="0"/>
              <w:right w:val="single" w:color="auto" w:sz="4" w:space="0"/>
            </w:tcBorders>
            <w:vAlign w:val="center"/>
          </w:tcPr>
          <w:p w14:paraId="26BF018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3F4FD3B2">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12.05</w:t>
            </w:r>
          </w:p>
        </w:tc>
        <w:tc>
          <w:tcPr>
            <w:tcW w:w="3492" w:type="dxa"/>
            <w:tcBorders>
              <w:top w:val="nil"/>
              <w:left w:val="nil"/>
              <w:bottom w:val="single" w:color="auto" w:sz="4" w:space="0"/>
              <w:right w:val="single" w:color="auto" w:sz="4" w:space="0"/>
            </w:tcBorders>
            <w:vAlign w:val="center"/>
          </w:tcPr>
          <w:p w14:paraId="00E16F7D">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12.05</w:t>
            </w:r>
          </w:p>
        </w:tc>
        <w:tc>
          <w:tcPr>
            <w:tcW w:w="3000" w:type="dxa"/>
            <w:tcBorders>
              <w:top w:val="nil"/>
              <w:left w:val="nil"/>
              <w:bottom w:val="single" w:color="auto" w:sz="4" w:space="0"/>
              <w:right w:val="single" w:color="auto" w:sz="8" w:space="0"/>
            </w:tcBorders>
            <w:vAlign w:val="center"/>
          </w:tcPr>
          <w:p w14:paraId="5CC2FD3F">
            <w:pPr>
              <w:widowControl/>
              <w:jc w:val="center"/>
              <w:rPr>
                <w:rFonts w:ascii="Times New Roman" w:hAnsi="Times New Roman" w:eastAsia="仿宋_GB2312" w:cs="Times New Roman"/>
                <w:kern w:val="0"/>
              </w:rPr>
            </w:pPr>
          </w:p>
        </w:tc>
      </w:tr>
      <w:tr w14:paraId="610AC1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3CDB5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vAlign w:val="center"/>
          </w:tcPr>
          <w:p w14:paraId="30EBCC0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vAlign w:val="center"/>
          </w:tcPr>
          <w:p w14:paraId="42E00922">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13.75</w:t>
            </w:r>
          </w:p>
        </w:tc>
        <w:tc>
          <w:tcPr>
            <w:tcW w:w="3492" w:type="dxa"/>
            <w:tcBorders>
              <w:top w:val="nil"/>
              <w:left w:val="nil"/>
              <w:bottom w:val="single" w:color="auto" w:sz="4" w:space="0"/>
              <w:right w:val="single" w:color="auto" w:sz="4" w:space="0"/>
            </w:tcBorders>
            <w:vAlign w:val="center"/>
          </w:tcPr>
          <w:p w14:paraId="50A16089">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13.75</w:t>
            </w:r>
          </w:p>
        </w:tc>
        <w:tc>
          <w:tcPr>
            <w:tcW w:w="3000" w:type="dxa"/>
            <w:tcBorders>
              <w:top w:val="nil"/>
              <w:left w:val="nil"/>
              <w:bottom w:val="single" w:color="auto" w:sz="4" w:space="0"/>
              <w:right w:val="single" w:color="auto" w:sz="8" w:space="0"/>
            </w:tcBorders>
            <w:vAlign w:val="center"/>
          </w:tcPr>
          <w:p w14:paraId="5D21F101">
            <w:pPr>
              <w:widowControl/>
              <w:jc w:val="center"/>
              <w:rPr>
                <w:rFonts w:ascii="Times New Roman" w:hAnsi="Times New Roman" w:eastAsia="仿宋_GB2312" w:cs="Times New Roman"/>
                <w:kern w:val="0"/>
              </w:rPr>
            </w:pPr>
          </w:p>
        </w:tc>
      </w:tr>
      <w:tr w14:paraId="21D5FD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9D78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2101102</w:t>
            </w:r>
          </w:p>
        </w:tc>
        <w:tc>
          <w:tcPr>
            <w:tcW w:w="3527" w:type="dxa"/>
            <w:tcBorders>
              <w:top w:val="nil"/>
              <w:left w:val="nil"/>
              <w:bottom w:val="single" w:color="auto" w:sz="4" w:space="0"/>
              <w:right w:val="single" w:color="auto" w:sz="4" w:space="0"/>
            </w:tcBorders>
            <w:vAlign w:val="center"/>
          </w:tcPr>
          <w:p w14:paraId="0932D0E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事业单位医疗</w:t>
            </w:r>
          </w:p>
        </w:tc>
        <w:tc>
          <w:tcPr>
            <w:tcW w:w="3000" w:type="dxa"/>
            <w:tcBorders>
              <w:top w:val="nil"/>
              <w:left w:val="nil"/>
              <w:bottom w:val="single" w:color="auto" w:sz="4" w:space="0"/>
              <w:right w:val="single" w:color="auto" w:sz="4" w:space="0"/>
            </w:tcBorders>
            <w:vAlign w:val="center"/>
          </w:tcPr>
          <w:p w14:paraId="2C5D9D5C">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8.03</w:t>
            </w:r>
          </w:p>
        </w:tc>
        <w:tc>
          <w:tcPr>
            <w:tcW w:w="3492" w:type="dxa"/>
            <w:tcBorders>
              <w:top w:val="nil"/>
              <w:left w:val="nil"/>
              <w:bottom w:val="single" w:color="auto" w:sz="4" w:space="0"/>
              <w:right w:val="single" w:color="auto" w:sz="4" w:space="0"/>
            </w:tcBorders>
            <w:vAlign w:val="center"/>
          </w:tcPr>
          <w:p w14:paraId="715D4BF3">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8.03</w:t>
            </w:r>
          </w:p>
        </w:tc>
        <w:tc>
          <w:tcPr>
            <w:tcW w:w="3000" w:type="dxa"/>
            <w:tcBorders>
              <w:top w:val="nil"/>
              <w:left w:val="nil"/>
              <w:bottom w:val="single" w:color="auto" w:sz="4" w:space="0"/>
              <w:right w:val="single" w:color="auto" w:sz="8" w:space="0"/>
            </w:tcBorders>
            <w:vAlign w:val="center"/>
          </w:tcPr>
          <w:p w14:paraId="43E9A044">
            <w:pPr>
              <w:widowControl/>
              <w:jc w:val="center"/>
              <w:rPr>
                <w:rFonts w:ascii="Times New Roman" w:hAnsi="Times New Roman" w:eastAsia="仿宋_GB2312" w:cs="Times New Roman"/>
                <w:kern w:val="0"/>
              </w:rPr>
            </w:pPr>
          </w:p>
        </w:tc>
      </w:tr>
      <w:tr w14:paraId="4A211F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8417A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4" w:space="0"/>
              <w:right w:val="single" w:color="auto" w:sz="4" w:space="0"/>
            </w:tcBorders>
            <w:vAlign w:val="center"/>
          </w:tcPr>
          <w:p w14:paraId="1ED027C4">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auto" w:sz="4" w:space="0"/>
              <w:right w:val="single" w:color="auto" w:sz="4" w:space="0"/>
            </w:tcBorders>
            <w:vAlign w:val="center"/>
          </w:tcPr>
          <w:p w14:paraId="443199C6">
            <w:pPr>
              <w:jc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70.53</w:t>
            </w:r>
          </w:p>
        </w:tc>
        <w:tc>
          <w:tcPr>
            <w:tcW w:w="3492" w:type="dxa"/>
            <w:tcBorders>
              <w:top w:val="nil"/>
              <w:left w:val="nil"/>
              <w:bottom w:val="single" w:color="auto" w:sz="4" w:space="0"/>
              <w:right w:val="single" w:color="auto" w:sz="4" w:space="0"/>
            </w:tcBorders>
            <w:vAlign w:val="center"/>
          </w:tcPr>
          <w:p w14:paraId="1F6D2073">
            <w:pPr>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14:paraId="3FF25B57">
            <w:pPr>
              <w:widowControl/>
              <w:jc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70.53</w:t>
            </w:r>
          </w:p>
        </w:tc>
      </w:tr>
      <w:tr w14:paraId="7CD990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3DDB50">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vAlign w:val="center"/>
          </w:tcPr>
          <w:p w14:paraId="40D49C9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vAlign w:val="center"/>
          </w:tcPr>
          <w:p w14:paraId="58A55C4B">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10.67</w:t>
            </w:r>
          </w:p>
        </w:tc>
        <w:tc>
          <w:tcPr>
            <w:tcW w:w="3492" w:type="dxa"/>
            <w:tcBorders>
              <w:top w:val="nil"/>
              <w:left w:val="nil"/>
              <w:bottom w:val="single" w:color="auto" w:sz="8" w:space="0"/>
              <w:right w:val="single" w:color="auto" w:sz="4" w:space="0"/>
            </w:tcBorders>
            <w:vAlign w:val="center"/>
          </w:tcPr>
          <w:p w14:paraId="7ACDDC09">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10.67</w:t>
            </w:r>
          </w:p>
        </w:tc>
        <w:tc>
          <w:tcPr>
            <w:tcW w:w="3000" w:type="dxa"/>
            <w:tcBorders>
              <w:top w:val="nil"/>
              <w:left w:val="nil"/>
              <w:bottom w:val="single" w:color="auto" w:sz="8" w:space="0"/>
              <w:right w:val="single" w:color="auto" w:sz="8" w:space="0"/>
            </w:tcBorders>
            <w:vAlign w:val="center"/>
          </w:tcPr>
          <w:p w14:paraId="47337744">
            <w:pPr>
              <w:widowControl/>
              <w:jc w:val="center"/>
              <w:rPr>
                <w:rFonts w:ascii="Times New Roman" w:hAnsi="Times New Roman" w:eastAsia="仿宋_GB2312" w:cs="Times New Roman"/>
                <w:kern w:val="0"/>
              </w:rPr>
            </w:pP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720FBC25">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1"/>
        <w:tblW w:w="0" w:type="auto"/>
        <w:tblInd w:w="-106" w:type="dxa"/>
        <w:tblLayout w:type="fixed"/>
        <w:tblCellMar>
          <w:top w:w="0" w:type="dxa"/>
          <w:left w:w="108" w:type="dxa"/>
          <w:bottom w:w="0" w:type="dxa"/>
          <w:right w:w="108" w:type="dxa"/>
        </w:tblCellMar>
      </w:tblPr>
      <w:tblGrid>
        <w:gridCol w:w="995"/>
        <w:gridCol w:w="240"/>
        <w:gridCol w:w="94"/>
        <w:gridCol w:w="1297"/>
        <w:gridCol w:w="1933"/>
        <w:gridCol w:w="189"/>
        <w:gridCol w:w="790"/>
        <w:gridCol w:w="1213"/>
        <w:gridCol w:w="307"/>
        <w:gridCol w:w="1989"/>
        <w:gridCol w:w="112"/>
        <w:gridCol w:w="980"/>
        <w:gridCol w:w="1104"/>
        <w:gridCol w:w="20"/>
        <w:gridCol w:w="2102"/>
        <w:gridCol w:w="1382"/>
        <w:gridCol w:w="721"/>
        <w:gridCol w:w="252"/>
      </w:tblGrid>
      <w:tr w14:paraId="7917CAD0">
        <w:tblPrEx>
          <w:tblCellMar>
            <w:top w:w="0" w:type="dxa"/>
            <w:left w:w="108" w:type="dxa"/>
            <w:bottom w:w="0" w:type="dxa"/>
            <w:right w:w="108" w:type="dxa"/>
          </w:tblCellMar>
        </w:tblPrEx>
        <w:trPr>
          <w:trHeight w:val="113" w:hRule="atLeast"/>
        </w:trPr>
        <w:tc>
          <w:tcPr>
            <w:tcW w:w="15720"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329" w:type="dxa"/>
            <w:gridSpan w:val="3"/>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230" w:type="dxa"/>
            <w:gridSpan w:val="2"/>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979"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213"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296"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1092"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104"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3504"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973"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230" w:type="dxa"/>
            <w:gridSpan w:val="2"/>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979" w:type="dxa"/>
            <w:gridSpan w:val="2"/>
            <w:tcBorders>
              <w:top w:val="nil"/>
              <w:left w:val="nil"/>
              <w:bottom w:val="single" w:color="auto" w:sz="4" w:space="0"/>
              <w:right w:val="single" w:color="auto" w:sz="4" w:space="0"/>
            </w:tcBorders>
            <w:noWrap/>
            <w:vAlign w:val="center"/>
          </w:tcPr>
          <w:p w14:paraId="6D89B87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142.31</w:t>
            </w:r>
          </w:p>
        </w:tc>
        <w:tc>
          <w:tcPr>
            <w:tcW w:w="1213"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296"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1092" w:type="dxa"/>
            <w:gridSpan w:val="2"/>
            <w:tcBorders>
              <w:top w:val="nil"/>
              <w:left w:val="nil"/>
              <w:bottom w:val="single" w:color="auto" w:sz="4" w:space="0"/>
              <w:right w:val="single" w:color="auto" w:sz="4" w:space="0"/>
            </w:tcBorders>
            <w:noWrap/>
            <w:vAlign w:val="center"/>
          </w:tcPr>
          <w:p w14:paraId="4773D2F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22.21</w:t>
            </w:r>
          </w:p>
        </w:tc>
        <w:tc>
          <w:tcPr>
            <w:tcW w:w="1104"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3504"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973"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230" w:type="dxa"/>
            <w:gridSpan w:val="2"/>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979" w:type="dxa"/>
            <w:gridSpan w:val="2"/>
            <w:tcBorders>
              <w:top w:val="nil"/>
              <w:left w:val="nil"/>
              <w:bottom w:val="single" w:color="auto" w:sz="4" w:space="0"/>
              <w:right w:val="single" w:color="auto" w:sz="4" w:space="0"/>
            </w:tcBorders>
            <w:noWrap/>
            <w:vAlign w:val="center"/>
          </w:tcPr>
          <w:p w14:paraId="28A941B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39.15</w:t>
            </w:r>
          </w:p>
        </w:tc>
        <w:tc>
          <w:tcPr>
            <w:tcW w:w="1213"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296"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092" w:type="dxa"/>
            <w:gridSpan w:val="2"/>
            <w:tcBorders>
              <w:top w:val="nil"/>
              <w:left w:val="nil"/>
              <w:bottom w:val="single" w:color="auto" w:sz="4" w:space="0"/>
              <w:right w:val="single" w:color="auto" w:sz="4" w:space="0"/>
            </w:tcBorders>
            <w:noWrap/>
            <w:vAlign w:val="center"/>
          </w:tcPr>
          <w:p w14:paraId="529C330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7.57</w:t>
            </w:r>
          </w:p>
        </w:tc>
        <w:tc>
          <w:tcPr>
            <w:tcW w:w="1104"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3504"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73"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230" w:type="dxa"/>
            <w:gridSpan w:val="2"/>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79" w:type="dxa"/>
            <w:gridSpan w:val="2"/>
            <w:tcBorders>
              <w:top w:val="nil"/>
              <w:left w:val="nil"/>
              <w:bottom w:val="single" w:color="auto" w:sz="4" w:space="0"/>
              <w:right w:val="single" w:color="auto" w:sz="4" w:space="0"/>
            </w:tcBorders>
            <w:noWrap/>
            <w:vAlign w:val="center"/>
          </w:tcPr>
          <w:p w14:paraId="4A37E38D">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296"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092" w:type="dxa"/>
            <w:gridSpan w:val="2"/>
            <w:tcBorders>
              <w:top w:val="nil"/>
              <w:left w:val="nil"/>
              <w:bottom w:val="single" w:color="auto" w:sz="4" w:space="0"/>
              <w:right w:val="single" w:color="auto" w:sz="4" w:space="0"/>
            </w:tcBorders>
            <w:noWrap/>
            <w:vAlign w:val="center"/>
          </w:tcPr>
          <w:p w14:paraId="6008748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0.05</w:t>
            </w:r>
          </w:p>
        </w:tc>
        <w:tc>
          <w:tcPr>
            <w:tcW w:w="1104"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3504"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73"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230" w:type="dxa"/>
            <w:gridSpan w:val="2"/>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79" w:type="dxa"/>
            <w:gridSpan w:val="2"/>
            <w:tcBorders>
              <w:top w:val="nil"/>
              <w:left w:val="nil"/>
              <w:bottom w:val="single" w:color="auto" w:sz="4" w:space="0"/>
              <w:right w:val="single" w:color="auto" w:sz="4" w:space="0"/>
            </w:tcBorders>
            <w:noWrap/>
            <w:vAlign w:val="center"/>
          </w:tcPr>
          <w:p w14:paraId="4F41920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32.01</w:t>
            </w:r>
          </w:p>
        </w:tc>
        <w:tc>
          <w:tcPr>
            <w:tcW w:w="1213"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296"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092" w:type="dxa"/>
            <w:gridSpan w:val="2"/>
            <w:tcBorders>
              <w:top w:val="nil"/>
              <w:left w:val="nil"/>
              <w:bottom w:val="single" w:color="auto" w:sz="4" w:space="0"/>
              <w:right w:val="single" w:color="auto" w:sz="4" w:space="0"/>
            </w:tcBorders>
            <w:noWrap/>
            <w:vAlign w:val="center"/>
          </w:tcPr>
          <w:p w14:paraId="58C2E049">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3504"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973"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rPr>
              <w:t>　</w:t>
            </w:r>
          </w:p>
        </w:tc>
      </w:tr>
      <w:tr w14:paraId="663FB1DC">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230" w:type="dxa"/>
            <w:gridSpan w:val="2"/>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79" w:type="dxa"/>
            <w:gridSpan w:val="2"/>
            <w:tcBorders>
              <w:top w:val="nil"/>
              <w:left w:val="nil"/>
              <w:bottom w:val="single" w:color="auto" w:sz="4" w:space="0"/>
              <w:right w:val="single" w:color="auto" w:sz="4" w:space="0"/>
            </w:tcBorders>
            <w:noWrap/>
            <w:vAlign w:val="center"/>
          </w:tcPr>
          <w:p w14:paraId="52449BC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5.81</w:t>
            </w:r>
          </w:p>
        </w:tc>
        <w:tc>
          <w:tcPr>
            <w:tcW w:w="1213"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296"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092" w:type="dxa"/>
            <w:gridSpan w:val="2"/>
            <w:tcBorders>
              <w:top w:val="nil"/>
              <w:left w:val="nil"/>
              <w:bottom w:val="single" w:color="auto" w:sz="4" w:space="0"/>
              <w:right w:val="single" w:color="auto" w:sz="4" w:space="0"/>
            </w:tcBorders>
            <w:noWrap/>
            <w:vAlign w:val="center"/>
          </w:tcPr>
          <w:p w14:paraId="69D7A7C7">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3504"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73"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rPr>
              <w:t>　</w:t>
            </w:r>
          </w:p>
        </w:tc>
      </w:tr>
      <w:tr w14:paraId="153E3848">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230" w:type="dxa"/>
            <w:gridSpan w:val="2"/>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79" w:type="dxa"/>
            <w:gridSpan w:val="2"/>
            <w:tcBorders>
              <w:top w:val="nil"/>
              <w:left w:val="nil"/>
              <w:bottom w:val="single" w:color="auto" w:sz="4" w:space="0"/>
              <w:right w:val="single" w:color="auto" w:sz="4" w:space="0"/>
            </w:tcBorders>
            <w:noWrap/>
            <w:vAlign w:val="center"/>
          </w:tcPr>
          <w:p w14:paraId="44977E3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24.70</w:t>
            </w:r>
          </w:p>
        </w:tc>
        <w:tc>
          <w:tcPr>
            <w:tcW w:w="1213"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296"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092" w:type="dxa"/>
            <w:gridSpan w:val="2"/>
            <w:tcBorders>
              <w:top w:val="nil"/>
              <w:left w:val="nil"/>
              <w:bottom w:val="single" w:color="auto" w:sz="4" w:space="0"/>
              <w:right w:val="single" w:color="auto" w:sz="4" w:space="0"/>
            </w:tcBorders>
            <w:noWrap/>
            <w:vAlign w:val="center"/>
          </w:tcPr>
          <w:p w14:paraId="69CC6BAA">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3504"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73"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rPr>
              <w:t>　</w:t>
            </w:r>
          </w:p>
        </w:tc>
      </w:tr>
      <w:tr w14:paraId="3D969EB2">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230" w:type="dxa"/>
            <w:gridSpan w:val="2"/>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79" w:type="dxa"/>
            <w:gridSpan w:val="2"/>
            <w:tcBorders>
              <w:top w:val="nil"/>
              <w:left w:val="nil"/>
              <w:bottom w:val="single" w:color="auto" w:sz="4" w:space="0"/>
              <w:right w:val="single" w:color="auto" w:sz="4" w:space="0"/>
            </w:tcBorders>
            <w:noWrap/>
            <w:vAlign w:val="center"/>
          </w:tcPr>
          <w:p w14:paraId="760D6B2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13.75</w:t>
            </w:r>
          </w:p>
        </w:tc>
        <w:tc>
          <w:tcPr>
            <w:tcW w:w="1213"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296"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092" w:type="dxa"/>
            <w:gridSpan w:val="2"/>
            <w:tcBorders>
              <w:top w:val="nil"/>
              <w:left w:val="nil"/>
              <w:bottom w:val="single" w:color="auto" w:sz="4" w:space="0"/>
              <w:right w:val="single" w:color="auto" w:sz="4" w:space="0"/>
            </w:tcBorders>
            <w:noWrap/>
            <w:vAlign w:val="center"/>
          </w:tcPr>
          <w:p w14:paraId="70BCA4FA">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3504"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73"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rPr>
              <w:t>　</w:t>
            </w:r>
          </w:p>
        </w:tc>
      </w:tr>
      <w:tr w14:paraId="1B316D49">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230" w:type="dxa"/>
            <w:gridSpan w:val="2"/>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79" w:type="dxa"/>
            <w:gridSpan w:val="2"/>
            <w:tcBorders>
              <w:top w:val="nil"/>
              <w:left w:val="nil"/>
              <w:bottom w:val="single" w:color="auto" w:sz="4" w:space="0"/>
              <w:right w:val="single" w:color="auto" w:sz="4" w:space="0"/>
            </w:tcBorders>
            <w:noWrap/>
            <w:vAlign w:val="center"/>
          </w:tcPr>
          <w:p w14:paraId="17278FA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0.54</w:t>
            </w:r>
          </w:p>
        </w:tc>
        <w:tc>
          <w:tcPr>
            <w:tcW w:w="1213"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296"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092" w:type="dxa"/>
            <w:gridSpan w:val="2"/>
            <w:tcBorders>
              <w:top w:val="nil"/>
              <w:left w:val="nil"/>
              <w:bottom w:val="single" w:color="auto" w:sz="4" w:space="0"/>
              <w:right w:val="single" w:color="auto" w:sz="4" w:space="0"/>
            </w:tcBorders>
            <w:noWrap/>
            <w:vAlign w:val="center"/>
          </w:tcPr>
          <w:p w14:paraId="1F3C280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0.04</w:t>
            </w:r>
          </w:p>
        </w:tc>
        <w:tc>
          <w:tcPr>
            <w:tcW w:w="1104"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3504"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73"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rPr>
              <w:t>　</w:t>
            </w:r>
          </w:p>
        </w:tc>
      </w:tr>
      <w:tr w14:paraId="61F1D618">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230" w:type="dxa"/>
            <w:gridSpan w:val="2"/>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79" w:type="dxa"/>
            <w:gridSpan w:val="2"/>
            <w:tcBorders>
              <w:top w:val="nil"/>
              <w:left w:val="nil"/>
              <w:bottom w:val="single" w:color="auto" w:sz="4" w:space="0"/>
              <w:right w:val="single" w:color="auto" w:sz="4" w:space="0"/>
            </w:tcBorders>
            <w:noWrap/>
            <w:vAlign w:val="center"/>
          </w:tcPr>
          <w:p w14:paraId="6E06119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8.03</w:t>
            </w:r>
          </w:p>
        </w:tc>
        <w:tc>
          <w:tcPr>
            <w:tcW w:w="1213"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296"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092" w:type="dxa"/>
            <w:gridSpan w:val="2"/>
            <w:tcBorders>
              <w:top w:val="nil"/>
              <w:left w:val="nil"/>
              <w:bottom w:val="single" w:color="auto" w:sz="4" w:space="0"/>
              <w:right w:val="single" w:color="auto" w:sz="4" w:space="0"/>
            </w:tcBorders>
            <w:noWrap/>
            <w:vAlign w:val="center"/>
          </w:tcPr>
          <w:p w14:paraId="30CB7327">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3504"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73"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rPr>
              <w:t>　</w:t>
            </w:r>
          </w:p>
        </w:tc>
      </w:tr>
      <w:tr w14:paraId="5A91B425">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230" w:type="dxa"/>
            <w:gridSpan w:val="2"/>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79" w:type="dxa"/>
            <w:gridSpan w:val="2"/>
            <w:tcBorders>
              <w:top w:val="nil"/>
              <w:left w:val="nil"/>
              <w:bottom w:val="single" w:color="auto" w:sz="4" w:space="0"/>
              <w:right w:val="single" w:color="auto" w:sz="4" w:space="0"/>
            </w:tcBorders>
            <w:noWrap/>
            <w:vAlign w:val="center"/>
          </w:tcPr>
          <w:p w14:paraId="65CC010C">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296"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092" w:type="dxa"/>
            <w:gridSpan w:val="2"/>
            <w:tcBorders>
              <w:top w:val="nil"/>
              <w:left w:val="nil"/>
              <w:bottom w:val="single" w:color="auto" w:sz="4" w:space="0"/>
              <w:right w:val="single" w:color="auto" w:sz="4" w:space="0"/>
            </w:tcBorders>
            <w:noWrap/>
            <w:vAlign w:val="center"/>
          </w:tcPr>
          <w:p w14:paraId="0744CE55">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3504"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73"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230" w:type="dxa"/>
            <w:gridSpan w:val="2"/>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79" w:type="dxa"/>
            <w:gridSpan w:val="2"/>
            <w:tcBorders>
              <w:top w:val="nil"/>
              <w:left w:val="nil"/>
              <w:bottom w:val="single" w:color="auto" w:sz="4" w:space="0"/>
              <w:right w:val="single" w:color="auto" w:sz="4" w:space="0"/>
            </w:tcBorders>
            <w:noWrap/>
            <w:vAlign w:val="center"/>
          </w:tcPr>
          <w:p w14:paraId="345654C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1.10</w:t>
            </w:r>
          </w:p>
        </w:tc>
        <w:tc>
          <w:tcPr>
            <w:tcW w:w="1213"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296"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092" w:type="dxa"/>
            <w:gridSpan w:val="2"/>
            <w:tcBorders>
              <w:top w:val="nil"/>
              <w:left w:val="nil"/>
              <w:bottom w:val="single" w:color="auto" w:sz="4" w:space="0"/>
              <w:right w:val="single" w:color="auto" w:sz="4" w:space="0"/>
            </w:tcBorders>
            <w:noWrap/>
            <w:vAlign w:val="center"/>
          </w:tcPr>
          <w:p w14:paraId="778ABC2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1.00</w:t>
            </w:r>
          </w:p>
        </w:tc>
        <w:tc>
          <w:tcPr>
            <w:tcW w:w="1104"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3504"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73"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230" w:type="dxa"/>
            <w:gridSpan w:val="2"/>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79" w:type="dxa"/>
            <w:gridSpan w:val="2"/>
            <w:tcBorders>
              <w:top w:val="nil"/>
              <w:left w:val="nil"/>
              <w:bottom w:val="single" w:color="auto" w:sz="4" w:space="0"/>
              <w:right w:val="single" w:color="auto" w:sz="4" w:space="0"/>
            </w:tcBorders>
            <w:noWrap/>
            <w:vAlign w:val="center"/>
          </w:tcPr>
          <w:p w14:paraId="772C86C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11.43</w:t>
            </w:r>
          </w:p>
        </w:tc>
        <w:tc>
          <w:tcPr>
            <w:tcW w:w="1213"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296"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092" w:type="dxa"/>
            <w:gridSpan w:val="2"/>
            <w:tcBorders>
              <w:top w:val="nil"/>
              <w:left w:val="nil"/>
              <w:bottom w:val="single" w:color="auto" w:sz="4" w:space="0"/>
              <w:right w:val="single" w:color="auto" w:sz="4" w:space="0"/>
            </w:tcBorders>
            <w:noWrap/>
            <w:vAlign w:val="center"/>
          </w:tcPr>
          <w:p w14:paraId="2563464B">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3504"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73"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230" w:type="dxa"/>
            <w:gridSpan w:val="2"/>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79" w:type="dxa"/>
            <w:gridSpan w:val="2"/>
            <w:tcBorders>
              <w:top w:val="nil"/>
              <w:left w:val="nil"/>
              <w:bottom w:val="single" w:color="auto" w:sz="4" w:space="0"/>
              <w:right w:val="single" w:color="auto" w:sz="4" w:space="0"/>
            </w:tcBorders>
            <w:noWrap/>
            <w:vAlign w:val="center"/>
          </w:tcPr>
          <w:p w14:paraId="2844CD80">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296"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092" w:type="dxa"/>
            <w:gridSpan w:val="2"/>
            <w:tcBorders>
              <w:top w:val="nil"/>
              <w:left w:val="nil"/>
              <w:bottom w:val="single" w:color="auto" w:sz="4" w:space="0"/>
              <w:right w:val="single" w:color="auto" w:sz="4" w:space="0"/>
            </w:tcBorders>
            <w:noWrap/>
            <w:vAlign w:val="center"/>
          </w:tcPr>
          <w:p w14:paraId="3E35706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0.33</w:t>
            </w:r>
          </w:p>
        </w:tc>
        <w:tc>
          <w:tcPr>
            <w:tcW w:w="1104"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3504"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73"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230" w:type="dxa"/>
            <w:gridSpan w:val="2"/>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79" w:type="dxa"/>
            <w:gridSpan w:val="2"/>
            <w:tcBorders>
              <w:top w:val="nil"/>
              <w:left w:val="nil"/>
              <w:bottom w:val="single" w:color="auto" w:sz="4" w:space="0"/>
              <w:right w:val="single" w:color="auto" w:sz="4" w:space="0"/>
            </w:tcBorders>
            <w:noWrap/>
            <w:vAlign w:val="center"/>
          </w:tcPr>
          <w:p w14:paraId="1D9234E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5.80</w:t>
            </w:r>
          </w:p>
        </w:tc>
        <w:tc>
          <w:tcPr>
            <w:tcW w:w="1213"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296"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092" w:type="dxa"/>
            <w:gridSpan w:val="2"/>
            <w:tcBorders>
              <w:top w:val="nil"/>
              <w:left w:val="nil"/>
              <w:bottom w:val="single" w:color="auto" w:sz="4" w:space="0"/>
              <w:right w:val="single" w:color="auto" w:sz="4" w:space="0"/>
            </w:tcBorders>
            <w:noWrap/>
            <w:vAlign w:val="center"/>
          </w:tcPr>
          <w:p w14:paraId="3BBB897C">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3504"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73"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230" w:type="dxa"/>
            <w:gridSpan w:val="2"/>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979" w:type="dxa"/>
            <w:gridSpan w:val="2"/>
            <w:tcBorders>
              <w:top w:val="nil"/>
              <w:left w:val="nil"/>
              <w:bottom w:val="single" w:color="auto" w:sz="4" w:space="0"/>
              <w:right w:val="single" w:color="auto" w:sz="4" w:space="0"/>
            </w:tcBorders>
            <w:noWrap/>
            <w:vAlign w:val="center"/>
          </w:tcPr>
          <w:p w14:paraId="66862AA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0.91</w:t>
            </w:r>
          </w:p>
        </w:tc>
        <w:tc>
          <w:tcPr>
            <w:tcW w:w="1213"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296"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092" w:type="dxa"/>
            <w:gridSpan w:val="2"/>
            <w:tcBorders>
              <w:top w:val="nil"/>
              <w:left w:val="nil"/>
              <w:bottom w:val="single" w:color="auto" w:sz="4" w:space="0"/>
              <w:right w:val="single" w:color="auto" w:sz="4" w:space="0"/>
            </w:tcBorders>
            <w:noWrap/>
            <w:vAlign w:val="center"/>
          </w:tcPr>
          <w:p w14:paraId="68FF32A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0.46</w:t>
            </w:r>
          </w:p>
        </w:tc>
        <w:tc>
          <w:tcPr>
            <w:tcW w:w="1104"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3504"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73"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230" w:type="dxa"/>
            <w:gridSpan w:val="2"/>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79" w:type="dxa"/>
            <w:gridSpan w:val="2"/>
            <w:tcBorders>
              <w:top w:val="nil"/>
              <w:left w:val="nil"/>
              <w:bottom w:val="single" w:color="auto" w:sz="4" w:space="0"/>
              <w:right w:val="single" w:color="auto" w:sz="4" w:space="0"/>
            </w:tcBorders>
            <w:noWrap/>
            <w:vAlign w:val="center"/>
          </w:tcPr>
          <w:p w14:paraId="77F44F32">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296"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092" w:type="dxa"/>
            <w:gridSpan w:val="2"/>
            <w:tcBorders>
              <w:top w:val="nil"/>
              <w:left w:val="nil"/>
              <w:bottom w:val="single" w:color="auto" w:sz="4" w:space="0"/>
              <w:right w:val="single" w:color="auto" w:sz="4" w:space="0"/>
            </w:tcBorders>
            <w:noWrap/>
            <w:vAlign w:val="center"/>
          </w:tcPr>
          <w:p w14:paraId="586697D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0.19</w:t>
            </w:r>
          </w:p>
        </w:tc>
        <w:tc>
          <w:tcPr>
            <w:tcW w:w="1104"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3504"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73"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230" w:type="dxa"/>
            <w:gridSpan w:val="2"/>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79" w:type="dxa"/>
            <w:gridSpan w:val="2"/>
            <w:tcBorders>
              <w:top w:val="nil"/>
              <w:left w:val="nil"/>
              <w:bottom w:val="single" w:color="auto" w:sz="4" w:space="0"/>
              <w:right w:val="single" w:color="auto" w:sz="4" w:space="0"/>
            </w:tcBorders>
            <w:noWrap/>
            <w:vAlign w:val="center"/>
          </w:tcPr>
          <w:p w14:paraId="6F1CB64F">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296"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092" w:type="dxa"/>
            <w:gridSpan w:val="2"/>
            <w:tcBorders>
              <w:top w:val="nil"/>
              <w:left w:val="nil"/>
              <w:bottom w:val="single" w:color="auto" w:sz="4" w:space="0"/>
              <w:right w:val="single" w:color="auto" w:sz="4" w:space="0"/>
            </w:tcBorders>
            <w:noWrap/>
            <w:vAlign w:val="center"/>
          </w:tcPr>
          <w:p w14:paraId="30DFB394">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3504"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73"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230" w:type="dxa"/>
            <w:gridSpan w:val="2"/>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79" w:type="dxa"/>
            <w:gridSpan w:val="2"/>
            <w:tcBorders>
              <w:top w:val="nil"/>
              <w:left w:val="nil"/>
              <w:bottom w:val="single" w:color="auto" w:sz="4" w:space="0"/>
              <w:right w:val="single" w:color="auto" w:sz="4" w:space="0"/>
            </w:tcBorders>
            <w:noWrap/>
            <w:vAlign w:val="center"/>
          </w:tcPr>
          <w:p w14:paraId="3E617464">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296"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092" w:type="dxa"/>
            <w:gridSpan w:val="2"/>
            <w:tcBorders>
              <w:top w:val="nil"/>
              <w:left w:val="nil"/>
              <w:bottom w:val="single" w:color="auto" w:sz="4" w:space="0"/>
              <w:right w:val="single" w:color="auto" w:sz="4" w:space="0"/>
            </w:tcBorders>
            <w:noWrap/>
            <w:vAlign w:val="center"/>
          </w:tcPr>
          <w:p w14:paraId="2364E99D">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3504"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73"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230" w:type="dxa"/>
            <w:gridSpan w:val="2"/>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79" w:type="dxa"/>
            <w:gridSpan w:val="2"/>
            <w:tcBorders>
              <w:top w:val="nil"/>
              <w:left w:val="nil"/>
              <w:bottom w:val="single" w:color="auto" w:sz="4" w:space="0"/>
              <w:right w:val="single" w:color="auto" w:sz="4" w:space="0"/>
            </w:tcBorders>
            <w:noWrap/>
            <w:vAlign w:val="center"/>
          </w:tcPr>
          <w:p w14:paraId="4D97F310">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296"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092" w:type="dxa"/>
            <w:gridSpan w:val="2"/>
            <w:tcBorders>
              <w:top w:val="nil"/>
              <w:left w:val="nil"/>
              <w:bottom w:val="single" w:color="auto" w:sz="4" w:space="0"/>
              <w:right w:val="single" w:color="auto" w:sz="4" w:space="0"/>
            </w:tcBorders>
            <w:noWrap/>
            <w:vAlign w:val="center"/>
          </w:tcPr>
          <w:p w14:paraId="6D9387F3">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3504"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73"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230" w:type="dxa"/>
            <w:gridSpan w:val="2"/>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79" w:type="dxa"/>
            <w:gridSpan w:val="2"/>
            <w:tcBorders>
              <w:top w:val="nil"/>
              <w:left w:val="nil"/>
              <w:bottom w:val="single" w:color="auto" w:sz="4" w:space="0"/>
              <w:right w:val="single" w:color="auto" w:sz="4" w:space="0"/>
            </w:tcBorders>
            <w:noWrap/>
            <w:vAlign w:val="center"/>
          </w:tcPr>
          <w:p w14:paraId="483357D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0.69</w:t>
            </w:r>
          </w:p>
        </w:tc>
        <w:tc>
          <w:tcPr>
            <w:tcW w:w="1213"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296"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092" w:type="dxa"/>
            <w:gridSpan w:val="2"/>
            <w:tcBorders>
              <w:top w:val="nil"/>
              <w:left w:val="nil"/>
              <w:bottom w:val="single" w:color="auto" w:sz="4" w:space="0"/>
              <w:right w:val="single" w:color="auto" w:sz="4" w:space="0"/>
            </w:tcBorders>
            <w:noWrap/>
            <w:vAlign w:val="center"/>
          </w:tcPr>
          <w:p w14:paraId="07C3711A">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3504"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73"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230" w:type="dxa"/>
            <w:gridSpan w:val="2"/>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79" w:type="dxa"/>
            <w:gridSpan w:val="2"/>
            <w:tcBorders>
              <w:top w:val="nil"/>
              <w:left w:val="nil"/>
              <w:bottom w:val="single" w:color="auto" w:sz="4" w:space="0"/>
              <w:right w:val="single" w:color="auto" w:sz="4" w:space="0"/>
            </w:tcBorders>
            <w:noWrap/>
            <w:vAlign w:val="center"/>
          </w:tcPr>
          <w:p w14:paraId="404AE38E">
            <w:pPr>
              <w:keepNext w:val="0"/>
              <w:keepLines w:val="0"/>
              <w:widowControl/>
              <w:suppressLineNumbers w:val="0"/>
              <w:jc w:val="center"/>
              <w:textAlignment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296"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092" w:type="dxa"/>
            <w:gridSpan w:val="2"/>
            <w:tcBorders>
              <w:top w:val="nil"/>
              <w:left w:val="nil"/>
              <w:bottom w:val="single" w:color="auto" w:sz="4" w:space="0"/>
              <w:right w:val="single" w:color="auto" w:sz="4" w:space="0"/>
            </w:tcBorders>
            <w:noWrap/>
            <w:vAlign w:val="center"/>
          </w:tcPr>
          <w:p w14:paraId="4EC34613">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3504"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973"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230" w:type="dxa"/>
            <w:gridSpan w:val="2"/>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79" w:type="dxa"/>
            <w:gridSpan w:val="2"/>
            <w:tcBorders>
              <w:top w:val="nil"/>
              <w:left w:val="nil"/>
              <w:bottom w:val="single" w:color="auto" w:sz="4" w:space="0"/>
              <w:right w:val="single" w:color="auto" w:sz="4" w:space="0"/>
            </w:tcBorders>
            <w:noWrap/>
            <w:vAlign w:val="center"/>
          </w:tcPr>
          <w:p w14:paraId="026D1FE6">
            <w:pPr>
              <w:keepNext w:val="0"/>
              <w:keepLines w:val="0"/>
              <w:widowControl/>
              <w:suppressLineNumbers w:val="0"/>
              <w:jc w:val="center"/>
              <w:textAlignment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296"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092" w:type="dxa"/>
            <w:gridSpan w:val="2"/>
            <w:tcBorders>
              <w:top w:val="nil"/>
              <w:left w:val="nil"/>
              <w:bottom w:val="single" w:color="auto" w:sz="4" w:space="0"/>
              <w:right w:val="single" w:color="auto" w:sz="4" w:space="0"/>
            </w:tcBorders>
            <w:noWrap/>
            <w:vAlign w:val="center"/>
          </w:tcPr>
          <w:p w14:paraId="370A7E08">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3504"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73"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230" w:type="dxa"/>
            <w:gridSpan w:val="2"/>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79" w:type="dxa"/>
            <w:gridSpan w:val="2"/>
            <w:tcBorders>
              <w:top w:val="nil"/>
              <w:left w:val="nil"/>
              <w:bottom w:val="single" w:color="auto" w:sz="4" w:space="0"/>
              <w:right w:val="single" w:color="auto" w:sz="4" w:space="0"/>
            </w:tcBorders>
            <w:noWrap/>
            <w:vAlign w:val="center"/>
          </w:tcPr>
          <w:p w14:paraId="6E88CDDB">
            <w:pPr>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296"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092" w:type="dxa"/>
            <w:gridSpan w:val="2"/>
            <w:tcBorders>
              <w:top w:val="nil"/>
              <w:left w:val="nil"/>
              <w:bottom w:val="single" w:color="auto" w:sz="4" w:space="0"/>
              <w:right w:val="single" w:color="auto" w:sz="4" w:space="0"/>
            </w:tcBorders>
            <w:noWrap/>
            <w:vAlign w:val="center"/>
          </w:tcPr>
          <w:p w14:paraId="3905AE5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0.84</w:t>
            </w:r>
          </w:p>
        </w:tc>
        <w:tc>
          <w:tcPr>
            <w:tcW w:w="1104"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3504"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73"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230" w:type="dxa"/>
            <w:gridSpan w:val="2"/>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79" w:type="dxa"/>
            <w:gridSpan w:val="2"/>
            <w:tcBorders>
              <w:top w:val="nil"/>
              <w:left w:val="nil"/>
              <w:bottom w:val="single" w:color="auto" w:sz="4" w:space="0"/>
              <w:right w:val="single" w:color="auto" w:sz="4" w:space="0"/>
            </w:tcBorders>
            <w:noWrap/>
            <w:vAlign w:val="center"/>
          </w:tcPr>
          <w:p w14:paraId="6539AAA7">
            <w:pPr>
              <w:keepNext w:val="0"/>
              <w:keepLines w:val="0"/>
              <w:widowControl/>
              <w:suppressLineNumbers w:val="0"/>
              <w:jc w:val="center"/>
              <w:textAlignment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0.22</w:t>
            </w:r>
          </w:p>
        </w:tc>
        <w:tc>
          <w:tcPr>
            <w:tcW w:w="1213"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296"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092" w:type="dxa"/>
            <w:gridSpan w:val="2"/>
            <w:tcBorders>
              <w:top w:val="nil"/>
              <w:left w:val="nil"/>
              <w:bottom w:val="single" w:color="auto" w:sz="4" w:space="0"/>
              <w:right w:val="single" w:color="auto" w:sz="4" w:space="0"/>
            </w:tcBorders>
            <w:noWrap/>
            <w:vAlign w:val="center"/>
          </w:tcPr>
          <w:p w14:paraId="3ACFBBDA">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3504"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11"/>
              <w:tblW w:w="3946" w:type="dxa"/>
              <w:tblInd w:w="3" w:type="dxa"/>
              <w:tblLayout w:type="fixed"/>
              <w:tblCellMar>
                <w:top w:w="0" w:type="dxa"/>
                <w:left w:w="108" w:type="dxa"/>
                <w:bottom w:w="0" w:type="dxa"/>
                <w:right w:w="108" w:type="dxa"/>
              </w:tblCellMar>
            </w:tblPr>
            <w:tblGrid>
              <w:gridCol w:w="3946"/>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11"/>
              <w:tblW w:w="3946" w:type="dxa"/>
              <w:tblInd w:w="3" w:type="dxa"/>
              <w:tblLayout w:type="fixed"/>
              <w:tblCellMar>
                <w:top w:w="0" w:type="dxa"/>
                <w:left w:w="108" w:type="dxa"/>
                <w:bottom w:w="0" w:type="dxa"/>
                <w:right w:w="108" w:type="dxa"/>
              </w:tblCellMar>
            </w:tblPr>
            <w:tblGrid>
              <w:gridCol w:w="3946"/>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973"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230" w:type="dxa"/>
            <w:gridSpan w:val="2"/>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79" w:type="dxa"/>
            <w:gridSpan w:val="2"/>
            <w:tcBorders>
              <w:top w:val="nil"/>
              <w:left w:val="nil"/>
              <w:bottom w:val="single" w:color="auto" w:sz="4" w:space="0"/>
              <w:right w:val="single" w:color="auto" w:sz="4" w:space="0"/>
            </w:tcBorders>
            <w:noWrap/>
            <w:vAlign w:val="center"/>
          </w:tcPr>
          <w:p w14:paraId="21B306EE">
            <w:pPr>
              <w:keepNext w:val="0"/>
              <w:keepLines w:val="0"/>
              <w:widowControl/>
              <w:suppressLineNumbers w:val="0"/>
              <w:jc w:val="center"/>
              <w:textAlignment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296"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092" w:type="dxa"/>
            <w:gridSpan w:val="2"/>
            <w:tcBorders>
              <w:top w:val="nil"/>
              <w:left w:val="nil"/>
              <w:bottom w:val="single" w:color="auto" w:sz="4" w:space="0"/>
              <w:right w:val="single" w:color="auto" w:sz="4" w:space="0"/>
            </w:tcBorders>
            <w:noWrap/>
            <w:vAlign w:val="center"/>
          </w:tcPr>
          <w:p w14:paraId="5C622A2A">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3504"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973"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230" w:type="dxa"/>
            <w:gridSpan w:val="2"/>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79" w:type="dxa"/>
            <w:gridSpan w:val="2"/>
            <w:tcBorders>
              <w:top w:val="nil"/>
              <w:left w:val="nil"/>
              <w:bottom w:val="single" w:color="auto" w:sz="4" w:space="0"/>
              <w:right w:val="single" w:color="auto" w:sz="4" w:space="0"/>
            </w:tcBorders>
            <w:noWrap/>
            <w:vAlign w:val="center"/>
          </w:tcPr>
          <w:p w14:paraId="2C005585">
            <w:pPr>
              <w:keepNext w:val="0"/>
              <w:keepLines w:val="0"/>
              <w:widowControl/>
              <w:suppressLineNumbers w:val="0"/>
              <w:jc w:val="center"/>
              <w:textAlignment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296"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092" w:type="dxa"/>
            <w:gridSpan w:val="2"/>
            <w:tcBorders>
              <w:top w:val="nil"/>
              <w:left w:val="nil"/>
              <w:bottom w:val="single" w:color="auto" w:sz="4" w:space="0"/>
              <w:right w:val="single" w:color="auto" w:sz="4" w:space="0"/>
            </w:tcBorders>
            <w:noWrap/>
            <w:vAlign w:val="center"/>
          </w:tcPr>
          <w:p w14:paraId="0B1A8B3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7.04</w:t>
            </w:r>
          </w:p>
        </w:tc>
        <w:tc>
          <w:tcPr>
            <w:tcW w:w="1104"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3504"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73"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230" w:type="dxa"/>
            <w:gridSpan w:val="2"/>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79" w:type="dxa"/>
            <w:gridSpan w:val="2"/>
            <w:tcBorders>
              <w:top w:val="nil"/>
              <w:left w:val="nil"/>
              <w:bottom w:val="single" w:color="auto" w:sz="4" w:space="0"/>
              <w:right w:val="single" w:color="auto" w:sz="4" w:space="0"/>
            </w:tcBorders>
            <w:noWrap/>
            <w:vAlign w:val="center"/>
          </w:tcPr>
          <w:p w14:paraId="6DB9EF52">
            <w:pPr>
              <w:widowControl/>
              <w:jc w:val="center"/>
              <w:rPr>
                <w:rFonts w:ascii="宋体" w:cs="Times New Roman"/>
                <w:color w:val="000000"/>
                <w:kern w:val="0"/>
              </w:rPr>
            </w:pPr>
          </w:p>
        </w:tc>
        <w:tc>
          <w:tcPr>
            <w:tcW w:w="1213"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296"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092" w:type="dxa"/>
            <w:gridSpan w:val="2"/>
            <w:tcBorders>
              <w:top w:val="nil"/>
              <w:left w:val="nil"/>
              <w:bottom w:val="single" w:color="auto" w:sz="4" w:space="0"/>
              <w:right w:val="single" w:color="auto" w:sz="4" w:space="0"/>
            </w:tcBorders>
            <w:noWrap/>
            <w:vAlign w:val="center"/>
          </w:tcPr>
          <w:p w14:paraId="5DAC8DD2">
            <w:pPr>
              <w:jc w:val="center"/>
              <w:rPr>
                <w:rFonts w:ascii="宋体" w:cs="Times New Roman"/>
                <w:color w:val="000000"/>
                <w:kern w:val="0"/>
              </w:rPr>
            </w:pPr>
          </w:p>
        </w:tc>
        <w:tc>
          <w:tcPr>
            <w:tcW w:w="1104"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3504"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973"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329" w:type="dxa"/>
            <w:gridSpan w:val="3"/>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230" w:type="dxa"/>
            <w:gridSpan w:val="2"/>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979" w:type="dxa"/>
            <w:gridSpan w:val="2"/>
            <w:tcBorders>
              <w:top w:val="nil"/>
              <w:left w:val="nil"/>
              <w:bottom w:val="single" w:color="auto" w:sz="4" w:space="0"/>
              <w:right w:val="single" w:color="auto" w:sz="4" w:space="0"/>
            </w:tcBorders>
            <w:noWrap/>
            <w:vAlign w:val="center"/>
          </w:tcPr>
          <w:p w14:paraId="4367E3F4">
            <w:pPr>
              <w:widowControl/>
              <w:jc w:val="left"/>
              <w:rPr>
                <w:rFonts w:ascii="宋体" w:cs="Times New Roman"/>
                <w:color w:val="000000"/>
                <w:kern w:val="0"/>
              </w:rPr>
            </w:pPr>
            <w:r>
              <w:rPr>
                <w:rFonts w:hint="eastAsia" w:ascii="宋体" w:hAnsi="宋体" w:cs="宋体"/>
                <w:color w:val="000000"/>
                <w:kern w:val="0"/>
              </w:rPr>
              <w:t>　</w:t>
            </w:r>
          </w:p>
        </w:tc>
        <w:tc>
          <w:tcPr>
            <w:tcW w:w="1213"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296"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092" w:type="dxa"/>
            <w:gridSpan w:val="2"/>
            <w:tcBorders>
              <w:top w:val="nil"/>
              <w:left w:val="nil"/>
              <w:bottom w:val="single" w:color="auto" w:sz="4" w:space="0"/>
              <w:right w:val="single" w:color="auto" w:sz="4" w:space="0"/>
            </w:tcBorders>
            <w:noWrap/>
            <w:vAlign w:val="center"/>
          </w:tcPr>
          <w:p w14:paraId="3E01015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4.70</w:t>
            </w:r>
          </w:p>
        </w:tc>
        <w:tc>
          <w:tcPr>
            <w:tcW w:w="1104"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3504"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973"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559"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979" w:type="dxa"/>
            <w:gridSpan w:val="2"/>
            <w:tcBorders>
              <w:top w:val="nil"/>
              <w:left w:val="nil"/>
              <w:bottom w:val="single" w:color="auto" w:sz="4" w:space="0"/>
              <w:right w:val="single" w:color="auto" w:sz="4" w:space="0"/>
            </w:tcBorders>
            <w:noWrap/>
            <w:vAlign w:val="center"/>
          </w:tcPr>
          <w:p w14:paraId="146AC685">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143.23</w:t>
            </w:r>
          </w:p>
        </w:tc>
        <w:tc>
          <w:tcPr>
            <w:tcW w:w="9209"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rPr>
            </w:pPr>
            <w:r>
              <w:rPr>
                <w:rFonts w:hint="eastAsia" w:ascii="宋体" w:hAnsi="宋体" w:cs="宋体"/>
                <w:color w:val="000000"/>
                <w:kern w:val="0"/>
              </w:rPr>
              <w:t>公用经费合计</w:t>
            </w:r>
          </w:p>
        </w:tc>
        <w:tc>
          <w:tcPr>
            <w:tcW w:w="973" w:type="dxa"/>
            <w:gridSpan w:val="2"/>
            <w:tcBorders>
              <w:top w:val="nil"/>
              <w:left w:val="nil"/>
              <w:bottom w:val="single" w:color="auto" w:sz="4" w:space="0"/>
              <w:right w:val="single" w:color="auto" w:sz="4" w:space="0"/>
            </w:tcBorders>
            <w:noWrap/>
            <w:vAlign w:val="center"/>
          </w:tcPr>
          <w:p w14:paraId="5D32E2F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22.21</w:t>
            </w:r>
          </w:p>
        </w:tc>
      </w:tr>
      <w:tr w14:paraId="4E36D70F">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52" w:type="dxa"/>
          <w:trHeight w:val="690" w:hRule="atLeast"/>
        </w:trPr>
        <w:tc>
          <w:tcPr>
            <w:tcW w:w="15468"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52" w:type="dxa"/>
          <w:trHeight w:val="345" w:hRule="atLeast"/>
        </w:trPr>
        <w:tc>
          <w:tcPr>
            <w:tcW w:w="995"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40" w:type="dxa"/>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391" w:type="dxa"/>
            <w:gridSpan w:val="2"/>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122"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310"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101"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04"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102"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03"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52" w:type="dxa"/>
          <w:trHeight w:val="690" w:hRule="atLeast"/>
        </w:trPr>
        <w:tc>
          <w:tcPr>
            <w:tcW w:w="995"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40" w:type="dxa"/>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391" w:type="dxa"/>
            <w:gridSpan w:val="2"/>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122"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310"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101"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04"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102"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03"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52" w:type="dxa"/>
          <w:trHeight w:val="459" w:hRule="atLeast"/>
        </w:trPr>
        <w:tc>
          <w:tcPr>
            <w:tcW w:w="2626"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21"/>
              </w:rPr>
              <w:t xml:space="preserve">   </w:t>
            </w:r>
            <w:r>
              <w:rPr>
                <w:rStyle w:val="22"/>
                <w:rFonts w:hint="eastAsia"/>
              </w:rPr>
              <w:t>目</w:t>
            </w:r>
          </w:p>
        </w:tc>
        <w:tc>
          <w:tcPr>
            <w:tcW w:w="212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310"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307"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0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52" w:type="dxa"/>
          <w:trHeight w:val="609" w:hRule="atLeast"/>
        </w:trPr>
        <w:tc>
          <w:tcPr>
            <w:tcW w:w="123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39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12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3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10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04"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102"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0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52" w:type="dxa"/>
          <w:trHeight w:val="409" w:hRule="atLeast"/>
        </w:trPr>
        <w:tc>
          <w:tcPr>
            <w:tcW w:w="123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39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12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3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10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0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102"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0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52" w:type="dxa"/>
          <w:trHeight w:val="509" w:hRule="atLeast"/>
        </w:trPr>
        <w:tc>
          <w:tcPr>
            <w:tcW w:w="123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39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12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3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10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0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102"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0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52" w:type="dxa"/>
          <w:trHeight w:val="509" w:hRule="atLeast"/>
        </w:trPr>
        <w:tc>
          <w:tcPr>
            <w:tcW w:w="2626"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02"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52" w:type="dxa"/>
          <w:trHeight w:val="509" w:hRule="atLeast"/>
        </w:trPr>
        <w:tc>
          <w:tcPr>
            <w:tcW w:w="2626"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无</w:t>
            </w: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52" w:type="dxa"/>
          <w:trHeight w:val="509" w:hRule="atLeast"/>
        </w:trPr>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391" w:type="dxa"/>
            <w:gridSpan w:val="2"/>
            <w:tcBorders>
              <w:top w:val="single" w:color="000000" w:sz="4" w:space="0"/>
              <w:left w:val="single" w:color="000000" w:sz="4" w:space="0"/>
              <w:bottom w:val="single" w:color="000000" w:sz="4" w:space="0"/>
              <w:right w:val="single" w:color="000000" w:sz="4" w:space="0"/>
            </w:tcBorders>
            <w:vAlign w:val="center"/>
          </w:tcPr>
          <w:p w14:paraId="418968E7">
            <w:pPr>
              <w:rPr>
                <w:rFonts w:ascii="宋体" w:cs="Times New Roman"/>
                <w:color w:val="000000"/>
                <w:sz w:val="20"/>
                <w:szCs w:val="20"/>
              </w:rPr>
            </w:pP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52" w:type="dxa"/>
          <w:trHeight w:val="509" w:hRule="atLeast"/>
        </w:trPr>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391" w:type="dxa"/>
            <w:gridSpan w:val="2"/>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252" w:type="dxa"/>
          <w:trHeight w:val="509" w:hRule="atLeast"/>
        </w:trPr>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391" w:type="dxa"/>
            <w:gridSpan w:val="2"/>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252" w:type="dxa"/>
          <w:trHeight w:val="509" w:hRule="atLeast"/>
        </w:trPr>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391" w:type="dxa"/>
            <w:gridSpan w:val="2"/>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252" w:type="dxa"/>
          <w:trHeight w:val="509" w:hRule="atLeast"/>
        </w:trPr>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391" w:type="dxa"/>
            <w:gridSpan w:val="2"/>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252" w:type="dxa"/>
          <w:trHeight w:val="509" w:hRule="atLeast"/>
        </w:trPr>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391" w:type="dxa"/>
            <w:gridSpan w:val="2"/>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122"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101"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104"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103"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52" w:type="dxa"/>
          <w:trHeight w:val="725" w:hRule="atLeast"/>
        </w:trPr>
        <w:tc>
          <w:tcPr>
            <w:tcW w:w="15468"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11"/>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3"/>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hint="eastAsia" w:ascii="宋体" w:eastAsia="宋体" w:cs="Times New Roman"/>
                <w:color w:val="000000"/>
                <w:sz w:val="24"/>
                <w:szCs w:val="24"/>
                <w:lang w:val="en-US" w:eastAsia="zh-CN"/>
              </w:rPr>
            </w:pPr>
            <w:r>
              <w:rPr>
                <w:rFonts w:hint="eastAsia" w:ascii="宋体" w:cs="Times New Roman"/>
                <w:color w:val="000000"/>
                <w:sz w:val="24"/>
                <w:szCs w:val="24"/>
                <w:lang w:val="en-US" w:eastAsia="zh-CN"/>
              </w:rPr>
              <w:t>无</w:t>
            </w: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11"/>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70206655">
      <w:pPr>
        <w:pStyle w:val="19"/>
        <w:rPr>
          <w:rFonts w:cs="Times New Roman"/>
          <w:sz w:val="72"/>
          <w:szCs w:val="72"/>
        </w:rPr>
      </w:pPr>
    </w:p>
    <w:p w14:paraId="306C00F7">
      <w:pPr>
        <w:pStyle w:val="19"/>
        <w:rPr>
          <w:rFonts w:cs="Times New Roman"/>
          <w:sz w:val="72"/>
          <w:szCs w:val="72"/>
        </w:rPr>
      </w:pPr>
    </w:p>
    <w:p w14:paraId="33405096">
      <w:pPr>
        <w:pStyle w:val="19"/>
        <w:rPr>
          <w:rFonts w:cs="Times New Roman"/>
          <w:sz w:val="72"/>
          <w:szCs w:val="72"/>
        </w:rPr>
      </w:pPr>
    </w:p>
    <w:p w14:paraId="049C4E2E">
      <w:pPr>
        <w:pStyle w:val="19"/>
        <w:rPr>
          <w:rFonts w:cs="Times New Roman"/>
          <w:sz w:val="72"/>
          <w:szCs w:val="72"/>
        </w:rPr>
      </w:pPr>
    </w:p>
    <w:p w14:paraId="48A8AE58">
      <w:pPr>
        <w:pStyle w:val="19"/>
        <w:jc w:val="center"/>
        <w:rPr>
          <w:rFonts w:cs="Times New Roman"/>
          <w:sz w:val="72"/>
          <w:szCs w:val="72"/>
        </w:rPr>
      </w:pPr>
    </w:p>
    <w:p w14:paraId="0AACC42C">
      <w:pPr>
        <w:pStyle w:val="19"/>
        <w:jc w:val="center"/>
        <w:rPr>
          <w:rFonts w:ascii="方正小标宋_GBK" w:hAnsi="方正小标宋_GBK" w:eastAsia="方正小标宋_GBK" w:cs="Times New Roman"/>
          <w:sz w:val="72"/>
          <w:szCs w:val="72"/>
        </w:rPr>
      </w:pPr>
    </w:p>
    <w:p w14:paraId="3FBE5EBC">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9"/>
        <w:jc w:val="center"/>
        <w:rPr>
          <w:rFonts w:ascii="方正小标宋_GBK" w:hAnsi="方正小标宋_GBK" w:eastAsia="方正小标宋_GBK" w:cs="Times New Roman"/>
          <w:sz w:val="70"/>
          <w:szCs w:val="70"/>
        </w:rPr>
      </w:pPr>
    </w:p>
    <w:p w14:paraId="535EB3A0">
      <w:pPr>
        <w:pStyle w:val="19"/>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9"/>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3313A862">
      <w:pPr>
        <w:pStyle w:val="19"/>
        <w:spacing w:line="600" w:lineRule="exact"/>
        <w:ind w:firstLine="640" w:firstLineChars="200"/>
        <w:rPr>
          <w:rFonts w:hint="eastAsia" w:ascii="仿宋" w:hAnsi="仿宋" w:eastAsia="仿宋" w:cs="宋体"/>
          <w:color w:val="auto"/>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402.12</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仿宋_GB2312"/>
          <w:sz w:val="32"/>
          <w:szCs w:val="32"/>
          <w:lang w:val="en-US" w:eastAsia="zh-CN"/>
        </w:rPr>
        <w:t>69.59</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lang w:val="en-US" w:eastAsia="zh-CN"/>
        </w:rPr>
        <w:t>14.75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仿宋" w:hAnsi="仿宋" w:eastAsia="仿宋" w:cs="宋体"/>
          <w:color w:val="auto"/>
          <w:sz w:val="32"/>
          <w:szCs w:val="32"/>
        </w:rPr>
        <w:t>厉行节</w:t>
      </w:r>
      <w:r>
        <w:rPr>
          <w:rFonts w:hint="eastAsia" w:ascii="仿宋" w:hAnsi="仿宋" w:eastAsia="仿宋" w:cs="宋体"/>
          <w:color w:val="auto"/>
          <w:sz w:val="32"/>
          <w:szCs w:val="32"/>
          <w:lang w:val="en-US" w:eastAsia="zh-CN"/>
        </w:rPr>
        <w:t>约，</w:t>
      </w:r>
      <w:r>
        <w:rPr>
          <w:rFonts w:hint="eastAsia" w:ascii="仿宋" w:hAnsi="仿宋" w:eastAsia="仿宋" w:cs="宋体"/>
          <w:color w:val="auto"/>
          <w:sz w:val="32"/>
          <w:szCs w:val="32"/>
        </w:rPr>
        <w:t>项目支出减少</w:t>
      </w:r>
      <w:r>
        <w:rPr>
          <w:rFonts w:hint="eastAsia" w:ascii="仿宋" w:hAnsi="仿宋" w:eastAsia="仿宋" w:cs="宋体"/>
          <w:color w:val="auto"/>
          <w:sz w:val="32"/>
          <w:szCs w:val="32"/>
          <w:lang w:eastAsia="zh-CN"/>
        </w:rPr>
        <w:t>。</w:t>
      </w:r>
    </w:p>
    <w:p w14:paraId="57AD3772">
      <w:pPr>
        <w:pStyle w:val="19"/>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402.12</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lang w:val="en-US" w:eastAsia="zh-CN"/>
        </w:rPr>
        <w:t>235.97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58.68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163.37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40.63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2.77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0.69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9"/>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402.12</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168.21</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41.83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233.91</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58.17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9"/>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9"/>
        <w:spacing w:line="600" w:lineRule="exact"/>
        <w:rPr>
          <w:rFonts w:hint="eastAsia" w:ascii="Times New Roman" w:hAnsi="Times New Roman" w:eastAsia="仿宋_GB2312" w:cs="仿宋_GB2312"/>
          <w:sz w:val="32"/>
          <w:szCs w:val="32"/>
          <w:lang w:eastAsia="zh-CN"/>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235.97</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58.14</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w:t>
      </w:r>
      <w:r>
        <w:rPr>
          <w:rFonts w:hint="eastAsia" w:ascii="Times New Roman" w:hAnsi="Times New Roman" w:eastAsia="仿宋_GB2312" w:cs="仿宋_GB2312"/>
          <w:sz w:val="32"/>
          <w:szCs w:val="32"/>
          <w:lang w:val="en-US" w:eastAsia="zh-CN"/>
        </w:rPr>
        <w:t>32.69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增加了项目支出</w:t>
      </w:r>
      <w:r>
        <w:rPr>
          <w:rFonts w:hint="eastAsia" w:ascii="Times New Roman" w:hAnsi="Times New Roman" w:eastAsia="仿宋_GB2312" w:cs="仿宋_GB2312"/>
          <w:sz w:val="32"/>
          <w:szCs w:val="32"/>
        </w:rPr>
        <w:t>黎氏故居保护修缮项目蒋冬初房屋补偿等费用</w:t>
      </w:r>
      <w:r>
        <w:rPr>
          <w:rFonts w:hint="eastAsia" w:ascii="Times New Roman" w:hAnsi="Times New Roman" w:eastAsia="仿宋_GB2312" w:cs="仿宋_GB2312"/>
          <w:sz w:val="32"/>
          <w:szCs w:val="32"/>
          <w:lang w:eastAsia="zh-CN"/>
        </w:rPr>
        <w:t>。</w:t>
      </w:r>
    </w:p>
    <w:p w14:paraId="34D431AA">
      <w:pPr>
        <w:pStyle w:val="19"/>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9"/>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47BB1C93">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235.97</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58.68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仿宋_GB2312"/>
          <w:sz w:val="32"/>
          <w:szCs w:val="32"/>
          <w:lang w:val="en-US" w:eastAsia="zh-CN"/>
        </w:rPr>
        <w:t>58.14</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32.69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增加了项目支出</w:t>
      </w:r>
      <w:r>
        <w:rPr>
          <w:rFonts w:hint="eastAsia" w:ascii="Times New Roman" w:hAnsi="Times New Roman" w:eastAsia="仿宋_GB2312" w:cs="仿宋_GB2312"/>
          <w:sz w:val="32"/>
          <w:szCs w:val="32"/>
        </w:rPr>
        <w:t>黎氏故居保护修缮项目蒋冬初房屋补偿等费用</w:t>
      </w:r>
      <w:r>
        <w:rPr>
          <w:rFonts w:hint="eastAsia" w:ascii="Times New Roman" w:hAnsi="Times New Roman" w:eastAsia="仿宋_GB2312" w:cs="仿宋_GB2312"/>
          <w:sz w:val="32"/>
          <w:szCs w:val="32"/>
          <w:lang w:eastAsia="zh-CN"/>
        </w:rPr>
        <w:t>。</w:t>
      </w:r>
    </w:p>
    <w:p w14:paraId="1E6E8CF3">
      <w:pPr>
        <w:pStyle w:val="19"/>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19"/>
        <w:spacing w:line="60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235.97</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Times New Roman"/>
          <w:sz w:val="32"/>
          <w:szCs w:val="32"/>
          <w:lang w:val="en-US" w:eastAsia="zh-CN"/>
        </w:rPr>
        <w:t>132.99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56.36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；社会保障和就业（类）支出</w:t>
      </w:r>
      <w:r>
        <w:rPr>
          <w:rFonts w:hint="eastAsia" w:ascii="Times New Roman" w:hAnsi="Times New Roman" w:eastAsia="仿宋_GB2312" w:cs="Times New Roman"/>
          <w:sz w:val="32"/>
          <w:szCs w:val="32"/>
          <w:lang w:val="en-US" w:eastAsia="zh-CN"/>
        </w:rPr>
        <w:t>13.75</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5.83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卫生健康支出（类）支出</w:t>
      </w:r>
      <w:r>
        <w:rPr>
          <w:rFonts w:hint="eastAsia" w:ascii="Times New Roman" w:hAnsi="Times New Roman" w:eastAsia="仿宋_GB2312" w:cs="Times New Roman"/>
          <w:sz w:val="32"/>
          <w:szCs w:val="32"/>
          <w:lang w:val="en-US" w:eastAsia="zh-CN"/>
        </w:rPr>
        <w:t>8.03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农林水支出（类）支出</w:t>
      </w:r>
      <w:r>
        <w:rPr>
          <w:rFonts w:hint="eastAsia" w:ascii="Times New Roman" w:hAnsi="Times New Roman" w:eastAsia="仿宋_GB2312" w:cs="Times New Roman"/>
          <w:sz w:val="32"/>
          <w:szCs w:val="32"/>
          <w:lang w:val="en-US" w:eastAsia="zh-CN"/>
        </w:rPr>
        <w:t>70.53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29.89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住房保障支出（类）支出</w:t>
      </w:r>
      <w:r>
        <w:rPr>
          <w:rFonts w:hint="eastAsia" w:ascii="Times New Roman" w:hAnsi="Times New Roman" w:eastAsia="仿宋_GB2312" w:cs="Times New Roman"/>
          <w:sz w:val="32"/>
          <w:szCs w:val="32"/>
          <w:lang w:val="en-US" w:eastAsia="zh-CN"/>
        </w:rPr>
        <w:t>10.67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4.52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6B7284D3">
      <w:pPr>
        <w:pStyle w:val="19"/>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155.37</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235.97</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513F6B0C">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、一般公共服务（类）</w:t>
      </w:r>
      <w:r>
        <w:rPr>
          <w:rFonts w:hint="eastAsia" w:ascii="Times New Roman" w:hAnsi="Times New Roman" w:eastAsia="仿宋_GB2312"/>
          <w:sz w:val="32"/>
          <w:szCs w:val="32"/>
        </w:rPr>
        <w:t>政府办公厅（室）及相关机构事务（款）</w:t>
      </w:r>
      <w:r>
        <w:rPr>
          <w:rFonts w:hint="eastAsia" w:ascii="Times New Roman" w:hAnsi="Times New Roman" w:eastAsia="仿宋_GB2312" w:cs="Times New Roman"/>
          <w:sz w:val="32"/>
          <w:szCs w:val="32"/>
        </w:rPr>
        <w:t>事业运行</w:t>
      </w:r>
      <w:r>
        <w:rPr>
          <w:rFonts w:hint="eastAsia" w:ascii="Times New Roman" w:hAnsi="Times New Roman" w:eastAsia="仿宋_GB2312" w:cs="仿宋_GB2312"/>
          <w:sz w:val="32"/>
          <w:szCs w:val="32"/>
        </w:rPr>
        <w:t>（项）。</w:t>
      </w:r>
    </w:p>
    <w:p w14:paraId="7BE9187F">
      <w:pPr>
        <w:pStyle w:val="19"/>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121.6</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120.94</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99.46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，决算数小于年初预算数的主要原因是：</w:t>
      </w:r>
      <w:r>
        <w:rPr>
          <w:rFonts w:hint="eastAsia" w:ascii="Times New Roman" w:hAnsi="Times New Roman" w:eastAsia="仿宋_GB2312"/>
          <w:sz w:val="32"/>
          <w:szCs w:val="32"/>
        </w:rPr>
        <w:t>严格按预算情况执行。</w:t>
      </w:r>
    </w:p>
    <w:p w14:paraId="6004A436">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、一般公共服务（类）</w:t>
      </w:r>
      <w:r>
        <w:rPr>
          <w:rFonts w:hint="eastAsia" w:ascii="Times New Roman" w:hAnsi="Times New Roman" w:eastAsia="仿宋_GB2312"/>
          <w:sz w:val="32"/>
          <w:szCs w:val="32"/>
        </w:rPr>
        <w:t>政府办公厅（室）及相关机构事务（款）</w:t>
      </w:r>
      <w:r>
        <w:rPr>
          <w:rFonts w:hint="eastAsia" w:ascii="Times New Roman" w:hAnsi="Times New Roman" w:eastAsia="仿宋_GB2312" w:cs="Times New Roman"/>
          <w:sz w:val="32"/>
          <w:szCs w:val="32"/>
        </w:rPr>
        <w:t>行政运行</w:t>
      </w:r>
      <w:r>
        <w:rPr>
          <w:rFonts w:hint="eastAsia" w:ascii="Times New Roman" w:hAnsi="Times New Roman" w:eastAsia="仿宋_GB2312" w:cs="仿宋_GB2312"/>
          <w:sz w:val="32"/>
          <w:szCs w:val="32"/>
        </w:rPr>
        <w:t>（项）。</w:t>
      </w:r>
    </w:p>
    <w:p w14:paraId="7650EFB9">
      <w:pPr>
        <w:pStyle w:val="19"/>
        <w:spacing w:line="600" w:lineRule="exact"/>
        <w:ind w:firstLine="800" w:firstLineChars="25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12.05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val="en-US" w:eastAsia="zh-CN"/>
        </w:rPr>
        <w:t>使用上年结转资金。</w:t>
      </w:r>
    </w:p>
    <w:p w14:paraId="316F7625">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社会保障和就业支出（类）行政事业单位养老支出（款）机关事业单位基本养老保险缴费支出（项）。</w:t>
      </w:r>
    </w:p>
    <w:p w14:paraId="4E8AB9B1">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13.75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13.75</w:t>
      </w:r>
      <w:r>
        <w:rPr>
          <w:rFonts w:hint="eastAsia" w:ascii="Times New Roman" w:hAnsi="Times New Roman" w:eastAsia="仿宋_GB2312"/>
          <w:sz w:val="32"/>
          <w:szCs w:val="32"/>
        </w:rPr>
        <w:t>万元，完成年初预算的100%，决算数大于年初预算数的主要原因是：严格按预算情况执行。</w:t>
      </w:r>
    </w:p>
    <w:p w14:paraId="7E6AD6CE">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6、卫生健康支出（类）行政事业单位医疗（款）事业单位医疗（项）。</w:t>
      </w:r>
    </w:p>
    <w:p w14:paraId="0C92154F">
      <w:pPr>
        <w:pStyle w:val="19"/>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年初预算为8.</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3万元，支出决算为8.</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3万元，完成年初预算的100%，决算数等于年初预算数的主要原因是：严格按预算情况执行。</w:t>
      </w:r>
    </w:p>
    <w:p w14:paraId="42413EF9">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8、住房保障支出（类）住房改革支出（款）住房公积金（项）。</w:t>
      </w:r>
    </w:p>
    <w:p w14:paraId="2D63602D">
      <w:pPr>
        <w:pStyle w:val="19"/>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年初预算为1</w:t>
      </w:r>
      <w:r>
        <w:rPr>
          <w:rFonts w:hint="eastAsia" w:ascii="Times New Roman" w:hAnsi="Times New Roman" w:eastAsia="仿宋_GB2312"/>
          <w:sz w:val="32"/>
          <w:szCs w:val="32"/>
          <w:lang w:val="en-US" w:eastAsia="zh-CN"/>
        </w:rPr>
        <w:t>1.99</w:t>
      </w:r>
      <w:r>
        <w:rPr>
          <w:rFonts w:hint="eastAsia" w:ascii="Times New Roman" w:hAnsi="Times New Roman" w:eastAsia="仿宋_GB2312"/>
          <w:sz w:val="32"/>
          <w:szCs w:val="32"/>
        </w:rPr>
        <w:t>万元，支出决算为1</w:t>
      </w:r>
      <w:r>
        <w:rPr>
          <w:rFonts w:hint="eastAsia" w:ascii="Times New Roman" w:hAnsi="Times New Roman" w:eastAsia="仿宋_GB2312"/>
          <w:sz w:val="32"/>
          <w:szCs w:val="32"/>
          <w:lang w:val="en-US" w:eastAsia="zh-CN"/>
        </w:rPr>
        <w:t>0.67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88.99</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val="en-US" w:eastAsia="zh-CN"/>
        </w:rPr>
        <w:t>2024年12月公积金在当年度未支付</w:t>
      </w:r>
      <w:r>
        <w:rPr>
          <w:rFonts w:hint="eastAsia" w:ascii="Times New Roman" w:hAnsi="Times New Roman" w:eastAsia="仿宋_GB2312"/>
          <w:sz w:val="32"/>
          <w:szCs w:val="32"/>
        </w:rPr>
        <w:t>。</w:t>
      </w:r>
    </w:p>
    <w:p w14:paraId="6054470F">
      <w:pPr>
        <w:pStyle w:val="19"/>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165.44</w:t>
      </w:r>
      <w:r>
        <w:rPr>
          <w:rFonts w:hint="eastAsia" w:ascii="Times New Roman" w:hAnsi="Times New Roman" w:eastAsia="仿宋_GB2312" w:cs="仿宋_GB2312"/>
          <w:sz w:val="32"/>
          <w:szCs w:val="32"/>
        </w:rPr>
        <w:t>万元，其中：</w:t>
      </w:r>
    </w:p>
    <w:p w14:paraId="527D41F5">
      <w:pPr>
        <w:pStyle w:val="19"/>
        <w:spacing w:line="600" w:lineRule="exact"/>
        <w:ind w:firstLine="640" w:firstLineChars="200"/>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143.23</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86.58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伙食补助费、绩效工资、机关事业单位基本养老保险缴费、职业年金缴费、职工基本医疗保险缴费、公务员医疗补助缴费、其他社会保障缴费、住房公积金、生活补助、奖励金、其他对个人和家庭的补助。</w:t>
      </w:r>
    </w:p>
    <w:p w14:paraId="17208DEA">
      <w:pPr>
        <w:pStyle w:val="19"/>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22.21</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13.42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，主要包括办公费、印刷费、水费、电费、邮电费、差旅费、维修（护）费、会议费、培训费、公务接待费、劳务费、委托业务费、工会经费、福利费、公务用车运行维护费、 其他交通费用、其他商品和服务支出。</w:t>
      </w:r>
    </w:p>
    <w:p w14:paraId="03445A8A">
      <w:pPr>
        <w:pStyle w:val="19"/>
        <w:numPr>
          <w:ilvl w:val="0"/>
          <w:numId w:val="3"/>
        </w:numPr>
        <w:spacing w:line="600" w:lineRule="exact"/>
        <w:ind w:firstLine="640" w:firstLineChars="200"/>
        <w:rPr>
          <w:rFonts w:hint="eastAsia" w:hAnsi="黑体"/>
          <w:sz w:val="32"/>
          <w:szCs w:val="32"/>
        </w:rPr>
      </w:pPr>
      <w:r>
        <w:rPr>
          <w:rFonts w:hint="eastAsia" w:hAnsi="黑体"/>
          <w:sz w:val="32"/>
          <w:szCs w:val="32"/>
        </w:rPr>
        <w:t>财政拨款三公经费支出决算情况说明</w:t>
      </w:r>
    </w:p>
    <w:p w14:paraId="24929828">
      <w:pPr>
        <w:pStyle w:val="19"/>
        <w:numPr>
          <w:ilvl w:val="0"/>
          <w:numId w:val="0"/>
        </w:numPr>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4B83BFB9">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“三公”经费财政拨款支出预算为0万元，支出决算为0万元，完成预算的0%，决算数大于（小于）预算数的主要原因无，与上年相比减少（增加）0万元，减少（增长）0%,减少（增长）的主要原因无。其中：</w:t>
      </w:r>
    </w:p>
    <w:p w14:paraId="185F052F">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因公出国（境）费支出预算为0万元，支出决算为0万元，完成预算的0%，决算数大于（小于）预算数的主要原因无，与上年相比减少（增加）0万元，减少（增长）0%,减少（增长）的主要原因无。</w:t>
      </w:r>
    </w:p>
    <w:p w14:paraId="1056A1E9">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公务接待费支出预算为0万元，支出决算为0万元，完成预算的0%，决算数大于（小于）预算数的主要原因无，与上年相比减少（增加）0万元，减少（增长）0%,减少（增长）的主要原因无。</w:t>
      </w:r>
    </w:p>
    <w:p w14:paraId="668E2635">
      <w:pPr>
        <w:pStyle w:val="19"/>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公务用车购置费支出预算为0万元，支出决算为0万元，完成预算的0%，决算数大于（小于）预算数的主要原因无，与上年相比减少（增加）0万元，减少（增长）0%,减少（增长）的主要原因无。</w:t>
      </w:r>
    </w:p>
    <w:p w14:paraId="765CB2CA">
      <w:pPr>
        <w:pStyle w:val="19"/>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公务用车运行维护费支出预算为0万元，支出决算为0万元，完成预算的0%，决算数大于（小于）预算数的主要原因无，与上年相比减少（增加）0万元，减少（增长）0%,减少（增长）的主要原因无。</w:t>
      </w:r>
    </w:p>
    <w:p w14:paraId="149D9AEC">
      <w:pPr>
        <w:pStyle w:val="19"/>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37A14E7D">
      <w:pPr>
        <w:pStyle w:val="19"/>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开支内容无。</w:t>
      </w:r>
    </w:p>
    <w:p w14:paraId="1027C7F1">
      <w:pPr>
        <w:pStyle w:val="19"/>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2、公务接待费支出决算为0万元，全年共接待来访团组0个、来宾0人次，主要无发生接待支出。</w:t>
      </w:r>
    </w:p>
    <w:p w14:paraId="770B52B2">
      <w:pPr>
        <w:spacing w:line="600" w:lineRule="exact"/>
        <w:ind w:firstLine="800" w:firstLineChars="250"/>
        <w:rPr>
          <w:rFonts w:ascii="楷体" w:hAnsi="楷体" w:eastAsia="楷体" w:cs="Times New Roman"/>
          <w:b/>
          <w:bCs/>
          <w:i/>
          <w:iCs/>
          <w:kern w:val="0"/>
          <w:sz w:val="32"/>
          <w:szCs w:val="32"/>
        </w:rPr>
      </w:pPr>
      <w:r>
        <w:rPr>
          <w:rFonts w:hint="eastAsia" w:ascii="Times New Roman" w:hAnsi="Times New Roman" w:eastAsia="仿宋_GB2312"/>
          <w:sz w:val="32"/>
          <w:szCs w:val="32"/>
        </w:rPr>
        <w:t>3、公务用车购置费及运行维护费支出决算为0万元，其中：公务用车购置费0万元，0（单位本级或某二级机构）更新公务用车0辆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公务用车运行维护费0万元，截止202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年12月31日，我单位开支财政拨款的公务用车保有量为0辆。</w:t>
      </w:r>
    </w:p>
    <w:p w14:paraId="1D041FB0">
      <w:pPr>
        <w:pStyle w:val="19"/>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08DF0514">
      <w:pPr>
        <w:pStyle w:val="19"/>
        <w:spacing w:line="600" w:lineRule="exact"/>
        <w:rPr>
          <w:rFonts w:hint="eastAsia" w:ascii="Times New Roman" w:hAnsi="Times New Roman" w:eastAsia="仿宋_GB2312" w:cs="仿宋_GB2312"/>
          <w:sz w:val="32"/>
          <w:szCs w:val="32"/>
          <w:lang w:eastAsia="zh-CN"/>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cs="仿宋_GB2312"/>
          <w:sz w:val="32"/>
          <w:szCs w:val="32"/>
          <w:lang w:eastAsia="zh-CN"/>
        </w:rPr>
        <w:t>。</w:t>
      </w:r>
    </w:p>
    <w:p w14:paraId="68E928A9">
      <w:pPr>
        <w:pStyle w:val="19"/>
        <w:spacing w:line="60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本单位无政府性基金收支</w:t>
      </w:r>
      <w:r>
        <w:rPr>
          <w:rFonts w:hint="eastAsia" w:ascii="Times New Roman" w:hAnsi="Times New Roman" w:eastAsia="仿宋_GB2312" w:cs="仿宋_GB2312"/>
          <w:sz w:val="32"/>
          <w:szCs w:val="32"/>
          <w:lang w:eastAsia="zh-CN"/>
        </w:rPr>
        <w:t>。</w:t>
      </w:r>
    </w:p>
    <w:p w14:paraId="13D70A68">
      <w:pPr>
        <w:pStyle w:val="19"/>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68FB8470">
      <w:pPr>
        <w:pStyle w:val="19"/>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22.21</w:t>
      </w:r>
      <w:r>
        <w:rPr>
          <w:rFonts w:hint="eastAsia" w:ascii="Times New Roman" w:hAnsi="Times New Roman" w:eastAsia="仿宋_GB2312" w:cs="仿宋_GB2312"/>
          <w:sz w:val="32"/>
          <w:szCs w:val="32"/>
        </w:rPr>
        <w:t>万元，比上年决算数减少</w:t>
      </w:r>
      <w:r>
        <w:rPr>
          <w:rFonts w:hint="eastAsia" w:ascii="Times New Roman" w:hAnsi="Times New Roman" w:eastAsia="仿宋_GB2312" w:cs="仿宋_GB2312"/>
          <w:sz w:val="32"/>
          <w:szCs w:val="32"/>
          <w:lang w:val="en-US" w:eastAsia="zh-CN"/>
        </w:rPr>
        <w:t>12.16</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万元，降低</w:t>
      </w:r>
      <w:r>
        <w:rPr>
          <w:rFonts w:hint="eastAsia" w:ascii="Times New Roman" w:hAnsi="Times New Roman" w:eastAsia="仿宋_GB2312" w:cs="Times New Roman"/>
          <w:sz w:val="32"/>
          <w:szCs w:val="32"/>
          <w:lang w:val="en-US" w:eastAsia="zh-CN"/>
        </w:rPr>
        <w:t>35.38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仿宋_GB2312"/>
          <w:sz w:val="32"/>
          <w:szCs w:val="32"/>
          <w:lang w:val="en-US" w:eastAsia="zh-CN"/>
        </w:rPr>
        <w:t>严格执行，厉行节约</w:t>
      </w:r>
      <w:r>
        <w:rPr>
          <w:rFonts w:hint="eastAsia" w:ascii="Times New Roman" w:hAnsi="Times New Roman" w:eastAsia="仿宋_GB2312" w:cs="仿宋_GB2312"/>
          <w:sz w:val="32"/>
          <w:szCs w:val="32"/>
        </w:rPr>
        <w:t>。</w:t>
      </w:r>
    </w:p>
    <w:p w14:paraId="02D2B95C">
      <w:pPr>
        <w:pStyle w:val="19"/>
        <w:spacing w:line="600" w:lineRule="exact"/>
        <w:ind w:firstLine="640" w:firstLineChars="200"/>
        <w:rPr>
          <w:rFonts w:hAnsi="黑体" w:cs="Times New Roman"/>
          <w:sz w:val="32"/>
          <w:szCs w:val="32"/>
        </w:rPr>
      </w:pPr>
      <w:r>
        <w:rPr>
          <w:rFonts w:hint="eastAsia" w:hAnsi="黑体"/>
          <w:sz w:val="32"/>
          <w:szCs w:val="32"/>
        </w:rPr>
        <w:t>十、一般性支出情况说明</w:t>
      </w:r>
    </w:p>
    <w:p w14:paraId="165966F5">
      <w:pPr>
        <w:pStyle w:val="19"/>
        <w:spacing w:line="600" w:lineRule="exact"/>
        <w:ind w:firstLine="640" w:firstLineChars="20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Times New Roman"/>
          <w:sz w:val="32"/>
          <w:szCs w:val="32"/>
          <w:lang w:val="en-US" w:eastAsia="zh-CN"/>
        </w:rPr>
        <w:t>.46</w:t>
      </w:r>
      <w:r>
        <w:rPr>
          <w:rFonts w:hint="eastAsia" w:ascii="Times New Roman" w:hAnsi="Times New Roman" w:eastAsia="仿宋_GB2312" w:cs="仿宋_GB2312"/>
          <w:sz w:val="32"/>
          <w:szCs w:val="32"/>
        </w:rPr>
        <w:t>万元，用于召开</w:t>
      </w:r>
      <w:r>
        <w:rPr>
          <w:rFonts w:hint="eastAsia" w:ascii="Times New Roman" w:hAnsi="Times New Roman" w:eastAsia="仿宋_GB2312"/>
          <w:sz w:val="32"/>
          <w:szCs w:val="32"/>
        </w:rPr>
        <w:t>召开湘潭县征拆工作会议、</w:t>
      </w:r>
      <w:r>
        <w:rPr>
          <w:rFonts w:hint="eastAsia" w:ascii="Times New Roman" w:hAnsi="Times New Roman" w:eastAsia="仿宋_GB2312"/>
          <w:sz w:val="32"/>
          <w:szCs w:val="32"/>
          <w:lang w:eastAsia="zh-CN"/>
        </w:rPr>
        <w:t>项目协调</w:t>
      </w:r>
      <w:r>
        <w:rPr>
          <w:rFonts w:hint="eastAsia" w:ascii="Times New Roman" w:hAnsi="Times New Roman" w:eastAsia="仿宋_GB2312"/>
          <w:sz w:val="32"/>
          <w:szCs w:val="32"/>
        </w:rPr>
        <w:t>工作会议等，人数</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0人，内容为湘潭县征拆相关工作</w:t>
      </w:r>
      <w:r>
        <w:rPr>
          <w:rFonts w:hint="eastAsia" w:ascii="Times New Roman" w:hAnsi="Times New Roman" w:eastAsia="仿宋_GB2312" w:cs="仿宋_GB2312"/>
          <w:sz w:val="32"/>
          <w:szCs w:val="32"/>
        </w:rPr>
        <w:t>；开支培训费</w:t>
      </w:r>
      <w:r>
        <w:rPr>
          <w:rFonts w:hint="eastAsia" w:ascii="Times New Roman" w:hAnsi="Times New Roman" w:eastAsia="仿宋_GB2312" w:cs="Times New Roman"/>
          <w:sz w:val="32"/>
          <w:szCs w:val="32"/>
          <w:lang w:val="en-US" w:eastAsia="zh-CN"/>
        </w:rPr>
        <w:t>0.19</w:t>
      </w:r>
      <w:r>
        <w:rPr>
          <w:rFonts w:hint="eastAsia" w:ascii="Times New Roman" w:hAnsi="Times New Roman" w:eastAsia="仿宋_GB2312" w:cs="仿宋_GB2312"/>
          <w:sz w:val="32"/>
          <w:szCs w:val="32"/>
        </w:rPr>
        <w:t>万元，用于开展</w:t>
      </w:r>
      <w:r>
        <w:rPr>
          <w:rFonts w:hint="eastAsia" w:ascii="Times New Roman" w:hAnsi="Times New Roman" w:eastAsia="仿宋_GB2312"/>
          <w:sz w:val="32"/>
          <w:szCs w:val="32"/>
          <w:lang w:eastAsia="zh-CN"/>
        </w:rPr>
        <w:t>全省行政复议</w:t>
      </w:r>
      <w:r>
        <w:rPr>
          <w:rFonts w:hint="eastAsia" w:ascii="Times New Roman" w:hAnsi="Times New Roman" w:eastAsia="仿宋_GB2312"/>
          <w:sz w:val="32"/>
          <w:szCs w:val="32"/>
        </w:rPr>
        <w:t>培训及第</w:t>
      </w:r>
      <w:r>
        <w:rPr>
          <w:rFonts w:hint="eastAsia" w:ascii="Times New Roman" w:hAnsi="Times New Roman" w:eastAsia="仿宋_GB2312"/>
          <w:sz w:val="32"/>
          <w:szCs w:val="32"/>
          <w:lang w:eastAsia="zh-CN"/>
        </w:rPr>
        <w:t>三十一</w:t>
      </w:r>
      <w:r>
        <w:rPr>
          <w:rFonts w:hint="eastAsia" w:ascii="Times New Roman" w:hAnsi="Times New Roman" w:eastAsia="仿宋_GB2312"/>
          <w:sz w:val="32"/>
          <w:szCs w:val="32"/>
        </w:rPr>
        <w:t>期青干班培训</w:t>
      </w:r>
      <w:r>
        <w:rPr>
          <w:rFonts w:hint="eastAsia" w:ascii="Times New Roman" w:hAnsi="Times New Roman" w:eastAsia="仿宋_GB2312" w:cs="仿宋_GB2312"/>
          <w:sz w:val="32"/>
          <w:szCs w:val="32"/>
        </w:rPr>
        <w:t>，人数</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仿宋_GB2312"/>
          <w:sz w:val="32"/>
          <w:szCs w:val="32"/>
        </w:rPr>
        <w:t>人，内容为</w:t>
      </w:r>
      <w:r>
        <w:rPr>
          <w:rFonts w:hint="eastAsia" w:ascii="Times New Roman" w:hAnsi="Times New Roman" w:eastAsia="仿宋_GB2312"/>
          <w:sz w:val="32"/>
          <w:szCs w:val="32"/>
        </w:rPr>
        <w:t>开展事业单位人员岗位培训和青干班培训</w:t>
      </w:r>
      <w:r>
        <w:rPr>
          <w:rFonts w:hint="eastAsia" w:ascii="Times New Roman" w:hAnsi="Times New Roman" w:eastAsia="仿宋_GB2312" w:cs="仿宋_GB2312"/>
          <w:sz w:val="32"/>
          <w:szCs w:val="32"/>
        </w:rPr>
        <w:t>；举办节庆、晚会、论坛、赛事活动，开支</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p>
    <w:p w14:paraId="2C12E7E2">
      <w:pPr>
        <w:pStyle w:val="19"/>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151AA888">
      <w:pPr>
        <w:pStyle w:val="19"/>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26.28</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5.63</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7.91</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12.74</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26.28</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26.28</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仿宋_GB2312"/>
          <w:color w:val="auto"/>
          <w:sz w:val="32"/>
          <w:szCs w:val="32"/>
          <w:lang w:val="en-US" w:eastAsia="zh-CN"/>
        </w:rPr>
        <w:t>21.42</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30.1</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48.48</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9"/>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19"/>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9"/>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9"/>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7807FCC1">
      <w:pPr>
        <w:pStyle w:val="19"/>
        <w:ind w:firstLine="640" w:firstLineChars="200"/>
        <w:rPr>
          <w:rFonts w:hint="eastAsia" w:ascii="楷体" w:hAnsi="楷体" w:eastAsia="楷体" w:cs="楷体"/>
          <w:b/>
          <w:bCs/>
          <w:sz w:val="32"/>
          <w:szCs w:val="32"/>
        </w:rPr>
      </w:pPr>
      <w:r>
        <w:rPr>
          <w:rFonts w:hint="eastAsia" w:ascii="Times New Roman" w:hAnsi="Times New Roman" w:eastAsia="仿宋_GB2312"/>
          <w:color w:val="auto"/>
          <w:sz w:val="32"/>
          <w:szCs w:val="32"/>
        </w:rPr>
        <w:t>本部门预算绩效管理有一个内容：部门整体支出；年初制定了绩效管理工作方案，并做好了绩效目标申报；按季度申报了绩效运行跟踪监控管理表；年度结束后，按要求做好了绩效自评报告，并在局网站进行公开，。本部门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年度无重点项目绩效评价。</w:t>
      </w:r>
    </w:p>
    <w:p w14:paraId="4AF5AD68">
      <w:pPr>
        <w:pStyle w:val="19"/>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6E0B819E">
      <w:pPr>
        <w:ind w:firstLine="960" w:firstLineChars="300"/>
        <w:jc w:val="left"/>
        <w:rPr>
          <w:rFonts w:ascii="Times New Roman" w:hAnsi="Times New Roman" w:eastAsia="仿宋_GB2312" w:cs="黑体"/>
          <w:kern w:val="0"/>
          <w:sz w:val="32"/>
          <w:szCs w:val="32"/>
        </w:rPr>
      </w:pPr>
      <w:r>
        <w:rPr>
          <w:rFonts w:hint="eastAsia" w:ascii="Times New Roman" w:hAnsi="Times New Roman" w:eastAsia="仿宋_GB2312" w:cs="黑体"/>
          <w:kern w:val="0"/>
          <w:sz w:val="32"/>
          <w:szCs w:val="32"/>
        </w:rPr>
        <w:t>202</w:t>
      </w:r>
      <w:r>
        <w:rPr>
          <w:rFonts w:hint="eastAsia" w:ascii="Times New Roman" w:hAnsi="Times New Roman" w:eastAsia="仿宋_GB2312" w:cs="黑体"/>
          <w:kern w:val="0"/>
          <w:sz w:val="32"/>
          <w:szCs w:val="32"/>
          <w:lang w:val="en-US" w:eastAsia="zh-CN"/>
        </w:rPr>
        <w:t>4</w:t>
      </w:r>
      <w:r>
        <w:rPr>
          <w:rFonts w:hint="eastAsia" w:ascii="Times New Roman" w:hAnsi="Times New Roman" w:eastAsia="仿宋_GB2312" w:cs="黑体"/>
          <w:kern w:val="0"/>
          <w:sz w:val="32"/>
          <w:szCs w:val="32"/>
        </w:rPr>
        <w:t>年，在县委、县政府的坚强领导下，湘潭县优化人居环境事务中心顶住压力，克服困难，圆满完成了各项目标任务，为全县经济社会发展作出了积极贡献。根据《部门整体支出绩效评价指标》主要绩效如下：</w:t>
      </w:r>
    </w:p>
    <w:p w14:paraId="4CA2DB42">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2024年，全县（不含天易示范区）共实施征拆项目26个，累计完成征地165.34亩，签订房屋安置补偿协议51户，安全拆除房屋33户，支付征收补偿款8202万元，年内办结项目7个,其中包括2024年市征拆工作联席会议交办的5个征拆任务。</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今年铺排的</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12</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个新项，如株洲西</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500</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KV输变电线路工程、杨家桥</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110</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KV变电站、石潭渔光互补升压站、天马</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35</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KV变电站等项目，均在法定最短时限内完成腾房交地，顺利建设或投产。延</w:t>
      </w:r>
      <w:r>
        <w:rPr>
          <w:rFonts w:hint="eastAsia" w:ascii="仿宋_GB2312" w:hAnsi="仿宋_GB2312" w:eastAsia="仿宋_GB2312" w:cs="仿宋_GB2312"/>
          <w:bCs w:val="0"/>
          <w:color w:val="000000" w:themeColor="text1"/>
          <w:kern w:val="2"/>
          <w:sz w:val="32"/>
          <w:szCs w:val="32"/>
          <w:lang w:val="en-US" w:eastAsia="zh-CN" w:bidi="ar-SA"/>
        </w:rPr>
        <w:t>续实施的</w:t>
      </w:r>
      <w:r>
        <w:rPr>
          <w:rFonts w:hint="eastAsia" w:ascii="Times New Roman" w:hAnsi="Times New Roman" w:eastAsia="仿宋_GB2312" w:cs="Times New Roman"/>
          <w:b w:val="0"/>
          <w:bCs w:val="0"/>
          <w:i w:val="0"/>
          <w:caps w:val="0"/>
          <w:color w:val="000000" w:themeColor="text1"/>
          <w:spacing w:val="0"/>
          <w:kern w:val="0"/>
          <w:sz w:val="32"/>
          <w:szCs w:val="32"/>
          <w:shd w:val="clear" w:fill="FDFDFE"/>
          <w:lang w:val="en-US" w:eastAsia="zh-CN" w:bidi="ar"/>
        </w:rPr>
        <w:t>14</w:t>
      </w:r>
      <w:r>
        <w:rPr>
          <w:rFonts w:hint="eastAsia" w:ascii="仿宋_GB2312" w:hAnsi="仿宋_GB2312" w:eastAsia="仿宋_GB2312" w:cs="仿宋_GB2312"/>
          <w:bCs w:val="0"/>
          <w:color w:val="000000" w:themeColor="text1"/>
          <w:kern w:val="2"/>
          <w:sz w:val="32"/>
          <w:szCs w:val="32"/>
          <w:lang w:val="en-US" w:eastAsia="zh-CN" w:bidi="ar-SA"/>
        </w:rPr>
        <w:t>个项目，</w:t>
      </w:r>
      <w:r>
        <w:rPr>
          <w:rFonts w:hint="eastAsia" w:ascii="Times New Roman" w:hAnsi="Times New Roman" w:eastAsia="仿宋_GB2312" w:cs="Times New Roman"/>
          <w:b w:val="0"/>
          <w:bCs w:val="0"/>
          <w:i w:val="0"/>
          <w:caps w:val="0"/>
          <w:color w:val="000000" w:themeColor="text1"/>
          <w:spacing w:val="0"/>
          <w:kern w:val="0"/>
          <w:sz w:val="32"/>
          <w:szCs w:val="32"/>
          <w:shd w:val="clear" w:fill="FDFDFE"/>
          <w:lang w:val="en-US" w:eastAsia="zh-CN" w:bidi="ar"/>
        </w:rPr>
        <w:t>G60</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醴娄高速公路项目，杨嘉桥园区项目（嘉鸿包装），昌山风电场一期项目等均按要求顺利完成。</w:t>
      </w:r>
    </w:p>
    <w:p w14:paraId="25A00F9E">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2、全县征拆项目资金实行专账管理、收支清晰，征拆工作经费拨付、补偿资金发放依法依规安全平稳运行。</w:t>
      </w:r>
    </w:p>
    <w:p w14:paraId="4A692D44">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3、高度重视征拆领域信访维稳和司法诉讼工作，全年共接待群众各类来电来访54批86人次，办理信访案件13件，均做到及时受理、按时答复，办理情况满意率达100％。 同时党组高度重视涉征信访突出问题化解，召开3次党组会议专题研究信访工作，7次月工作例会听取信访工作汇报并调度部署，进一步优化信访化解和稳控工作方案，增加1 人（现共2人）专门负责信访工作，整体形势有效稳控。严格依法依规做好政府信息公开工作，全年依法办理依申请公开答复14件、履职申请5件、行政复议7件、行政诉讼11件。在应诉应判过程中，坚持为民情怀，依法依规处理各类案件，有效保障了申请人的合法权益。</w:t>
      </w:r>
    </w:p>
    <w:p w14:paraId="3372A4E7">
      <w:pPr>
        <w:pStyle w:val="19"/>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1884F1BB">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1、由于单位新进人员，导致基本支出较年初预算有所增加，由于资金限制，有部分需要在本年度支付的资金没有支付，故实际发生的支出偏低。</w:t>
      </w:r>
    </w:p>
    <w:p w14:paraId="2A0225FE">
      <w:pPr>
        <w:pStyle w:val="19"/>
        <w:jc w:val="both"/>
        <w:rPr>
          <w:rFonts w:ascii="方正小标宋_GBK" w:hAnsi="方正小标宋_GBK" w:eastAsia="方正小标宋_GBK" w:cs="Times New Roman"/>
          <w:sz w:val="72"/>
          <w:szCs w:val="72"/>
        </w:rPr>
      </w:pPr>
      <w:r>
        <w:rPr>
          <w:rFonts w:hint="eastAsia" w:ascii="仿宋_GB2312" w:hAnsi="Calibri" w:eastAsia="仿宋_GB2312" w:cs="Times New Roman"/>
          <w:kern w:val="2"/>
          <w:sz w:val="32"/>
          <w:szCs w:val="32"/>
          <w:lang w:val="en-US" w:eastAsia="zh-CN" w:bidi="ar-SA"/>
        </w:rPr>
        <w:t>2、由于本单位存在自收自支和劳务派遣人员，他们所有经费均由单位负责，为保障正常运转，年末纳入财政专户管理的非税收入会预留部分资金到下年初使用，故财政专户有部分结余。</w:t>
      </w:r>
    </w:p>
    <w:p w14:paraId="32467024">
      <w:pPr>
        <w:pStyle w:val="19"/>
        <w:jc w:val="center"/>
        <w:rPr>
          <w:rFonts w:ascii="方正小标宋_GBK" w:hAnsi="方正小标宋_GBK" w:eastAsia="方正小标宋_GBK" w:cs="Times New Roman"/>
          <w:sz w:val="72"/>
          <w:szCs w:val="72"/>
        </w:rPr>
      </w:pPr>
    </w:p>
    <w:p w14:paraId="645C03C4">
      <w:pPr>
        <w:pStyle w:val="19"/>
        <w:jc w:val="center"/>
        <w:rPr>
          <w:rFonts w:hint="eastAsia" w:ascii="方正小标宋_GBK" w:hAnsi="方正小标宋_GBK" w:eastAsia="方正小标宋_GBK" w:cs="方正小标宋_GBK"/>
          <w:sz w:val="72"/>
          <w:szCs w:val="72"/>
        </w:rPr>
      </w:pPr>
    </w:p>
    <w:p w14:paraId="7F09FC35">
      <w:pPr>
        <w:pStyle w:val="19"/>
        <w:jc w:val="center"/>
        <w:rPr>
          <w:rFonts w:hint="eastAsia" w:ascii="方正小标宋_GBK" w:hAnsi="方正小标宋_GBK" w:eastAsia="方正小标宋_GBK" w:cs="方正小标宋_GBK"/>
          <w:sz w:val="72"/>
          <w:szCs w:val="72"/>
        </w:rPr>
      </w:pPr>
    </w:p>
    <w:p w14:paraId="72CDDE94">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7C1C9AB5">
      <w:pPr>
        <w:pStyle w:val="9"/>
      </w:pPr>
    </w:p>
    <w:p w14:paraId="1BFB653E">
      <w:pPr>
        <w:widowControl/>
        <w:ind w:firstLine="960" w:firstLineChars="300"/>
        <w:jc w:val="left"/>
        <w:rPr>
          <w:rFonts w:ascii="Times New Roman" w:hAnsi="Times New Roman" w:eastAsia="仿宋_GB2312" w:cs="黑体"/>
          <w:kern w:val="0"/>
          <w:sz w:val="32"/>
          <w:szCs w:val="32"/>
        </w:rPr>
      </w:pPr>
      <w:r>
        <w:rPr>
          <w:rFonts w:hint="eastAsia" w:ascii="Times New Roman" w:hAnsi="Times New Roman" w:eastAsia="仿宋_GB2312" w:cs="黑体"/>
          <w:kern w:val="0"/>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5DEA3FC3">
      <w:pPr>
        <w:ind w:firstLine="960" w:firstLineChars="300"/>
        <w:jc w:val="left"/>
        <w:rPr>
          <w:rFonts w:cs="Times New Roman"/>
          <w:sz w:val="72"/>
          <w:szCs w:val="72"/>
        </w:rPr>
      </w:pPr>
      <w:r>
        <w:rPr>
          <w:rFonts w:hint="eastAsia" w:ascii="Times New Roman" w:hAnsi="Times New Roman" w:eastAsia="仿宋_GB2312" w:cs="黑体"/>
          <w:kern w:val="0"/>
          <w:sz w:val="32"/>
          <w:szCs w:val="32"/>
        </w:rPr>
        <w:t>二、“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3A6C7F50">
      <w:pPr>
        <w:pStyle w:val="19"/>
        <w:jc w:val="center"/>
        <w:rPr>
          <w:rFonts w:cs="Times New Roman"/>
          <w:sz w:val="72"/>
          <w:szCs w:val="72"/>
        </w:rPr>
      </w:pPr>
    </w:p>
    <w:p w14:paraId="18A41287">
      <w:pPr>
        <w:pStyle w:val="19"/>
        <w:jc w:val="center"/>
        <w:rPr>
          <w:rFonts w:cs="Times New Roman"/>
          <w:sz w:val="72"/>
          <w:szCs w:val="72"/>
        </w:rPr>
      </w:pPr>
    </w:p>
    <w:p w14:paraId="7FE28078">
      <w:pPr>
        <w:pStyle w:val="19"/>
        <w:jc w:val="center"/>
        <w:rPr>
          <w:rFonts w:cs="Times New Roman"/>
          <w:sz w:val="72"/>
          <w:szCs w:val="72"/>
        </w:rPr>
      </w:pPr>
    </w:p>
    <w:p w14:paraId="7F454E90">
      <w:pPr>
        <w:rPr>
          <w:rFonts w:ascii="方正小标宋_GBK" w:hAnsi="方正小标宋_GBK" w:eastAsia="方正小标宋_GBK" w:cs="Times New Roman"/>
          <w:sz w:val="72"/>
          <w:szCs w:val="72"/>
        </w:rPr>
      </w:pPr>
      <w:r>
        <w:rPr>
          <w:rFonts w:cs="Times New Roman"/>
          <w:sz w:val="72"/>
          <w:szCs w:val="72"/>
        </w:rPr>
        <w:br w:type="page"/>
      </w:r>
    </w:p>
    <w:p w14:paraId="45347CE9">
      <w:pPr>
        <w:pStyle w:val="19"/>
        <w:jc w:val="center"/>
        <w:rPr>
          <w:rFonts w:ascii="方正小标宋_GBK" w:hAnsi="方正小标宋_GBK" w:eastAsia="方正小标宋_GBK" w:cs="Times New Roman"/>
          <w:sz w:val="72"/>
          <w:szCs w:val="72"/>
        </w:rPr>
      </w:pPr>
    </w:p>
    <w:p w14:paraId="02FAEF33">
      <w:pPr>
        <w:pStyle w:val="19"/>
        <w:jc w:val="center"/>
        <w:rPr>
          <w:rFonts w:ascii="方正小标宋_GBK" w:hAnsi="方正小标宋_GBK" w:eastAsia="方正小标宋_GBK" w:cs="Times New Roman"/>
          <w:sz w:val="72"/>
          <w:szCs w:val="72"/>
        </w:rPr>
      </w:pPr>
    </w:p>
    <w:p w14:paraId="1E60D8CA">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9"/>
        <w:jc w:val="center"/>
        <w:rPr>
          <w:rFonts w:ascii="方正小标宋_GBK" w:hAnsi="方正小标宋_GBK" w:eastAsia="方正小标宋_GBK" w:cs="Times New Roman"/>
          <w:sz w:val="70"/>
          <w:szCs w:val="70"/>
        </w:rPr>
      </w:pPr>
    </w:p>
    <w:p w14:paraId="45B89EFA">
      <w:pPr>
        <w:pStyle w:val="19"/>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cs="Times New Roman"/>
          <w:sz w:val="72"/>
          <w:szCs w:val="72"/>
        </w:rPr>
      </w:pPr>
      <w:r>
        <w:rPr>
          <w:rFonts w:cs="Times New Roman"/>
          <w:sz w:val="72"/>
          <w:szCs w:val="72"/>
        </w:rPr>
        <w:br w:type="page"/>
      </w:r>
    </w:p>
    <w:p w14:paraId="086F6717">
      <w:pPr>
        <w:pStyle w:val="19"/>
        <w:spacing w:line="600" w:lineRule="exact"/>
        <w:ind w:firstLine="800" w:firstLineChars="200"/>
        <w:jc w:val="center"/>
        <w:rPr>
          <w:rFonts w:ascii="Times New Roman" w:hAnsi="Times New Roman" w:eastAsia="仿宋_GB2312"/>
          <w:sz w:val="40"/>
          <w:szCs w:val="40"/>
        </w:rPr>
      </w:pPr>
      <w:r>
        <w:rPr>
          <w:rFonts w:hint="eastAsia" w:ascii="Times New Roman" w:hAnsi="Times New Roman" w:eastAsia="仿宋_GB2312"/>
          <w:sz w:val="40"/>
          <w:szCs w:val="40"/>
        </w:rPr>
        <w:t>202</w:t>
      </w:r>
      <w:r>
        <w:rPr>
          <w:rFonts w:hint="eastAsia" w:ascii="Times New Roman" w:hAnsi="Times New Roman" w:eastAsia="仿宋_GB2312"/>
          <w:sz w:val="40"/>
          <w:szCs w:val="40"/>
          <w:lang w:val="en-US" w:eastAsia="zh-CN"/>
        </w:rPr>
        <w:t>4</w:t>
      </w:r>
      <w:r>
        <w:rPr>
          <w:rFonts w:hint="eastAsia" w:ascii="Times New Roman" w:hAnsi="Times New Roman" w:eastAsia="仿宋_GB2312"/>
          <w:sz w:val="40"/>
          <w:szCs w:val="40"/>
        </w:rPr>
        <w:t>年度部门整体支出绩效自评报告</w:t>
      </w:r>
    </w:p>
    <w:p w14:paraId="7FAFFDCE">
      <w:pPr>
        <w:pStyle w:val="19"/>
        <w:spacing w:line="600" w:lineRule="exact"/>
        <w:ind w:firstLine="800" w:firstLineChars="200"/>
        <w:jc w:val="center"/>
        <w:rPr>
          <w:rFonts w:ascii="Times New Roman" w:hAnsi="Times New Roman" w:eastAsia="仿宋_GB2312"/>
          <w:sz w:val="40"/>
          <w:szCs w:val="40"/>
        </w:rPr>
      </w:pPr>
    </w:p>
    <w:p w14:paraId="63F8D3A7">
      <w:pPr>
        <w:pStyle w:val="24"/>
        <w:keepNext w:val="0"/>
        <w:keepLines w:val="0"/>
        <w:pageBreakBefore w:val="0"/>
        <w:numPr>
          <w:ilvl w:val="0"/>
          <w:numId w:val="4"/>
        </w:numPr>
        <w:kinsoku/>
        <w:wordWrap/>
        <w:overflowPunct/>
        <w:topLinePunct w:val="0"/>
        <w:autoSpaceDE/>
        <w:autoSpaceDN/>
        <w:bidi w:val="0"/>
        <w:adjustRightInd/>
        <w:snapToGrid/>
        <w:spacing w:line="560" w:lineRule="exact"/>
        <w:textAlignment w:val="auto"/>
        <w:rPr>
          <w:rFonts w:ascii="黑体" w:hAnsi="仿宋" w:eastAsia="黑体"/>
          <w:kern w:val="0"/>
          <w:sz w:val="32"/>
          <w:szCs w:val="32"/>
        </w:rPr>
      </w:pPr>
      <w:r>
        <w:rPr>
          <w:rFonts w:hint="eastAsia" w:ascii="黑体" w:hAnsi="仿宋" w:eastAsia="黑体"/>
          <w:kern w:val="0"/>
          <w:sz w:val="32"/>
          <w:szCs w:val="32"/>
        </w:rPr>
        <w:t>部门基本情况</w:t>
      </w:r>
    </w:p>
    <w:p w14:paraId="5BAEA091">
      <w:pPr>
        <w:pStyle w:val="24"/>
        <w:keepNext w:val="0"/>
        <w:keepLines w:val="0"/>
        <w:pageBreakBefore w:val="0"/>
        <w:numPr>
          <w:ilvl w:val="0"/>
          <w:numId w:val="5"/>
        </w:numPr>
        <w:kinsoku/>
        <w:wordWrap/>
        <w:overflowPunct/>
        <w:topLinePunct w:val="0"/>
        <w:autoSpaceDE/>
        <w:autoSpaceDN/>
        <w:bidi w:val="0"/>
        <w:adjustRightInd/>
        <w:snapToGrid/>
        <w:spacing w:line="560" w:lineRule="exact"/>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在职人员情况及机构设置</w:t>
      </w:r>
    </w:p>
    <w:p w14:paraId="41E0CC1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湘潭县优化人居环境事务中心成立于2019年3月，系湘潭县人民政府直属公益一类正科级事业单位，是县人民政府确定的集体土地征收与房屋拆迁补偿安置和国有土地上房屋征收与补偿部门。为财政独立核算单位，下设4个股室（党政综合办公室、财务股、政策业务股、稽核股）、现有编制12人，实有在职人数12人。湘潭县征拆事务所为县优化人居环境事务中心所属公益一类事业单位，股级，核定自收自支事业编制5名，在职在编人员</w:t>
      </w:r>
      <w:r>
        <w:rPr>
          <w:rFonts w:hint="eastAsia" w:ascii="仿宋_GB2312" w:eastAsia="仿宋_GB2312" w:cs="Times New Roman"/>
          <w:kern w:val="2"/>
          <w:sz w:val="32"/>
          <w:szCs w:val="32"/>
          <w:lang w:val="en-US" w:eastAsia="zh-CN" w:bidi="ar-SA"/>
        </w:rPr>
        <w:t>5</w:t>
      </w:r>
      <w:r>
        <w:rPr>
          <w:rFonts w:hint="eastAsia" w:ascii="仿宋_GB2312" w:hAnsi="Calibri" w:eastAsia="仿宋_GB2312" w:cs="Times New Roman"/>
          <w:kern w:val="2"/>
          <w:sz w:val="32"/>
          <w:szCs w:val="32"/>
          <w:lang w:val="en-US" w:eastAsia="zh-CN" w:bidi="ar-SA"/>
        </w:rPr>
        <w:t>人。</w:t>
      </w:r>
    </w:p>
    <w:p w14:paraId="0F7C284B">
      <w:pPr>
        <w:pStyle w:val="24"/>
        <w:keepNext w:val="0"/>
        <w:keepLines w:val="0"/>
        <w:pageBreakBefore w:val="0"/>
        <w:numPr>
          <w:ilvl w:val="0"/>
          <w:numId w:val="5"/>
        </w:numPr>
        <w:kinsoku/>
        <w:wordWrap/>
        <w:overflowPunct/>
        <w:topLinePunct w:val="0"/>
        <w:autoSpaceDE/>
        <w:autoSpaceDN/>
        <w:bidi w:val="0"/>
        <w:adjustRightInd/>
        <w:snapToGrid/>
        <w:spacing w:line="560" w:lineRule="exact"/>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部门主要职能</w:t>
      </w:r>
    </w:p>
    <w:p w14:paraId="6040682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1、贯彻执行国家、省、市、县有关土地和房屋征收法律法规和政策。拟定全县土地和房屋征收与补偿中长期规划、年度计划和规章制度并监督执行。</w:t>
      </w:r>
    </w:p>
    <w:p w14:paraId="6F24988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2、宣传解释征地拆迁和房屋征收政策并监督执行。组织开展征地拆迁和房屋征收从业人员业务培训。</w:t>
      </w:r>
    </w:p>
    <w:p w14:paraId="3157337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3、管理、指导、监督全县的征地拆迁和房屋征收事务。</w:t>
      </w:r>
    </w:p>
    <w:p w14:paraId="4B90989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4、组织实施全县征地拆迁具体工作，拟定、呈报集体土地征收土地公告、房屋拆迁补偿和安置方案公告，参与集体土地征收及房屋拆迁补偿和安置方案的听证工作，监督、指导补偿和安置方案的实施。</w:t>
      </w:r>
    </w:p>
    <w:p w14:paraId="02139D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5、组织实施由县人民政府作为征收主体的房屋征收具体工作，拟定和呈报房屋征收决定、房屋征收补偿决定，审核国有土地上房屋征收与补偿方案，评估管理房屋征收工作。</w:t>
      </w:r>
    </w:p>
    <w:p w14:paraId="6D505E3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6、负责全县土地和房屋征收补偿资金的监管、调度、拨付、预算和结算审核工作。</w:t>
      </w:r>
    </w:p>
    <w:p w14:paraId="2321DDE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7、负责全县土地和房屋征收安置房源的组织、管理、调配和监督工作。</w:t>
      </w:r>
    </w:p>
    <w:p w14:paraId="621728C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8、负责督促项目指挥部、乡镇和相关部门按时完成土地和房屋征收、安置、腾地等相关工作，协助征收项目限期腾地。</w:t>
      </w:r>
    </w:p>
    <w:p w14:paraId="76D1F1A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9、承担县委、县人民政府交办的其他工作任务。</w:t>
      </w:r>
    </w:p>
    <w:p w14:paraId="719A73F1">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二、绩效评价工作情况</w:t>
      </w:r>
    </w:p>
    <w:p w14:paraId="5D6C3D6B">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（一）绩效评价工作组织情况</w:t>
      </w:r>
    </w:p>
    <w:p w14:paraId="0497599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b/>
          <w:bCs/>
          <w:kern w:val="2"/>
          <w:sz w:val="32"/>
          <w:szCs w:val="32"/>
          <w:lang w:val="en-US" w:eastAsia="zh-CN" w:bidi="ar-SA"/>
        </w:rPr>
        <w:t>1、前期准备</w:t>
      </w:r>
      <w:r>
        <w:rPr>
          <w:rFonts w:hint="eastAsia" w:ascii="仿宋_GB2312" w:hAnsi="Calibri" w:eastAsia="仿宋_GB2312" w:cs="Times New Roman"/>
          <w:kern w:val="2"/>
          <w:sz w:val="32"/>
          <w:szCs w:val="32"/>
          <w:lang w:val="en-US" w:eastAsia="zh-CN" w:bidi="ar-SA"/>
        </w:rPr>
        <w:t>。根据《湘潭县预算绩效管理工作方案》和开展绩效自评工作的相关通知要求，为做好202</w:t>
      </w:r>
      <w:r>
        <w:rPr>
          <w:rFonts w:hint="eastAsia" w:ascii="仿宋_GB2312" w:eastAsia="仿宋_GB2312" w:cs="Times New Roman"/>
          <w:kern w:val="2"/>
          <w:sz w:val="32"/>
          <w:szCs w:val="32"/>
          <w:lang w:val="en-US" w:eastAsia="zh-CN" w:bidi="ar-SA"/>
        </w:rPr>
        <w:t>4</w:t>
      </w:r>
      <w:r>
        <w:rPr>
          <w:rFonts w:hint="eastAsia" w:ascii="仿宋_GB2312" w:hAnsi="Calibri" w:eastAsia="仿宋_GB2312" w:cs="Times New Roman"/>
          <w:kern w:val="2"/>
          <w:sz w:val="32"/>
          <w:szCs w:val="32"/>
          <w:lang w:val="en-US" w:eastAsia="zh-CN" w:bidi="ar-SA"/>
        </w:rPr>
        <w:t>年度我单位预算支出绩效自评工作，我单位召开了绩效自评工作会议，对绩效评价工作进行了专题部署，明确了责任，成立了以中心主任为组长，分管副主任为副组长，相关股室所负责人为成员的湘潭县</w:t>
      </w:r>
      <w:r>
        <w:rPr>
          <w:rFonts w:hint="eastAsia" w:ascii="仿宋_GB2312" w:eastAsia="仿宋_GB2312" w:cs="Times New Roman"/>
          <w:kern w:val="2"/>
          <w:sz w:val="32"/>
          <w:szCs w:val="32"/>
          <w:lang w:val="en-US" w:eastAsia="zh-CN" w:bidi="ar-SA"/>
        </w:rPr>
        <w:t>优化人居环境事务</w:t>
      </w:r>
      <w:r>
        <w:rPr>
          <w:rFonts w:hint="eastAsia" w:ascii="仿宋_GB2312" w:hAnsi="Calibri" w:eastAsia="仿宋_GB2312" w:cs="Times New Roman"/>
          <w:kern w:val="2"/>
          <w:sz w:val="32"/>
          <w:szCs w:val="32"/>
          <w:lang w:val="en-US" w:eastAsia="zh-CN" w:bidi="ar-SA"/>
        </w:rPr>
        <w:t>中心预算绩效管理领导小组，并制定了预算绩效管理工作方案。</w:t>
      </w:r>
    </w:p>
    <w:p w14:paraId="77B428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b/>
          <w:bCs/>
          <w:kern w:val="2"/>
          <w:sz w:val="32"/>
          <w:szCs w:val="32"/>
          <w:lang w:val="en-US" w:eastAsia="zh-CN" w:bidi="ar-SA"/>
        </w:rPr>
        <w:t>2、组织实施。</w:t>
      </w:r>
      <w:r>
        <w:rPr>
          <w:rFonts w:hint="eastAsia" w:ascii="仿宋_GB2312" w:hAnsi="Calibri" w:eastAsia="仿宋_GB2312" w:cs="Times New Roman"/>
          <w:kern w:val="2"/>
          <w:sz w:val="32"/>
          <w:szCs w:val="32"/>
          <w:lang w:val="en-US" w:eastAsia="zh-CN" w:bidi="ar-SA"/>
        </w:rPr>
        <w:t>由财务股牵头，组织相关股室所，对202</w:t>
      </w:r>
      <w:r>
        <w:rPr>
          <w:rFonts w:hint="eastAsia" w:ascii="仿宋_GB2312" w:eastAsia="仿宋_GB2312" w:cs="Times New Roman"/>
          <w:kern w:val="2"/>
          <w:sz w:val="32"/>
          <w:szCs w:val="32"/>
          <w:lang w:val="en-US" w:eastAsia="zh-CN" w:bidi="ar-SA"/>
        </w:rPr>
        <w:t>4</w:t>
      </w:r>
      <w:r>
        <w:rPr>
          <w:rFonts w:hint="eastAsia" w:ascii="仿宋_GB2312" w:hAnsi="Calibri" w:eastAsia="仿宋_GB2312" w:cs="Times New Roman"/>
          <w:kern w:val="2"/>
          <w:sz w:val="32"/>
          <w:szCs w:val="32"/>
          <w:lang w:val="en-US" w:eastAsia="zh-CN" w:bidi="ar-SA"/>
        </w:rPr>
        <w:t>年度县级部门预算资金开展绩效自评工作，根据绩效评价指标完成情况表要求对照评分，并将绩效评价报告和绩效评价相关辅证资料汇编成册后，于</w:t>
      </w:r>
      <w:r>
        <w:rPr>
          <w:rFonts w:hint="eastAsia" w:ascii="仿宋_GB2312" w:eastAsia="仿宋_GB2312" w:cs="Times New Roman"/>
          <w:kern w:val="2"/>
          <w:sz w:val="32"/>
          <w:szCs w:val="32"/>
          <w:lang w:val="en-US" w:eastAsia="zh-CN" w:bidi="ar-SA"/>
        </w:rPr>
        <w:t>6</w:t>
      </w:r>
      <w:r>
        <w:rPr>
          <w:rFonts w:hint="eastAsia" w:ascii="仿宋_GB2312" w:hAnsi="Calibri" w:eastAsia="仿宋_GB2312" w:cs="Times New Roman"/>
          <w:kern w:val="2"/>
          <w:sz w:val="32"/>
          <w:szCs w:val="32"/>
          <w:lang w:val="en-US" w:eastAsia="zh-CN" w:bidi="ar-SA"/>
        </w:rPr>
        <w:t>月3</w:t>
      </w:r>
      <w:r>
        <w:rPr>
          <w:rFonts w:hint="eastAsia" w:ascii="仿宋_GB2312" w:eastAsia="仿宋_GB2312" w:cs="Times New Roman"/>
          <w:kern w:val="2"/>
          <w:sz w:val="32"/>
          <w:szCs w:val="32"/>
          <w:lang w:val="en-US" w:eastAsia="zh-CN" w:bidi="ar-SA"/>
        </w:rPr>
        <w:t>0</w:t>
      </w:r>
      <w:r>
        <w:rPr>
          <w:rFonts w:hint="eastAsia" w:ascii="仿宋_GB2312" w:hAnsi="Calibri" w:eastAsia="仿宋_GB2312" w:cs="Times New Roman"/>
          <w:kern w:val="2"/>
          <w:sz w:val="32"/>
          <w:szCs w:val="32"/>
          <w:lang w:val="en-US" w:eastAsia="zh-CN" w:bidi="ar-SA"/>
        </w:rPr>
        <w:t>日前报县财政局绩效评价股。</w:t>
      </w:r>
    </w:p>
    <w:p w14:paraId="4DC33A08">
      <w:pPr>
        <w:pStyle w:val="24"/>
        <w:keepNext w:val="0"/>
        <w:keepLines w:val="0"/>
        <w:pageBreakBefore w:val="0"/>
        <w:kinsoku/>
        <w:wordWrap/>
        <w:overflowPunct/>
        <w:topLinePunct w:val="0"/>
        <w:autoSpaceDE/>
        <w:autoSpaceDN/>
        <w:bidi w:val="0"/>
        <w:adjustRightInd/>
        <w:snapToGrid/>
        <w:spacing w:line="560" w:lineRule="exact"/>
        <w:ind w:left="64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（二）部门自评情况</w:t>
      </w:r>
    </w:p>
    <w:p w14:paraId="0C493F93">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202</w:t>
      </w:r>
      <w:r>
        <w:rPr>
          <w:rFonts w:hint="eastAsia" w:ascii="仿宋_GB2312" w:eastAsia="仿宋_GB2312" w:cs="Times New Roman"/>
          <w:kern w:val="2"/>
          <w:sz w:val="32"/>
          <w:szCs w:val="32"/>
          <w:lang w:val="en-US" w:eastAsia="zh-CN" w:bidi="ar-SA"/>
        </w:rPr>
        <w:t>4</w:t>
      </w:r>
      <w:r>
        <w:rPr>
          <w:rFonts w:hint="eastAsia" w:ascii="仿宋_GB2312" w:hAnsi="Calibri" w:eastAsia="仿宋_GB2312" w:cs="Times New Roman"/>
          <w:kern w:val="2"/>
          <w:sz w:val="32"/>
          <w:szCs w:val="32"/>
          <w:lang w:val="en-US" w:eastAsia="zh-CN" w:bidi="ar-SA"/>
        </w:rPr>
        <w:t xml:space="preserve">年度，部门整体支出经费项目在项目申报、目标设定、决策过程、资金分配、资金到位、支出管理、组织实施、项目效果等方面落实情况较好。 </w:t>
      </w:r>
    </w:p>
    <w:p w14:paraId="2035E48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 xml:space="preserve">部门自评得分为：96分。 </w:t>
      </w:r>
    </w:p>
    <w:p w14:paraId="45D8B1B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（三）资产绩效管理评价情况</w:t>
      </w:r>
    </w:p>
    <w:p w14:paraId="7ABAD54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bCs w:val="0"/>
          <w:color w:val="auto"/>
          <w:kern w:val="2"/>
          <w:sz w:val="32"/>
          <w:szCs w:val="32"/>
          <w:lang w:val="en-US" w:eastAsia="zh-CN" w:bidi="ar-SA"/>
        </w:rPr>
      </w:pPr>
      <w:r>
        <w:rPr>
          <w:rFonts w:hint="eastAsia" w:ascii="仿宋_GB2312" w:hAnsi="Calibri" w:eastAsia="仿宋_GB2312" w:cs="Times New Roman"/>
          <w:kern w:val="2"/>
          <w:sz w:val="32"/>
          <w:szCs w:val="32"/>
          <w:lang w:val="en-US" w:eastAsia="zh-CN" w:bidi="ar-SA"/>
        </w:rPr>
        <w:t>单位已建立资产管理制度，并明确专人管理；资产配置严格按要求实施，配置标准没有超标，配置数量符合规定；截至2024年12月31日，我单位自用固定资产21.28万元，占账面固定资产总额的100.00%，其中</w:t>
      </w:r>
      <w:r>
        <w:rPr>
          <w:rFonts w:hint="eastAsia" w:ascii="仿宋_GB2312" w:hAnsi="Calibri" w:eastAsia="仿宋_GB2312" w:cs="Times New Roman"/>
          <w:bCs w:val="0"/>
          <w:color w:val="auto"/>
          <w:kern w:val="2"/>
          <w:sz w:val="32"/>
          <w:szCs w:val="32"/>
          <w:lang w:val="en-US" w:eastAsia="zh-CN" w:bidi="ar-SA"/>
        </w:rPr>
        <w:t>:在用20.50万元，占账面固定资产总额的96.35%；闲置0.78万元，占账面固定资产总额的3.65%；资产管理系统</w:t>
      </w:r>
      <w:r>
        <w:rPr>
          <w:rFonts w:hint="eastAsia" w:ascii="仿宋_GB2312" w:eastAsia="仿宋_GB2312" w:cs="Times New Roman"/>
          <w:bCs w:val="0"/>
          <w:color w:val="auto"/>
          <w:kern w:val="2"/>
          <w:sz w:val="32"/>
          <w:szCs w:val="32"/>
          <w:lang w:val="en-US" w:eastAsia="zh-CN" w:bidi="ar-SA"/>
        </w:rPr>
        <w:t>实时更新，</w:t>
      </w:r>
      <w:r>
        <w:rPr>
          <w:rFonts w:hint="eastAsia" w:ascii="仿宋_GB2312" w:hAnsi="Calibri" w:eastAsia="仿宋_GB2312" w:cs="Times New Roman"/>
          <w:bCs w:val="0"/>
          <w:color w:val="auto"/>
          <w:kern w:val="2"/>
          <w:sz w:val="32"/>
          <w:szCs w:val="32"/>
          <w:lang w:val="en-US" w:eastAsia="zh-CN" w:bidi="ar-SA"/>
        </w:rPr>
        <w:t>与财务系统做到账账相符，账实相符。</w:t>
      </w:r>
    </w:p>
    <w:p w14:paraId="707CEFF1">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三、部门整体支出绩效情况分析</w:t>
      </w:r>
    </w:p>
    <w:p w14:paraId="22378AD5">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（一）预算情况</w:t>
      </w:r>
    </w:p>
    <w:p w14:paraId="5EA862C2">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202</w:t>
      </w:r>
      <w:r>
        <w:rPr>
          <w:rFonts w:hint="eastAsia" w:ascii="仿宋_GB2312" w:eastAsia="仿宋_GB2312" w:cs="Times New Roman"/>
          <w:color w:val="auto"/>
          <w:kern w:val="2"/>
          <w:sz w:val="32"/>
          <w:szCs w:val="32"/>
          <w:lang w:val="en-US" w:eastAsia="zh-CN" w:bidi="ar-SA"/>
        </w:rPr>
        <w:t>4</w:t>
      </w:r>
      <w:r>
        <w:rPr>
          <w:rFonts w:hint="eastAsia" w:ascii="仿宋_GB2312" w:hAnsi="Calibri" w:eastAsia="仿宋_GB2312" w:cs="Times New Roman"/>
          <w:color w:val="auto"/>
          <w:kern w:val="2"/>
          <w:sz w:val="32"/>
          <w:szCs w:val="32"/>
          <w:lang w:val="en-US" w:eastAsia="zh-CN" w:bidi="ar-SA"/>
        </w:rPr>
        <w:t>年度年初部门预算为</w:t>
      </w:r>
      <w:r>
        <w:rPr>
          <w:rFonts w:hint="eastAsia" w:ascii="仿宋_GB2312" w:eastAsia="仿宋_GB2312" w:cs="Times New Roman"/>
          <w:color w:val="auto"/>
          <w:kern w:val="2"/>
          <w:sz w:val="32"/>
          <w:szCs w:val="32"/>
          <w:lang w:val="en-US" w:eastAsia="zh-CN" w:bidi="ar-SA"/>
        </w:rPr>
        <w:t>435.37</w:t>
      </w:r>
      <w:r>
        <w:rPr>
          <w:rFonts w:hint="eastAsia" w:ascii="仿宋_GB2312" w:hAnsi="Calibri" w:eastAsia="仿宋_GB2312" w:cs="Times New Roman"/>
          <w:color w:val="auto"/>
          <w:kern w:val="2"/>
          <w:sz w:val="32"/>
          <w:szCs w:val="32"/>
          <w:lang w:val="en-US" w:eastAsia="zh-CN" w:bidi="ar-SA"/>
        </w:rPr>
        <w:t>万元，其中财政预算拨款</w:t>
      </w:r>
      <w:r>
        <w:rPr>
          <w:rFonts w:hint="eastAsia" w:ascii="仿宋_GB2312" w:eastAsia="仿宋_GB2312" w:cs="Times New Roman"/>
          <w:color w:val="auto"/>
          <w:kern w:val="2"/>
          <w:sz w:val="32"/>
          <w:szCs w:val="32"/>
          <w:lang w:val="en-US" w:eastAsia="zh-CN" w:bidi="ar-SA"/>
        </w:rPr>
        <w:t>155.37</w:t>
      </w:r>
      <w:r>
        <w:rPr>
          <w:rFonts w:hint="eastAsia" w:ascii="仿宋_GB2312" w:hAnsi="Calibri" w:eastAsia="仿宋_GB2312" w:cs="Times New Roman"/>
          <w:color w:val="auto"/>
          <w:kern w:val="2"/>
          <w:sz w:val="32"/>
          <w:szCs w:val="32"/>
          <w:lang w:val="en-US" w:eastAsia="zh-CN" w:bidi="ar-SA"/>
        </w:rPr>
        <w:t>万元；纳入财政专户管理的非税收入拨款</w:t>
      </w:r>
      <w:r>
        <w:rPr>
          <w:rFonts w:hint="eastAsia" w:ascii="仿宋_GB2312" w:eastAsia="仿宋_GB2312" w:cs="Times New Roman"/>
          <w:color w:val="auto"/>
          <w:kern w:val="2"/>
          <w:sz w:val="32"/>
          <w:szCs w:val="32"/>
          <w:lang w:val="en-US" w:eastAsia="zh-CN" w:bidi="ar-SA"/>
        </w:rPr>
        <w:t>280</w:t>
      </w:r>
      <w:r>
        <w:rPr>
          <w:rFonts w:hint="eastAsia" w:ascii="仿宋_GB2312" w:hAnsi="Calibri" w:eastAsia="仿宋_GB2312" w:cs="Times New Roman"/>
          <w:color w:val="auto"/>
          <w:kern w:val="2"/>
          <w:sz w:val="32"/>
          <w:szCs w:val="32"/>
          <w:lang w:val="en-US" w:eastAsia="zh-CN" w:bidi="ar-SA"/>
        </w:rPr>
        <w:t>万元。其中：基本支出</w:t>
      </w:r>
      <w:r>
        <w:rPr>
          <w:rFonts w:hint="eastAsia" w:ascii="仿宋_GB2312" w:eastAsia="仿宋_GB2312" w:cs="Times New Roman"/>
          <w:color w:val="auto"/>
          <w:kern w:val="2"/>
          <w:sz w:val="32"/>
          <w:szCs w:val="32"/>
          <w:lang w:val="en-US" w:eastAsia="zh-CN" w:bidi="ar-SA"/>
        </w:rPr>
        <w:t>149.57</w:t>
      </w:r>
      <w:r>
        <w:rPr>
          <w:rFonts w:hint="eastAsia" w:ascii="仿宋_GB2312" w:hAnsi="Calibri" w:eastAsia="仿宋_GB2312" w:cs="Times New Roman"/>
          <w:color w:val="auto"/>
          <w:kern w:val="2"/>
          <w:sz w:val="32"/>
          <w:szCs w:val="32"/>
          <w:lang w:val="en-US" w:eastAsia="zh-CN" w:bidi="ar-SA"/>
        </w:rPr>
        <w:t>万元（工资福利支出</w:t>
      </w:r>
      <w:r>
        <w:rPr>
          <w:rFonts w:hint="eastAsia" w:ascii="仿宋_GB2312" w:eastAsia="仿宋_GB2312" w:cs="Times New Roman"/>
          <w:color w:val="auto"/>
          <w:kern w:val="2"/>
          <w:sz w:val="32"/>
          <w:szCs w:val="32"/>
          <w:lang w:val="en-US" w:eastAsia="zh-CN" w:bidi="ar-SA"/>
        </w:rPr>
        <w:t>133.32</w:t>
      </w:r>
      <w:r>
        <w:rPr>
          <w:rFonts w:hint="eastAsia" w:ascii="仿宋_GB2312" w:hAnsi="Calibri" w:eastAsia="仿宋_GB2312" w:cs="Times New Roman"/>
          <w:color w:val="auto"/>
          <w:kern w:val="2"/>
          <w:sz w:val="32"/>
          <w:szCs w:val="32"/>
          <w:lang w:val="en-US" w:eastAsia="zh-CN" w:bidi="ar-SA"/>
        </w:rPr>
        <w:t>万元，商品和服务支出</w:t>
      </w:r>
      <w:r>
        <w:rPr>
          <w:rFonts w:hint="eastAsia" w:ascii="仿宋_GB2312" w:eastAsia="仿宋_GB2312" w:cs="Times New Roman"/>
          <w:color w:val="auto"/>
          <w:kern w:val="2"/>
          <w:sz w:val="32"/>
          <w:szCs w:val="32"/>
          <w:lang w:val="en-US" w:eastAsia="zh-CN" w:bidi="ar-SA"/>
        </w:rPr>
        <w:t>16.25</w:t>
      </w:r>
      <w:r>
        <w:rPr>
          <w:rFonts w:hint="eastAsia" w:ascii="仿宋_GB2312" w:hAnsi="Calibri" w:eastAsia="仿宋_GB2312" w:cs="Times New Roman"/>
          <w:color w:val="auto"/>
          <w:kern w:val="2"/>
          <w:sz w:val="32"/>
          <w:szCs w:val="32"/>
          <w:lang w:val="en-US" w:eastAsia="zh-CN" w:bidi="ar-SA"/>
        </w:rPr>
        <w:t>万元）；项目支出</w:t>
      </w:r>
      <w:r>
        <w:rPr>
          <w:rFonts w:hint="eastAsia" w:ascii="仿宋_GB2312" w:eastAsia="仿宋_GB2312" w:cs="Times New Roman"/>
          <w:color w:val="auto"/>
          <w:kern w:val="2"/>
          <w:sz w:val="32"/>
          <w:szCs w:val="32"/>
          <w:lang w:val="en-US" w:eastAsia="zh-CN" w:bidi="ar-SA"/>
        </w:rPr>
        <w:t>285.5</w:t>
      </w:r>
      <w:r>
        <w:rPr>
          <w:rFonts w:hint="eastAsia" w:ascii="仿宋_GB2312" w:hAnsi="Calibri" w:eastAsia="仿宋_GB2312" w:cs="Times New Roman"/>
          <w:color w:val="auto"/>
          <w:kern w:val="2"/>
          <w:sz w:val="32"/>
          <w:szCs w:val="32"/>
          <w:lang w:val="en-US" w:eastAsia="zh-CN" w:bidi="ar-SA"/>
        </w:rPr>
        <w:t>万元。</w:t>
      </w:r>
    </w:p>
    <w:p w14:paraId="3D1884B3">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楷体" w:hAnsi="楷体" w:eastAsia="楷体" w:cs="楷体"/>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（二）预算执行情况</w:t>
      </w:r>
    </w:p>
    <w:p w14:paraId="34E4A8B7">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202</w:t>
      </w:r>
      <w:r>
        <w:rPr>
          <w:rFonts w:hint="eastAsia" w:ascii="仿宋_GB2312" w:eastAsia="仿宋_GB2312" w:cs="Times New Roman"/>
          <w:color w:val="auto"/>
          <w:kern w:val="2"/>
          <w:sz w:val="32"/>
          <w:szCs w:val="32"/>
          <w:lang w:val="en-US" w:eastAsia="zh-CN" w:bidi="ar-SA"/>
        </w:rPr>
        <w:t>4</w:t>
      </w:r>
      <w:r>
        <w:rPr>
          <w:rFonts w:hint="eastAsia" w:ascii="仿宋_GB2312" w:hAnsi="Calibri" w:eastAsia="仿宋_GB2312" w:cs="Times New Roman"/>
          <w:color w:val="auto"/>
          <w:kern w:val="2"/>
          <w:sz w:val="32"/>
          <w:szCs w:val="32"/>
          <w:lang w:val="en-US" w:eastAsia="zh-CN" w:bidi="ar-SA"/>
        </w:rPr>
        <w:t>年度支出实际发生额为</w:t>
      </w:r>
      <w:r>
        <w:rPr>
          <w:rFonts w:hint="eastAsia" w:ascii="仿宋_GB2312" w:eastAsia="仿宋_GB2312" w:cs="Times New Roman"/>
          <w:color w:val="auto"/>
          <w:kern w:val="2"/>
          <w:sz w:val="32"/>
          <w:szCs w:val="32"/>
          <w:lang w:val="en-US" w:eastAsia="zh-CN" w:bidi="ar-SA"/>
        </w:rPr>
        <w:t>402.12</w:t>
      </w:r>
      <w:r>
        <w:rPr>
          <w:rFonts w:hint="eastAsia" w:ascii="仿宋_GB2312" w:hAnsi="Calibri" w:eastAsia="仿宋_GB2312" w:cs="Times New Roman"/>
          <w:color w:val="auto"/>
          <w:kern w:val="2"/>
          <w:sz w:val="32"/>
          <w:szCs w:val="32"/>
          <w:lang w:val="en-US" w:eastAsia="zh-CN" w:bidi="ar-SA"/>
        </w:rPr>
        <w:t>万元。全年支出实际发生额与年度总预算安排比例为</w:t>
      </w:r>
      <w:r>
        <w:rPr>
          <w:rFonts w:hint="eastAsia" w:ascii="仿宋_GB2312" w:eastAsia="仿宋_GB2312" w:cs="Times New Roman"/>
          <w:color w:val="auto"/>
          <w:kern w:val="2"/>
          <w:sz w:val="32"/>
          <w:szCs w:val="32"/>
          <w:lang w:val="en-US" w:eastAsia="zh-CN" w:bidi="ar-SA"/>
        </w:rPr>
        <w:t>92.4</w:t>
      </w:r>
      <w:r>
        <w:rPr>
          <w:rFonts w:hint="eastAsia" w:ascii="仿宋_GB2312" w:hAnsi="Calibri" w:eastAsia="仿宋_GB2312" w:cs="Times New Roman"/>
          <w:color w:val="auto"/>
          <w:kern w:val="2"/>
          <w:sz w:val="32"/>
          <w:szCs w:val="32"/>
          <w:lang w:val="en-US" w:eastAsia="zh-CN" w:bidi="ar-SA"/>
        </w:rPr>
        <w:t>%。基本支出数为</w:t>
      </w:r>
      <w:r>
        <w:rPr>
          <w:rFonts w:hint="eastAsia" w:ascii="仿宋_GB2312" w:eastAsia="仿宋_GB2312" w:cs="Times New Roman"/>
          <w:color w:val="auto"/>
          <w:kern w:val="2"/>
          <w:sz w:val="32"/>
          <w:szCs w:val="32"/>
          <w:lang w:val="en-US" w:eastAsia="zh-CN" w:bidi="ar-SA"/>
        </w:rPr>
        <w:t>155.2</w:t>
      </w:r>
      <w:r>
        <w:rPr>
          <w:rFonts w:hint="eastAsia" w:ascii="仿宋_GB2312" w:hAnsi="Calibri" w:eastAsia="仿宋_GB2312" w:cs="Times New Roman"/>
          <w:color w:val="auto"/>
          <w:kern w:val="2"/>
          <w:sz w:val="32"/>
          <w:szCs w:val="32"/>
          <w:lang w:val="en-US" w:eastAsia="zh-CN" w:bidi="ar-SA"/>
        </w:rPr>
        <w:t>万元，</w:t>
      </w:r>
      <w:r>
        <w:rPr>
          <w:rFonts w:hint="eastAsia" w:ascii="仿宋_GB2312" w:eastAsia="仿宋_GB2312" w:cs="Times New Roman"/>
          <w:color w:val="auto"/>
          <w:kern w:val="2"/>
          <w:sz w:val="32"/>
          <w:szCs w:val="32"/>
          <w:lang w:val="en-US" w:eastAsia="zh-CN" w:bidi="ar-SA"/>
        </w:rPr>
        <w:t>项目支出246.92万元。</w:t>
      </w:r>
      <w:r>
        <w:rPr>
          <w:rFonts w:hint="eastAsia" w:ascii="仿宋_GB2312" w:hAnsi="Calibri" w:eastAsia="仿宋_GB2312" w:cs="Times New Roman"/>
          <w:b w:val="0"/>
          <w:bCs w:val="0"/>
          <w:color w:val="auto"/>
          <w:kern w:val="2"/>
          <w:sz w:val="32"/>
          <w:szCs w:val="32"/>
          <w:lang w:val="en-US" w:eastAsia="zh-CN" w:bidi="ar-SA"/>
        </w:rPr>
        <w:t>其中公务接待费控制数为</w:t>
      </w:r>
      <w:r>
        <w:rPr>
          <w:rFonts w:hint="eastAsia" w:ascii="仿宋_GB2312" w:eastAsia="仿宋_GB2312" w:cs="Times New Roman"/>
          <w:b w:val="0"/>
          <w:bCs w:val="0"/>
          <w:color w:val="auto"/>
          <w:kern w:val="2"/>
          <w:sz w:val="32"/>
          <w:szCs w:val="32"/>
          <w:lang w:val="en-US" w:eastAsia="zh-CN" w:bidi="ar-SA"/>
        </w:rPr>
        <w:t>0</w:t>
      </w:r>
      <w:r>
        <w:rPr>
          <w:rFonts w:hint="eastAsia" w:ascii="仿宋_GB2312" w:hAnsi="Calibri" w:eastAsia="仿宋_GB2312" w:cs="Times New Roman"/>
          <w:b w:val="0"/>
          <w:bCs w:val="0"/>
          <w:color w:val="auto"/>
          <w:kern w:val="2"/>
          <w:sz w:val="32"/>
          <w:szCs w:val="32"/>
          <w:lang w:val="en-US" w:eastAsia="zh-CN" w:bidi="ar-SA"/>
        </w:rPr>
        <w:t>万元，实际支出0万元。</w:t>
      </w:r>
      <w:r>
        <w:rPr>
          <w:rFonts w:hint="eastAsia" w:ascii="仿宋_GB2312" w:hAnsi="Calibri" w:eastAsia="仿宋_GB2312" w:cs="Times New Roman"/>
          <w:color w:val="auto"/>
          <w:kern w:val="2"/>
          <w:sz w:val="32"/>
          <w:szCs w:val="32"/>
          <w:lang w:val="en-US" w:eastAsia="zh-CN" w:bidi="ar-SA"/>
        </w:rPr>
        <w:t>本单位严格遵守财经纪律，对差旅费、公务接待、培训费，按照财政文件规定报销，严控三公经费支出，保证单位基本支出，达到了财政资金的使用效果。</w:t>
      </w:r>
    </w:p>
    <w:p w14:paraId="68717497">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（三）部门整体支出绩效情况</w:t>
      </w:r>
    </w:p>
    <w:p w14:paraId="19F9BB00">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Calibri" w:eastAsia="仿宋_GB2312" w:cs="Times New Roman"/>
          <w:color w:val="auto"/>
          <w:kern w:val="2"/>
          <w:sz w:val="32"/>
          <w:szCs w:val="32"/>
          <w:lang w:val="en-US" w:eastAsia="zh-CN" w:bidi="ar-SA"/>
        </w:rPr>
      </w:pPr>
      <w:r>
        <w:rPr>
          <w:rFonts w:hint="default" w:ascii="Times New Roman" w:hAnsi="Times New Roman" w:eastAsia="仿宋_GB2312" w:cs="Times New Roman"/>
          <w:i w:val="0"/>
          <w:caps w:val="0"/>
          <w:color w:val="000000" w:themeColor="text1"/>
          <w:spacing w:val="0"/>
          <w:sz w:val="32"/>
          <w:szCs w:val="32"/>
          <w:shd w:val="clear" w:fill="FDFDFE"/>
        </w:rPr>
        <w:t>2024</w:t>
      </w:r>
      <w:r>
        <w:rPr>
          <w:rFonts w:hint="eastAsia" w:ascii="仿宋_GB2312" w:hAnsi="仿宋_GB2312" w:eastAsia="仿宋_GB2312" w:cs="仿宋_GB2312"/>
          <w:i w:val="0"/>
          <w:caps w:val="0"/>
          <w:color w:val="000000" w:themeColor="text1"/>
          <w:spacing w:val="0"/>
          <w:sz w:val="32"/>
          <w:szCs w:val="32"/>
          <w:shd w:val="clear" w:fill="FDFDFE"/>
        </w:rPr>
        <w:t>年，在县委县政府坚强领导和市优居中心精心指导下，湘潭县优化人居环境事务中心坚持以服务县域经济社会发展大局为己任，勇于担当、</w:t>
      </w:r>
      <w:r>
        <w:rPr>
          <w:rFonts w:hint="eastAsia" w:ascii="仿宋_GB2312" w:hAnsi="仿宋_GB2312" w:eastAsia="仿宋_GB2312" w:cs="仿宋_GB2312"/>
          <w:i w:val="0"/>
          <w:caps w:val="0"/>
          <w:color w:val="000000" w:themeColor="text1"/>
          <w:spacing w:val="0"/>
          <w:sz w:val="32"/>
          <w:szCs w:val="32"/>
          <w:shd w:val="clear" w:fill="FDFDFE"/>
          <w:lang w:eastAsia="zh-CN"/>
        </w:rPr>
        <w:t>奋发</w:t>
      </w:r>
      <w:r>
        <w:rPr>
          <w:rFonts w:hint="eastAsia" w:ascii="仿宋_GB2312" w:hAnsi="仿宋_GB2312" w:eastAsia="仿宋_GB2312" w:cs="仿宋_GB2312"/>
          <w:i w:val="0"/>
          <w:caps w:val="0"/>
          <w:color w:val="000000" w:themeColor="text1"/>
          <w:spacing w:val="0"/>
          <w:sz w:val="32"/>
          <w:szCs w:val="32"/>
          <w:shd w:val="clear" w:fill="FDFDFE"/>
        </w:rPr>
        <w:t>作为，全力推进征地拆迁工作，取得了显著成效。</w:t>
      </w:r>
      <w:r>
        <w:rPr>
          <w:rFonts w:hint="eastAsia" w:ascii="仿宋_GB2312" w:hAnsi="Calibri" w:eastAsia="仿宋_GB2312" w:cs="Times New Roman"/>
          <w:color w:val="auto"/>
          <w:kern w:val="2"/>
          <w:sz w:val="32"/>
          <w:szCs w:val="32"/>
          <w:lang w:val="en-US" w:eastAsia="zh-CN" w:bidi="ar-SA"/>
        </w:rPr>
        <w:t>根据《部门整体支出绩效评价指标》评分，得分9</w:t>
      </w:r>
      <w:r>
        <w:rPr>
          <w:rFonts w:hint="eastAsia" w:ascii="仿宋_GB2312" w:eastAsia="仿宋_GB2312" w:cs="Times New Roman"/>
          <w:color w:val="auto"/>
          <w:kern w:val="2"/>
          <w:sz w:val="32"/>
          <w:szCs w:val="32"/>
          <w:lang w:val="en-US" w:eastAsia="zh-CN" w:bidi="ar-SA"/>
        </w:rPr>
        <w:t>6</w:t>
      </w:r>
      <w:r>
        <w:rPr>
          <w:rFonts w:hint="eastAsia" w:ascii="仿宋_GB2312" w:hAnsi="Calibri" w:eastAsia="仿宋_GB2312" w:cs="Times New Roman"/>
          <w:color w:val="auto"/>
          <w:kern w:val="2"/>
          <w:sz w:val="32"/>
          <w:szCs w:val="32"/>
          <w:lang w:val="en-US" w:eastAsia="zh-CN" w:bidi="ar-SA"/>
        </w:rPr>
        <w:t>分，绩效评价等级为“优”。主要绩效如下：</w:t>
      </w:r>
    </w:p>
    <w:p w14:paraId="6B52B35E">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2024年，全县（不含天易示范区）共实施征拆项目26个，累计完成征地165.34亩，签订房屋安置补偿协议51户，安全拆除房屋33户，支付征收补偿款8202万元，年内办结项目7个,其中包括2024年市征拆工作联席会议交办的5个征拆任务。</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今年铺排的</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12</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个新项，如株洲西</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500</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KV输变电线路工程、杨家桥</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110</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KV变电站、石潭渔光互补升压站、天马</w:t>
      </w:r>
      <w:r>
        <w:rPr>
          <w:rFonts w:hint="eastAsia" w:ascii="Times New Roman" w:hAnsi="Times New Roman" w:eastAsia="仿宋_GB2312" w:cs="Times New Roman"/>
          <w:b w:val="0"/>
          <w:i w:val="0"/>
          <w:caps w:val="0"/>
          <w:color w:val="000000" w:themeColor="text1"/>
          <w:spacing w:val="0"/>
          <w:kern w:val="0"/>
          <w:sz w:val="32"/>
          <w:szCs w:val="32"/>
          <w:shd w:val="clear" w:fill="FDFDFE"/>
          <w:lang w:val="en-US" w:eastAsia="zh-CN" w:bidi="ar"/>
        </w:rPr>
        <w:t>35</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KV变电站等项目，均在法定最短时限内完成腾房交地，顺利建设或投产。延</w:t>
      </w:r>
      <w:r>
        <w:rPr>
          <w:rFonts w:hint="eastAsia" w:ascii="仿宋_GB2312" w:hAnsi="仿宋_GB2312" w:eastAsia="仿宋_GB2312" w:cs="仿宋_GB2312"/>
          <w:bCs w:val="0"/>
          <w:color w:val="000000" w:themeColor="text1"/>
          <w:kern w:val="2"/>
          <w:sz w:val="32"/>
          <w:szCs w:val="32"/>
          <w:lang w:val="en-US" w:eastAsia="zh-CN" w:bidi="ar-SA"/>
        </w:rPr>
        <w:t>续实施的</w:t>
      </w:r>
      <w:r>
        <w:rPr>
          <w:rFonts w:hint="eastAsia" w:ascii="Times New Roman" w:hAnsi="Times New Roman" w:eastAsia="仿宋_GB2312" w:cs="Times New Roman"/>
          <w:b w:val="0"/>
          <w:bCs w:val="0"/>
          <w:i w:val="0"/>
          <w:caps w:val="0"/>
          <w:color w:val="000000" w:themeColor="text1"/>
          <w:spacing w:val="0"/>
          <w:kern w:val="0"/>
          <w:sz w:val="32"/>
          <w:szCs w:val="32"/>
          <w:shd w:val="clear" w:fill="FDFDFE"/>
          <w:lang w:val="en-US" w:eastAsia="zh-CN" w:bidi="ar"/>
        </w:rPr>
        <w:t>14</w:t>
      </w:r>
      <w:r>
        <w:rPr>
          <w:rFonts w:hint="eastAsia" w:ascii="仿宋_GB2312" w:hAnsi="仿宋_GB2312" w:eastAsia="仿宋_GB2312" w:cs="仿宋_GB2312"/>
          <w:bCs w:val="0"/>
          <w:color w:val="000000" w:themeColor="text1"/>
          <w:kern w:val="2"/>
          <w:sz w:val="32"/>
          <w:szCs w:val="32"/>
          <w:lang w:val="en-US" w:eastAsia="zh-CN" w:bidi="ar-SA"/>
        </w:rPr>
        <w:t>个项目，</w:t>
      </w:r>
      <w:r>
        <w:rPr>
          <w:rFonts w:hint="eastAsia" w:ascii="Times New Roman" w:hAnsi="Times New Roman" w:eastAsia="仿宋_GB2312" w:cs="Times New Roman"/>
          <w:b w:val="0"/>
          <w:bCs w:val="0"/>
          <w:i w:val="0"/>
          <w:caps w:val="0"/>
          <w:color w:val="000000" w:themeColor="text1"/>
          <w:spacing w:val="0"/>
          <w:kern w:val="0"/>
          <w:sz w:val="32"/>
          <w:szCs w:val="32"/>
          <w:shd w:val="clear" w:fill="FDFDFE"/>
          <w:lang w:val="en-US" w:eastAsia="zh-CN" w:bidi="ar"/>
        </w:rPr>
        <w:t>G60</w:t>
      </w:r>
      <w:r>
        <w:rPr>
          <w:rFonts w:hint="eastAsia" w:ascii="仿宋_GB2312" w:hAnsi="仿宋_GB2312" w:eastAsia="仿宋_GB2312" w:cs="仿宋_GB2312"/>
          <w:b w:val="0"/>
          <w:bCs/>
          <w:i w:val="0"/>
          <w:caps w:val="0"/>
          <w:color w:val="000000" w:themeColor="text1"/>
          <w:spacing w:val="0"/>
          <w:kern w:val="0"/>
          <w:sz w:val="32"/>
          <w:szCs w:val="32"/>
          <w:shd w:val="clear" w:color="auto" w:fill="FDFDFE"/>
          <w:lang w:val="en-US" w:eastAsia="zh-CN" w:bidi="ar"/>
        </w:rPr>
        <w:t>醴娄高速公路项目，杨嘉桥园区项目（嘉鸿包装），昌山风电场一期项目等均按要求顺利完成。</w:t>
      </w:r>
    </w:p>
    <w:p w14:paraId="33B87E13">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2、全县征拆项目资金实行专账管理、收支清晰，征拆工作经费拨付、补偿资金发放依法依规安全平稳运行。</w:t>
      </w:r>
    </w:p>
    <w:p w14:paraId="04E04DB2">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3、高度重视征拆领域信访维稳和司法诉讼工作，全年共接待群众各类来电来访54批86人次，办理信访案件13件，均做到及时受理、按时答复，办理情况满意率达100％。 同时党组高度重视涉征信访突出问题化解，召开3次党组会议专题研究信访工作，7次月工作例会听取信访工作汇报并调度部署，进一步优化信访化解和稳控工作方案，增加1 人（现共2人）专门负责信访工作，整体形势有效稳控。严格依法依规做好政府信息公开工作，全年依法办理依申请公开答复14件、履职申请5件、行政复议7件、行政诉讼11件。在应诉应判过程中，坚持为民情怀，依法依规处理各类案件，有效保障了申请人的合法权益。</w:t>
      </w:r>
    </w:p>
    <w:p w14:paraId="4B7D29E2">
      <w:pPr>
        <w:pStyle w:val="20"/>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四、存在的问题</w:t>
      </w:r>
    </w:p>
    <w:p w14:paraId="1F7B7AF1">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1、由于单位新进人员，导致基本支出较年初预算有所增加，由于资金限制，有部分需要在本年度支付的资金没有支付，故实际发生的支出偏低。</w:t>
      </w:r>
    </w:p>
    <w:p w14:paraId="1CA2CB72">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2、由于本单位存在自收自支和劳务派遣人员，他们所有经费均由单位负责，为保障正常运转，年末纳入财政专户管理的非税收入会预留部分资金到下年初使用，故财政专户有部分结余。</w:t>
      </w:r>
      <w:r>
        <w:rPr>
          <w:rFonts w:hint="eastAsia" w:ascii="仿宋_GB2312" w:eastAsia="仿宋_GB2312" w:cs="Times New Roman"/>
          <w:kern w:val="2"/>
          <w:sz w:val="32"/>
          <w:szCs w:val="32"/>
          <w:lang w:val="en-US" w:eastAsia="zh-CN" w:bidi="ar-SA"/>
        </w:rPr>
        <w:t xml:space="preserve">   </w:t>
      </w:r>
    </w:p>
    <w:p w14:paraId="0DC0BE44">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五、改进措施和有关建议</w:t>
      </w:r>
    </w:p>
    <w:p w14:paraId="42C327A0">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1、规范部门预算收支核算，及时掌握预算执行进度，及时找出预算实际执行情况与预算目标之间存在的差距，切实提高部门预算收支管理水平。</w:t>
      </w:r>
    </w:p>
    <w:p w14:paraId="44A87CA5">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2、进一步加强预算控制，合理谋划，在保障本年度和下年度初的正常运转范围内，严格控制财政专户结余数。</w:t>
      </w:r>
    </w:p>
    <w:p w14:paraId="5B9D632D">
      <w:pPr>
        <w:pStyle w:val="2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3、加强财务监督和管理，建立健全内控制度。对二级机构的专项经济活动实施必要监督，加强财务管理力度。</w:t>
      </w:r>
    </w:p>
    <w:p w14:paraId="25AAC56B">
      <w:pPr>
        <w:jc w:val="left"/>
        <w:rPr>
          <w:rFonts w:ascii="宋体" w:cs="Times New Roman"/>
          <w:color w:val="000000"/>
          <w:kern w:val="0"/>
          <w:sz w:val="32"/>
          <w:szCs w:val="32"/>
        </w:rPr>
      </w:pPr>
      <w:bookmarkStart w:id="3" w:name="_GoBack"/>
      <w:bookmarkEnd w:id="3"/>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5A36A5"/>
    <w:multiLevelType w:val="multilevel"/>
    <w:tmpl w:val="255A36A5"/>
    <w:lvl w:ilvl="0" w:tentative="0">
      <w:start w:val="1"/>
      <w:numFmt w:val="japaneseCounting"/>
      <w:lvlText w:val="（%1）"/>
      <w:lvlJc w:val="left"/>
      <w:pPr>
        <w:ind w:left="1720" w:hanging="108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C5C7F81"/>
    <w:multiLevelType w:val="singleLevel"/>
    <w:tmpl w:val="5C5C7F81"/>
    <w:lvl w:ilvl="0" w:tentative="0">
      <w:start w:val="7"/>
      <w:numFmt w:val="chineseCounting"/>
      <w:suff w:val="nothing"/>
      <w:lvlText w:val="%1、"/>
      <w:lvlJc w:val="left"/>
      <w:rPr>
        <w:rFonts w:hint="eastAsia"/>
      </w:rPr>
    </w:lvl>
  </w:abstractNum>
  <w:abstractNum w:abstractNumId="3">
    <w:nsid w:val="65D2ECA5"/>
    <w:multiLevelType w:val="singleLevel"/>
    <w:tmpl w:val="65D2ECA5"/>
    <w:lvl w:ilvl="0" w:tentative="0">
      <w:start w:val="1"/>
      <w:numFmt w:val="chineseCounting"/>
      <w:suff w:val="nothing"/>
      <w:lvlText w:val="（%1）"/>
      <w:lvlJc w:val="left"/>
      <w:pPr>
        <w:ind w:left="5" w:firstLine="420"/>
      </w:pPr>
      <w:rPr>
        <w:rFonts w:hint="eastAsia"/>
        <w:lang w:val="en-US"/>
      </w:rPr>
    </w:lvl>
  </w:abstractNum>
  <w:abstractNum w:abstractNumId="4">
    <w:nsid w:val="789676B4"/>
    <w:multiLevelType w:val="multilevel"/>
    <w:tmpl w:val="789676B4"/>
    <w:lvl w:ilvl="0" w:tentative="0">
      <w:start w:val="1"/>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AE30B0"/>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4762407"/>
    <w:rsid w:val="16FA4CED"/>
    <w:rsid w:val="18642FFF"/>
    <w:rsid w:val="18DB0F1A"/>
    <w:rsid w:val="1D97DEFF"/>
    <w:rsid w:val="1DFF72E5"/>
    <w:rsid w:val="1EFC6F07"/>
    <w:rsid w:val="1F2F4298"/>
    <w:rsid w:val="24C277D0"/>
    <w:rsid w:val="2DB11966"/>
    <w:rsid w:val="2FDF85B8"/>
    <w:rsid w:val="2FE32463"/>
    <w:rsid w:val="2FFFEE04"/>
    <w:rsid w:val="331D7A9E"/>
    <w:rsid w:val="34DF85B0"/>
    <w:rsid w:val="3B8F36BC"/>
    <w:rsid w:val="3D5D11C3"/>
    <w:rsid w:val="445B21D4"/>
    <w:rsid w:val="4672394C"/>
    <w:rsid w:val="46CB53EF"/>
    <w:rsid w:val="491FF225"/>
    <w:rsid w:val="4BF03B4A"/>
    <w:rsid w:val="4FFD214C"/>
    <w:rsid w:val="5777D4F5"/>
    <w:rsid w:val="59DD8326"/>
    <w:rsid w:val="5DEF592A"/>
    <w:rsid w:val="5F6917ED"/>
    <w:rsid w:val="5FC6BB1E"/>
    <w:rsid w:val="5FF720F1"/>
    <w:rsid w:val="6003220C"/>
    <w:rsid w:val="62314848"/>
    <w:rsid w:val="65B923D1"/>
    <w:rsid w:val="67FF5C0B"/>
    <w:rsid w:val="6E722A80"/>
    <w:rsid w:val="6EFC0924"/>
    <w:rsid w:val="6FB74722"/>
    <w:rsid w:val="6FEF8B7E"/>
    <w:rsid w:val="71A6591B"/>
    <w:rsid w:val="737D59BA"/>
    <w:rsid w:val="73A863A6"/>
    <w:rsid w:val="7431692A"/>
    <w:rsid w:val="76677D5E"/>
    <w:rsid w:val="77C37683"/>
    <w:rsid w:val="79FF515B"/>
    <w:rsid w:val="7AF661D7"/>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semiHidden/>
    <w:qFormat/>
    <w:uiPriority w:val="99"/>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pPr>
      <w:spacing w:after="120"/>
    </w:pPr>
  </w:style>
  <w:style w:type="paragraph" w:styleId="4">
    <w:name w:val="Body Text Indent"/>
    <w:basedOn w:val="1"/>
    <w:next w:val="5"/>
    <w:link w:val="14"/>
    <w:qFormat/>
    <w:uiPriority w:val="99"/>
    <w:pPr>
      <w:widowControl/>
      <w:spacing w:after="120"/>
      <w:ind w:left="420" w:leftChars="200"/>
      <w:jc w:val="left"/>
    </w:pPr>
    <w:rPr>
      <w:rFonts w:ascii="宋体" w:hAnsi="宋体" w:cs="宋体"/>
      <w:kern w:val="0"/>
      <w:sz w:val="24"/>
      <w:szCs w:val="24"/>
    </w:rPr>
  </w:style>
  <w:style w:type="paragraph" w:styleId="5">
    <w:name w:val="Body Text First Indent 2"/>
    <w:basedOn w:val="4"/>
    <w:next w:val="1"/>
    <w:link w:val="15"/>
    <w:qFormat/>
    <w:uiPriority w:val="99"/>
    <w:pPr>
      <w:ind w:firstLine="420" w:firstLineChars="200"/>
    </w:pPr>
  </w:style>
  <w:style w:type="paragraph" w:styleId="6">
    <w:name w:val="Balloon Text"/>
    <w:basedOn w:val="1"/>
    <w:link w:val="16"/>
    <w:semiHidden/>
    <w:qFormat/>
    <w:uiPriority w:val="99"/>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link w:val="13"/>
    <w:semiHidden/>
    <w:qFormat/>
    <w:uiPriority w:val="99"/>
    <w:pPr>
      <w:snapToGrid w:val="0"/>
      <w:jc w:val="left"/>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3">
    <w:name w:val="Footnote Text Char"/>
    <w:basedOn w:val="12"/>
    <w:link w:val="9"/>
    <w:semiHidden/>
    <w:qFormat/>
    <w:uiPriority w:val="99"/>
    <w:rPr>
      <w:rFonts w:ascii="Calibri" w:hAnsi="Calibri" w:cs="Calibri"/>
      <w:sz w:val="18"/>
      <w:szCs w:val="18"/>
    </w:rPr>
  </w:style>
  <w:style w:type="character" w:customStyle="1" w:styleId="14">
    <w:name w:val="Body Text Indent Char"/>
    <w:basedOn w:val="12"/>
    <w:link w:val="4"/>
    <w:semiHidden/>
    <w:qFormat/>
    <w:uiPriority w:val="99"/>
    <w:rPr>
      <w:rFonts w:ascii="Calibri" w:hAnsi="Calibri" w:cs="Calibri"/>
      <w:szCs w:val="21"/>
    </w:rPr>
  </w:style>
  <w:style w:type="character" w:customStyle="1" w:styleId="15">
    <w:name w:val="Body Text First Indent 2 Char"/>
    <w:basedOn w:val="14"/>
    <w:link w:val="5"/>
    <w:semiHidden/>
    <w:qFormat/>
    <w:uiPriority w:val="99"/>
  </w:style>
  <w:style w:type="character" w:customStyle="1" w:styleId="16">
    <w:name w:val="Balloon Text Char"/>
    <w:basedOn w:val="12"/>
    <w:link w:val="6"/>
    <w:semiHidden/>
    <w:qFormat/>
    <w:locked/>
    <w:uiPriority w:val="99"/>
    <w:rPr>
      <w:sz w:val="18"/>
      <w:szCs w:val="18"/>
    </w:rPr>
  </w:style>
  <w:style w:type="character" w:customStyle="1" w:styleId="17">
    <w:name w:val="Footer Char"/>
    <w:basedOn w:val="12"/>
    <w:link w:val="7"/>
    <w:qFormat/>
    <w:locked/>
    <w:uiPriority w:val="99"/>
    <w:rPr>
      <w:sz w:val="18"/>
      <w:szCs w:val="18"/>
    </w:rPr>
  </w:style>
  <w:style w:type="character" w:customStyle="1" w:styleId="18">
    <w:name w:val="Header Char"/>
    <w:basedOn w:val="12"/>
    <w:link w:val="8"/>
    <w:qFormat/>
    <w:locked/>
    <w:uiPriority w:val="99"/>
    <w:rPr>
      <w:sz w:val="18"/>
      <w:szCs w:val="18"/>
    </w:rPr>
  </w:style>
  <w:style w:type="paragraph" w:customStyle="1" w:styleId="19">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0">
    <w:name w:val="List Paragraph"/>
    <w:basedOn w:val="1"/>
    <w:qFormat/>
    <w:uiPriority w:val="99"/>
    <w:pPr>
      <w:ind w:firstLine="420" w:firstLineChars="200"/>
    </w:pPr>
  </w:style>
  <w:style w:type="character" w:customStyle="1" w:styleId="21">
    <w:name w:val="font01"/>
    <w:basedOn w:val="12"/>
    <w:qFormat/>
    <w:uiPriority w:val="99"/>
    <w:rPr>
      <w:rFonts w:ascii="宋体" w:hAnsi="宋体" w:eastAsia="宋体" w:cs="宋体"/>
      <w:color w:val="000000"/>
      <w:sz w:val="22"/>
      <w:szCs w:val="22"/>
      <w:u w:val="none"/>
    </w:rPr>
  </w:style>
  <w:style w:type="character" w:customStyle="1" w:styleId="22">
    <w:name w:val="font21"/>
    <w:basedOn w:val="12"/>
    <w:qFormat/>
    <w:uiPriority w:val="99"/>
    <w:rPr>
      <w:rFonts w:ascii="宋体" w:hAnsi="宋体" w:eastAsia="宋体" w:cs="宋体"/>
      <w:color w:val="000000"/>
      <w:sz w:val="24"/>
      <w:szCs w:val="24"/>
      <w:u w:val="none"/>
    </w:rPr>
  </w:style>
  <w:style w:type="character" w:customStyle="1" w:styleId="23">
    <w:name w:val="font11"/>
    <w:basedOn w:val="12"/>
    <w:qFormat/>
    <w:uiPriority w:val="99"/>
    <w:rPr>
      <w:rFonts w:ascii="宋体" w:hAnsi="宋体" w:eastAsia="宋体" w:cs="宋体"/>
      <w:color w:val="000000"/>
      <w:sz w:val="24"/>
      <w:szCs w:val="24"/>
      <w:u w:val="none"/>
    </w:rPr>
  </w:style>
  <w:style w:type="paragraph" w:styleId="24">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28</Pages>
  <Words>4159</Words>
  <Characters>5241</Characters>
  <Lines>0</Lines>
  <Paragraphs>0</Paragraphs>
  <TotalTime>9</TotalTime>
  <ScaleCrop>false</ScaleCrop>
  <LinksUpToDate>false</LinksUpToDate>
  <CharactersWithSpaces>6119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熊璞（大时代，大未来）</cp:lastModifiedBy>
  <cp:lastPrinted>2024-08-08T18:20:00Z</cp:lastPrinted>
  <dcterms:modified xsi:type="dcterms:W3CDTF">2025-09-24T02:05:05Z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E8840D2C7F64BEC8D481C268EBFADC63_42</vt:lpwstr>
  </property>
  <property fmtid="{D5CDD505-2E9C-101B-9397-08002B2CF9AE}" pid="4" name="KSOTemplateDocerSaveRecord">
    <vt:lpwstr>eyJoZGlkIjoiYjcxYWI0YzBmZTEwYTZiNGM5OWVjNzY2MWJjM2RlOGUiLCJ1c2VySWQiOiIyNTAxNTE3NjQifQ==</vt:lpwstr>
  </property>
</Properties>
</file>