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0A182">
      <w:pPr>
        <w:pStyle w:val="15"/>
        <w:jc w:val="center"/>
        <w:rPr>
          <w:rFonts w:hint="eastAsia" w:eastAsia="黑体"/>
          <w:sz w:val="56"/>
          <w:szCs w:val="56"/>
          <w:lang w:val="en-US" w:eastAsia="zh-CN"/>
        </w:rPr>
      </w:pPr>
      <w:r>
        <w:rPr>
          <w:rFonts w:hint="eastAsia"/>
          <w:sz w:val="56"/>
          <w:szCs w:val="56"/>
          <w:lang w:val="en-US" w:eastAsia="zh-CN"/>
        </w:rPr>
        <w:t xml:space="preserve"> </w:t>
      </w:r>
    </w:p>
    <w:p w14:paraId="482EAFC1">
      <w:pPr>
        <w:pStyle w:val="15"/>
        <w:jc w:val="center"/>
        <w:rPr>
          <w:sz w:val="56"/>
          <w:szCs w:val="56"/>
        </w:rPr>
      </w:pPr>
    </w:p>
    <w:p w14:paraId="2E188C93">
      <w:pPr>
        <w:pStyle w:val="15"/>
        <w:jc w:val="center"/>
        <w:rPr>
          <w:sz w:val="84"/>
          <w:szCs w:val="84"/>
        </w:rPr>
      </w:pPr>
    </w:p>
    <w:p w14:paraId="690E66CC">
      <w:pPr>
        <w:pStyle w:val="15"/>
        <w:jc w:val="center"/>
        <w:rPr>
          <w:sz w:val="84"/>
          <w:szCs w:val="84"/>
        </w:rPr>
      </w:pPr>
    </w:p>
    <w:p w14:paraId="09F09E86">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32AE275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湘潭县城市管理和综合执法局</w:t>
      </w:r>
      <w:r>
        <w:rPr>
          <w:rFonts w:hint="eastAsia" w:ascii="方正小标宋_GBK" w:hAnsi="方正小标宋_GBK" w:eastAsia="方正小标宋_GBK" w:cs="方正小标宋_GBK"/>
          <w:sz w:val="84"/>
          <w:szCs w:val="84"/>
        </w:rPr>
        <w:t>部门决算</w:t>
      </w:r>
    </w:p>
    <w:p w14:paraId="52BCAABC">
      <w:pPr>
        <w:pStyle w:val="15"/>
        <w:jc w:val="center"/>
        <w:rPr>
          <w:rFonts w:hint="eastAsia" w:ascii="方正小标宋_GBK" w:hAnsi="方正小标宋_GBK" w:eastAsia="方正小标宋_GBK" w:cs="方正小标宋_GBK"/>
          <w:sz w:val="56"/>
          <w:szCs w:val="56"/>
        </w:rPr>
      </w:pPr>
    </w:p>
    <w:p w14:paraId="37457FF9">
      <w:pPr>
        <w:pStyle w:val="15"/>
        <w:jc w:val="center"/>
        <w:rPr>
          <w:sz w:val="56"/>
          <w:szCs w:val="56"/>
        </w:rPr>
      </w:pPr>
      <w:bookmarkStart w:id="0" w:name="_GoBack"/>
      <w:bookmarkEnd w:id="0"/>
    </w:p>
    <w:p w14:paraId="7C3E7AD9">
      <w:pPr>
        <w:pStyle w:val="15"/>
        <w:jc w:val="center"/>
        <w:rPr>
          <w:sz w:val="56"/>
          <w:szCs w:val="56"/>
        </w:rPr>
      </w:pPr>
    </w:p>
    <w:p w14:paraId="65276C31">
      <w:pPr>
        <w:pStyle w:val="15"/>
        <w:jc w:val="center"/>
        <w:rPr>
          <w:sz w:val="56"/>
          <w:szCs w:val="56"/>
        </w:rPr>
      </w:pPr>
    </w:p>
    <w:p w14:paraId="25D1FBF0">
      <w:pPr>
        <w:pStyle w:val="15"/>
        <w:jc w:val="center"/>
        <w:rPr>
          <w:sz w:val="32"/>
          <w:szCs w:val="32"/>
        </w:rPr>
      </w:pPr>
    </w:p>
    <w:p w14:paraId="72EC090E">
      <w:pPr>
        <w:pStyle w:val="15"/>
        <w:jc w:val="center"/>
        <w:rPr>
          <w:sz w:val="32"/>
          <w:szCs w:val="32"/>
        </w:rPr>
      </w:pPr>
    </w:p>
    <w:p w14:paraId="3AEC4546">
      <w:pPr>
        <w:pStyle w:val="15"/>
        <w:keepNext w:val="0"/>
        <w:keepLines w:val="0"/>
        <w:pageBreakBefore w:val="0"/>
        <w:widowControl w:val="0"/>
        <w:kinsoku/>
        <w:wordWrap/>
        <w:overflowPunct/>
        <w:topLinePunct w:val="0"/>
        <w:bidi w:val="0"/>
        <w:snapToGrid/>
        <w:spacing w:line="480" w:lineRule="exact"/>
        <w:jc w:val="center"/>
        <w:textAlignment w:val="auto"/>
        <w:rPr>
          <w:rFonts w:hint="eastAsia"/>
          <w:b/>
          <w:sz w:val="36"/>
          <w:szCs w:val="28"/>
        </w:rPr>
      </w:pPr>
      <w:r>
        <w:rPr>
          <w:rFonts w:hint="eastAsia"/>
          <w:b/>
          <w:sz w:val="36"/>
          <w:szCs w:val="28"/>
        </w:rPr>
        <w:t>目</w:t>
      </w:r>
      <w:r>
        <w:rPr>
          <w:rFonts w:hint="eastAsia"/>
          <w:b/>
          <w:sz w:val="36"/>
          <w:szCs w:val="28"/>
          <w:lang w:val="en-US" w:eastAsia="zh-CN"/>
        </w:rPr>
        <w:t xml:space="preserve">  </w:t>
      </w:r>
      <w:r>
        <w:rPr>
          <w:rFonts w:hint="eastAsia"/>
          <w:b/>
          <w:sz w:val="36"/>
          <w:szCs w:val="28"/>
        </w:rPr>
        <w:t>录</w:t>
      </w:r>
    </w:p>
    <w:p w14:paraId="4027F827">
      <w:pPr>
        <w:pStyle w:val="15"/>
        <w:keepNext w:val="0"/>
        <w:keepLines w:val="0"/>
        <w:pageBreakBefore w:val="0"/>
        <w:widowControl w:val="0"/>
        <w:kinsoku/>
        <w:wordWrap/>
        <w:overflowPunct/>
        <w:topLinePunct w:val="0"/>
        <w:autoSpaceDE w:val="0"/>
        <w:autoSpaceDN w:val="0"/>
        <w:bidi w:val="0"/>
        <w:adjustRightInd w:val="0"/>
        <w:snapToGrid/>
        <w:spacing w:line="240" w:lineRule="exact"/>
        <w:jc w:val="center"/>
        <w:textAlignment w:val="auto"/>
        <w:rPr>
          <w:rFonts w:hint="eastAsia"/>
          <w:b/>
          <w:sz w:val="36"/>
          <w:szCs w:val="28"/>
        </w:rPr>
      </w:pPr>
    </w:p>
    <w:p w14:paraId="3249F5D3">
      <w:pPr>
        <w:pStyle w:val="15"/>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湘潭县城市管理和综合执法局</w:t>
      </w:r>
      <w:r>
        <w:rPr>
          <w:rFonts w:hint="eastAsia" w:ascii="黑体" w:hAnsi="黑体" w:eastAsia="黑体" w:cs="黑体"/>
          <w:b w:val="0"/>
          <w:bCs/>
          <w:sz w:val="28"/>
          <w:szCs w:val="28"/>
        </w:rPr>
        <w:t>概况</w:t>
      </w:r>
    </w:p>
    <w:p w14:paraId="5A6927D6">
      <w:pPr>
        <w:pStyle w:val="15"/>
        <w:keepNext w:val="0"/>
        <w:keepLines w:val="0"/>
        <w:pageBreakBefore w:val="0"/>
        <w:widowControl w:val="0"/>
        <w:kinsoku/>
        <w:wordWrap/>
        <w:overflowPunct/>
        <w:topLinePunct w:val="0"/>
        <w:bidi w:val="0"/>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58ED30C">
      <w:pPr>
        <w:pStyle w:val="15"/>
        <w:keepNext w:val="0"/>
        <w:keepLines w:val="0"/>
        <w:pageBreakBefore w:val="0"/>
        <w:widowControl w:val="0"/>
        <w:kinsoku/>
        <w:wordWrap/>
        <w:overflowPunct/>
        <w:topLinePunct w:val="0"/>
        <w:bidi w:val="0"/>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2B05896E">
      <w:pPr>
        <w:pStyle w:val="15"/>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13716223">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0E9A3547">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135EC43">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F635512">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34344B1">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BD2E0AF">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CC623E5">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5E21050">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7306A6F0">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FA1FE50">
      <w:pPr>
        <w:pStyle w:val="15"/>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2AF33EF">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79D8CBA">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9C0A94B">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696CFAB">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C171DE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6AF1F535">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05FC9F69">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5DE551C7">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2181C11">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九</w:t>
      </w:r>
      <w:r>
        <w:rPr>
          <w:rFonts w:hint="eastAsia" w:ascii="仿宋_GB2312" w:hAnsi="仿宋_GB2312" w:eastAsia="仿宋_GB2312" w:cs="仿宋_GB2312"/>
          <w:color w:val="000000"/>
          <w:kern w:val="0"/>
          <w:sz w:val="28"/>
          <w:szCs w:val="28"/>
        </w:rPr>
        <w:t>、国有资本经营预算财政拨款支出决算情况</w:t>
      </w:r>
    </w:p>
    <w:p w14:paraId="2D0DD755">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十</w:t>
      </w:r>
      <w:r>
        <w:rPr>
          <w:rFonts w:hint="eastAsia" w:ascii="仿宋_GB2312" w:hAnsi="仿宋_GB2312" w:eastAsia="仿宋_GB2312" w:cs="仿宋_GB2312"/>
          <w:color w:val="000000"/>
          <w:kern w:val="0"/>
          <w:sz w:val="28"/>
          <w:szCs w:val="28"/>
        </w:rPr>
        <w:t>、关于机关运行经费支出说明</w:t>
      </w:r>
    </w:p>
    <w:p w14:paraId="41339602">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一</w:t>
      </w:r>
      <w:r>
        <w:rPr>
          <w:rFonts w:hint="eastAsia" w:ascii="仿宋_GB2312" w:hAnsi="仿宋_GB2312" w:eastAsia="仿宋_GB2312" w:cs="仿宋_GB2312"/>
          <w:color w:val="000000"/>
          <w:kern w:val="0"/>
          <w:sz w:val="28"/>
          <w:szCs w:val="28"/>
        </w:rPr>
        <w:t>、一般性支出情况说明</w:t>
      </w:r>
    </w:p>
    <w:p w14:paraId="4DF9203D">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二</w:t>
      </w:r>
      <w:r>
        <w:rPr>
          <w:rFonts w:hint="eastAsia" w:ascii="仿宋_GB2312" w:hAnsi="仿宋_GB2312" w:eastAsia="仿宋_GB2312" w:cs="仿宋_GB2312"/>
          <w:color w:val="000000"/>
          <w:kern w:val="0"/>
          <w:sz w:val="28"/>
          <w:szCs w:val="28"/>
        </w:rPr>
        <w:t>、关于政府采购支出说明</w:t>
      </w:r>
    </w:p>
    <w:p w14:paraId="2D92E381">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、关于国有资产占用情况说明</w:t>
      </w:r>
    </w:p>
    <w:p w14:paraId="259FC11C">
      <w:pPr>
        <w:pStyle w:val="15"/>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CD290BD">
      <w:pPr>
        <w:pStyle w:val="15"/>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4CA03D7C">
      <w:pPr>
        <w:pStyle w:val="15"/>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E8EAC0E">
      <w:pPr>
        <w:pStyle w:val="15"/>
        <w:spacing w:line="500" w:lineRule="exact"/>
        <w:rPr>
          <w:rFonts w:hint="eastAsia" w:ascii="黑体" w:hAnsi="黑体" w:eastAsia="黑体" w:cs="黑体"/>
          <w:b w:val="0"/>
          <w:bCs/>
          <w:sz w:val="28"/>
          <w:szCs w:val="28"/>
        </w:rPr>
      </w:pPr>
    </w:p>
    <w:p w14:paraId="342277FA">
      <w:pPr>
        <w:rPr>
          <w:rFonts w:hint="eastAsia" w:ascii="方正小标宋_GBK" w:hAnsi="方正小标宋_GBK" w:eastAsia="方正小标宋_GBK" w:cs="方正小标宋_GBK"/>
          <w:sz w:val="72"/>
          <w:szCs w:val="72"/>
        </w:rPr>
      </w:pPr>
    </w:p>
    <w:p w14:paraId="5AD40BC1">
      <w:pPr>
        <w:pStyle w:val="15"/>
        <w:jc w:val="center"/>
        <w:rPr>
          <w:rFonts w:hint="eastAsia" w:ascii="方正小标宋_GBK" w:hAnsi="方正小标宋_GBK" w:eastAsia="方正小标宋_GBK" w:cs="方正小标宋_GBK"/>
          <w:sz w:val="84"/>
          <w:szCs w:val="84"/>
        </w:rPr>
      </w:pPr>
    </w:p>
    <w:p w14:paraId="589E273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56C0011">
      <w:pPr>
        <w:pStyle w:val="15"/>
        <w:jc w:val="center"/>
        <w:rPr>
          <w:rFonts w:hint="eastAsia" w:ascii="方正小标宋_GBK" w:hAnsi="方正小标宋_GBK" w:eastAsia="方正小标宋_GBK" w:cs="方正小标宋_GBK"/>
          <w:sz w:val="84"/>
          <w:szCs w:val="84"/>
        </w:rPr>
      </w:pPr>
    </w:p>
    <w:p w14:paraId="4404FD52">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湘潭县城市管理和综合执法局概况</w:t>
      </w:r>
    </w:p>
    <w:p w14:paraId="13047D67">
      <w:pPr>
        <w:jc w:val="center"/>
        <w:rPr>
          <w:rFonts w:hint="eastAsia" w:ascii="方正小标宋_GBK" w:hAnsi="方正小标宋_GBK" w:eastAsia="方正小标宋_GBK" w:cs="方正小标宋_GBK"/>
          <w:sz w:val="72"/>
          <w:szCs w:val="72"/>
        </w:rPr>
      </w:pPr>
    </w:p>
    <w:p w14:paraId="2ADAD231">
      <w:pPr>
        <w:jc w:val="center"/>
        <w:rPr>
          <w:rFonts w:hint="eastAsia" w:ascii="方正小标宋_GBK" w:hAnsi="方正小标宋_GBK" w:eastAsia="方正小标宋_GBK" w:cs="方正小标宋_GBK"/>
          <w:sz w:val="72"/>
          <w:szCs w:val="72"/>
        </w:rPr>
      </w:pPr>
    </w:p>
    <w:p w14:paraId="33CFD0A7">
      <w:pPr>
        <w:jc w:val="center"/>
        <w:rPr>
          <w:sz w:val="72"/>
          <w:szCs w:val="72"/>
        </w:rPr>
      </w:pPr>
    </w:p>
    <w:p w14:paraId="6D4EFE48">
      <w:pPr>
        <w:jc w:val="center"/>
        <w:rPr>
          <w:sz w:val="72"/>
          <w:szCs w:val="72"/>
        </w:rPr>
      </w:pPr>
    </w:p>
    <w:p w14:paraId="7324117B">
      <w:pPr>
        <w:pStyle w:val="16"/>
        <w:numPr>
          <w:ilvl w:val="0"/>
          <w:numId w:val="0"/>
        </w:num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部门职责</w:t>
      </w:r>
    </w:p>
    <w:p w14:paraId="0567A2AE">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（一）贯彻执行国家、省、市、县有关城市管理和综合执法工作的法律法规和方针政策，负责制订全县城市管理和综合执法中长期发展规划和各项专项规划、规章制度等，并组织实施和监督管理。</w:t>
      </w:r>
    </w:p>
    <w:p w14:paraId="208E7BD1">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二）负责县城区城市照明、供气、城市道路、桥梁、公共厕所和公共停车场等市政公用设施及其附属设施的维护与管理。负责对县城区管理权限内的单位和个人占用或挖掘道路、桥涵、城市照明及城市燃气等设施的审批和监督管理工作。参与城市管理方面政府投资和非经营性建设项目的可行性研究工作。</w:t>
      </w:r>
    </w:p>
    <w:p w14:paraId="35D120CC">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（三）负责对授权范围内有关市政公用事业的特许经营权的监督管理工作。</w:t>
      </w:r>
    </w:p>
    <w:p w14:paraId="61D915E0">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四）负责相对集中行使省人民政府批复确定的行政处罚权和法律法规授权的综合执法工作。负责全县城市管理和综合执法工作的指导、协调、监督，负责制定城市管理和综合执法检查考评办法。负责城市管理和综合执法人员培训。负责县城区城市管理综合执法的指挥调度，并组织实施联合执法行动，协调有关部门开展联合执法工作。</w:t>
      </w:r>
    </w:p>
    <w:p w14:paraId="1943C189">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（五）负责县城区市容市貌的监督管理工作，并组织开展市容市貌综合整治行动。负责县城区大型户外广告设施设置的审批和监管工作。</w:t>
      </w:r>
    </w:p>
    <w:p w14:paraId="1DD840CB">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六）负责县城区环境卫生的监督管理工作。负责县城区生活垃圾经营性清扫、收集、运输、处理服务审批和城市建筑垃圾处置核准及相关监督管理工作。组织开展县城建成区环境卫生综合整治行动。指导监督县城区生活垃圾分类工作。负责县城区环卫设施的监督管理工作。</w:t>
      </w:r>
    </w:p>
    <w:p w14:paraId="191400E5">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七）负责指导、监督县城区园林绿化工作。负责县城区砍伐及移植树木、占用绿地的审批和监督管理工作。负责县城区城市绿线绿章的监督管理和异地绿化的组织实施工作。负责县城区公园的管理工作。负责县城区古树名木、城市雕塑的管理。负责县城区义务植树的组织实施。指导推进县城区社会绿化工作。</w:t>
      </w:r>
    </w:p>
    <w:p w14:paraId="23602DE3">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（八）负责县城区公共停车设施、公共自行车和共享单车（含共享电动车）的监督管理工作。</w:t>
      </w:r>
    </w:p>
    <w:p w14:paraId="794C15AA">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（九）负责县城区城市广场、人行道等管理范围内公共区域静态交通秩序的指导和监督工作。</w:t>
      </w:r>
    </w:p>
    <w:p w14:paraId="4E3C335B">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（十）负责“数字城管”的管理工作。</w:t>
      </w:r>
    </w:p>
    <w:p w14:paraId="2EC082F6">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（十一）负责拟订县城区农贸市场发展规划、管理办法。负责县城区农贸市场管理及维护工作，指导乡镇农贸市场管理和维护工作。</w:t>
      </w:r>
    </w:p>
    <w:p w14:paraId="076896C6">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（十二）完成县委、县政府交办的其他任务。</w:t>
      </w:r>
    </w:p>
    <w:p w14:paraId="0F251C4A">
      <w:pPr>
        <w:widowControl/>
        <w:spacing w:line="600" w:lineRule="exact"/>
        <w:ind w:firstLine="640" w:firstLineChars="200"/>
        <w:rPr>
          <w:rFonts w:hint="eastAsia"/>
        </w:rPr>
      </w:pPr>
      <w:r>
        <w:rPr>
          <w:rFonts w:hint="eastAsia" w:ascii="黑体" w:hAnsi="黑体" w:eastAsia="黑体" w:cs="黑体"/>
          <w:b w:val="0"/>
          <w:bCs/>
          <w:kern w:val="0"/>
          <w:sz w:val="32"/>
          <w:szCs w:val="32"/>
        </w:rPr>
        <w:t>二、机构设置及决算单位构成</w:t>
      </w:r>
    </w:p>
    <w:p w14:paraId="5C90B71A">
      <w:pPr>
        <w:widowControl/>
        <w:spacing w:line="315" w:lineRule="atLeast"/>
        <w:ind w:firstLine="640" w:firstLineChars="200"/>
        <w:rPr>
          <w:rFonts w:hint="eastAsia" w:ascii="Times New Roman" w:hAnsi="Times New Roman" w:eastAsia="仿宋_GB2312" w:cs="仿宋_GB2312"/>
          <w:bCs/>
          <w:color w:val="auto"/>
          <w:kern w:val="0"/>
          <w:sz w:val="32"/>
          <w:szCs w:val="32"/>
        </w:rPr>
      </w:pPr>
      <w:r>
        <w:rPr>
          <w:rFonts w:hint="eastAsia" w:ascii="Times New Roman" w:hAnsi="Times New Roman" w:eastAsia="仿宋_GB2312" w:cs="仿宋_GB2312"/>
          <w:b w:val="0"/>
          <w:bCs/>
          <w:kern w:val="0"/>
          <w:sz w:val="32"/>
          <w:szCs w:val="32"/>
        </w:rPr>
        <w:t>（一）</w:t>
      </w:r>
      <w:r>
        <w:rPr>
          <w:rFonts w:hint="eastAsia" w:ascii="Times New Roman" w:hAnsi="Times New Roman" w:eastAsia="仿宋_GB2312" w:cs="仿宋_GB2312"/>
          <w:b w:val="0"/>
          <w:bCs/>
          <w:color w:val="auto"/>
          <w:kern w:val="0"/>
          <w:sz w:val="32"/>
          <w:szCs w:val="32"/>
        </w:rPr>
        <w:t>内设机构设置。</w:t>
      </w:r>
      <w:r>
        <w:rPr>
          <w:rFonts w:hint="eastAsia" w:ascii="Times New Roman" w:hAnsi="Times New Roman" w:eastAsia="仿宋_GB2312" w:cs="仿宋_GB2312"/>
          <w:bCs/>
          <w:color w:val="auto"/>
          <w:kern w:val="0"/>
          <w:sz w:val="32"/>
          <w:szCs w:val="32"/>
        </w:rPr>
        <w:t>湘潭县城市管理和综合执法局内设机构包括：办公室、机关党委</w:t>
      </w:r>
      <w:r>
        <w:rPr>
          <w:rFonts w:hint="eastAsia" w:ascii="Times New Roman" w:hAnsi="Times New Roman" w:eastAsia="仿宋_GB2312" w:cs="仿宋_GB2312"/>
          <w:bCs/>
          <w:color w:val="auto"/>
          <w:kern w:val="0"/>
          <w:sz w:val="32"/>
          <w:szCs w:val="32"/>
          <w:lang w:eastAsia="zh-CN"/>
        </w:rPr>
        <w:t>、</w:t>
      </w:r>
      <w:r>
        <w:rPr>
          <w:rFonts w:hint="eastAsia" w:ascii="Times New Roman" w:hAnsi="Times New Roman" w:eastAsia="仿宋_GB2312" w:cs="仿宋_GB2312"/>
          <w:bCs/>
          <w:color w:val="auto"/>
          <w:kern w:val="0"/>
          <w:sz w:val="32"/>
          <w:szCs w:val="32"/>
        </w:rPr>
        <w:t>督查</w:t>
      </w:r>
      <w:r>
        <w:rPr>
          <w:rFonts w:hint="eastAsia" w:ascii="Times New Roman" w:hAnsi="Times New Roman" w:eastAsia="仿宋_GB2312" w:cs="仿宋_GB2312"/>
          <w:bCs/>
          <w:color w:val="auto"/>
          <w:kern w:val="0"/>
          <w:sz w:val="32"/>
          <w:szCs w:val="32"/>
          <w:lang w:eastAsia="zh-CN"/>
        </w:rPr>
        <w:t>考核</w:t>
      </w:r>
      <w:r>
        <w:rPr>
          <w:rFonts w:hint="eastAsia" w:ascii="Times New Roman" w:hAnsi="Times New Roman" w:eastAsia="仿宋_GB2312" w:cs="仿宋_GB2312"/>
          <w:bCs/>
          <w:color w:val="auto"/>
          <w:kern w:val="0"/>
          <w:sz w:val="32"/>
          <w:szCs w:val="32"/>
        </w:rPr>
        <w:t>室</w:t>
      </w:r>
      <w:r>
        <w:rPr>
          <w:rFonts w:hint="eastAsia" w:ascii="Times New Roman" w:hAnsi="Times New Roman" w:eastAsia="仿宋_GB2312" w:cs="仿宋_GB2312"/>
          <w:bCs/>
          <w:color w:val="auto"/>
          <w:kern w:val="0"/>
          <w:sz w:val="32"/>
          <w:szCs w:val="32"/>
          <w:lang w:eastAsia="zh-CN"/>
        </w:rPr>
        <w:t>、</w:t>
      </w:r>
      <w:r>
        <w:rPr>
          <w:rFonts w:hint="eastAsia" w:ascii="Times New Roman" w:hAnsi="Times New Roman" w:eastAsia="仿宋_GB2312" w:cs="仿宋_GB2312"/>
          <w:bCs/>
          <w:color w:val="auto"/>
          <w:kern w:val="0"/>
          <w:sz w:val="32"/>
          <w:szCs w:val="32"/>
        </w:rPr>
        <w:t>计划财务股、</w:t>
      </w:r>
      <w:r>
        <w:rPr>
          <w:rFonts w:hint="eastAsia" w:ascii="Times New Roman" w:hAnsi="Times New Roman" w:eastAsia="仿宋_GB2312" w:cs="仿宋_GB2312"/>
          <w:bCs/>
          <w:color w:val="auto"/>
          <w:kern w:val="0"/>
          <w:sz w:val="32"/>
          <w:szCs w:val="32"/>
          <w:lang w:eastAsia="zh-CN"/>
        </w:rPr>
        <w:t>城市公用事业管理股、</w:t>
      </w:r>
      <w:r>
        <w:rPr>
          <w:rFonts w:hint="eastAsia" w:ascii="Times New Roman" w:hAnsi="Times New Roman" w:eastAsia="仿宋_GB2312" w:cs="仿宋_GB2312"/>
          <w:bCs/>
          <w:color w:val="auto"/>
          <w:kern w:val="0"/>
          <w:sz w:val="32"/>
          <w:szCs w:val="32"/>
        </w:rPr>
        <w:t>审批服务股、政策法规股</w:t>
      </w:r>
      <w:r>
        <w:rPr>
          <w:rFonts w:hint="eastAsia" w:ascii="Times New Roman" w:hAnsi="Times New Roman" w:eastAsia="仿宋_GB2312" w:cs="仿宋_GB2312"/>
          <w:bCs/>
          <w:color w:val="auto"/>
          <w:kern w:val="0"/>
          <w:sz w:val="32"/>
          <w:szCs w:val="32"/>
          <w:lang w:eastAsia="zh-CN"/>
        </w:rPr>
        <w:t>；下</w:t>
      </w:r>
      <w:r>
        <w:rPr>
          <w:rFonts w:hint="eastAsia" w:ascii="Times New Roman" w:hAnsi="Times New Roman" w:eastAsia="仿宋_GB2312" w:cs="仿宋_GB2312"/>
          <w:bCs/>
          <w:color w:val="auto"/>
          <w:kern w:val="0"/>
          <w:sz w:val="32"/>
          <w:szCs w:val="32"/>
        </w:rPr>
        <w:t>设</w:t>
      </w:r>
      <w:r>
        <w:rPr>
          <w:rFonts w:hint="eastAsia" w:ascii="Times New Roman" w:hAnsi="Times New Roman" w:eastAsia="仿宋_GB2312" w:cs="仿宋_GB2312"/>
          <w:bCs/>
          <w:color w:val="auto"/>
          <w:kern w:val="0"/>
          <w:sz w:val="32"/>
          <w:szCs w:val="32"/>
          <w:lang w:val="en-US" w:eastAsia="zh-CN"/>
        </w:rPr>
        <w:t>9</w:t>
      </w:r>
      <w:r>
        <w:rPr>
          <w:rFonts w:hint="eastAsia" w:ascii="Times New Roman" w:hAnsi="Times New Roman" w:eastAsia="仿宋_GB2312" w:cs="仿宋_GB2312"/>
          <w:bCs/>
          <w:color w:val="auto"/>
          <w:kern w:val="0"/>
          <w:sz w:val="32"/>
          <w:szCs w:val="32"/>
        </w:rPr>
        <w:t>个二级机构，分别有湘潭县城市管理综合行政执法大队、湘潭县园林绿化服务中心</w:t>
      </w:r>
      <w:r>
        <w:rPr>
          <w:rFonts w:hint="eastAsia" w:ascii="Times New Roman" w:hAnsi="Times New Roman" w:eastAsia="仿宋_GB2312" w:cs="仿宋_GB2312"/>
          <w:bCs/>
          <w:color w:val="auto"/>
          <w:kern w:val="0"/>
          <w:sz w:val="32"/>
          <w:szCs w:val="32"/>
          <w:lang w:eastAsia="zh-CN"/>
        </w:rPr>
        <w:t>、</w:t>
      </w:r>
      <w:r>
        <w:rPr>
          <w:rFonts w:hint="eastAsia" w:ascii="Times New Roman" w:hAnsi="Times New Roman" w:eastAsia="仿宋_GB2312" w:cs="仿宋_GB2312"/>
          <w:bCs/>
          <w:color w:val="auto"/>
          <w:kern w:val="0"/>
          <w:sz w:val="32"/>
          <w:szCs w:val="32"/>
        </w:rPr>
        <w:t>湘潭县市政设施维护中心、湘潭县环境卫生服务中心、湘潭县城市照明设施维护站、湘潭县公园综合服务中心、湘潭县信息监督指挥中心</w:t>
      </w:r>
      <w:r>
        <w:rPr>
          <w:rFonts w:hint="eastAsia" w:ascii="Times New Roman" w:hAnsi="Times New Roman" w:eastAsia="仿宋_GB2312" w:cs="仿宋_GB2312"/>
          <w:bCs/>
          <w:color w:val="auto"/>
          <w:kern w:val="0"/>
          <w:sz w:val="32"/>
          <w:szCs w:val="32"/>
          <w:lang w:eastAsia="zh-CN"/>
        </w:rPr>
        <w:t>、湘潭县燃气事务服务中</w:t>
      </w:r>
      <w:r>
        <w:rPr>
          <w:rFonts w:hint="eastAsia" w:ascii="Times New Roman" w:hAnsi="Times New Roman" w:eastAsia="仿宋_GB2312" w:cs="仿宋_GB2312"/>
          <w:bCs/>
          <w:kern w:val="0"/>
          <w:sz w:val="32"/>
          <w:szCs w:val="32"/>
          <w:lang w:eastAsia="zh-CN"/>
        </w:rPr>
        <w:t>心、湘潭县城市桥梁维护服务中</w:t>
      </w:r>
      <w:r>
        <w:rPr>
          <w:rFonts w:hint="eastAsia" w:ascii="Times New Roman" w:hAnsi="Times New Roman" w:eastAsia="仿宋_GB2312" w:cs="仿宋_GB2312"/>
          <w:bCs/>
          <w:color w:val="auto"/>
          <w:kern w:val="0"/>
          <w:sz w:val="32"/>
          <w:szCs w:val="32"/>
          <w:lang w:eastAsia="zh-CN"/>
        </w:rPr>
        <w:t>心</w:t>
      </w:r>
      <w:r>
        <w:rPr>
          <w:rFonts w:hint="eastAsia" w:ascii="Times New Roman" w:hAnsi="Times New Roman" w:eastAsia="仿宋_GB2312" w:cs="仿宋_GB2312"/>
          <w:bCs/>
          <w:color w:val="auto"/>
          <w:kern w:val="0"/>
          <w:sz w:val="32"/>
          <w:szCs w:val="32"/>
        </w:rPr>
        <w:t>。行政编制16个，事业编制</w:t>
      </w:r>
      <w:r>
        <w:rPr>
          <w:rFonts w:hint="eastAsia" w:ascii="Times New Roman" w:hAnsi="Times New Roman" w:eastAsia="仿宋_GB2312" w:cs="仿宋_GB2312"/>
          <w:bCs/>
          <w:color w:val="auto"/>
          <w:kern w:val="0"/>
          <w:sz w:val="32"/>
          <w:szCs w:val="32"/>
          <w:lang w:val="en-US" w:eastAsia="zh-CN"/>
        </w:rPr>
        <w:t>147</w:t>
      </w:r>
      <w:r>
        <w:rPr>
          <w:rFonts w:hint="eastAsia" w:ascii="Times New Roman" w:hAnsi="Times New Roman" w:eastAsia="仿宋_GB2312" w:cs="仿宋_GB2312"/>
          <w:bCs/>
          <w:color w:val="auto"/>
          <w:kern w:val="0"/>
          <w:sz w:val="32"/>
          <w:szCs w:val="32"/>
        </w:rPr>
        <w:t>个。</w:t>
      </w:r>
      <w:r>
        <w:rPr>
          <w:rFonts w:hint="eastAsia" w:ascii="Times New Roman" w:hAnsi="Times New Roman" w:eastAsia="仿宋_GB2312" w:cs="仿宋_GB2312"/>
          <w:bCs/>
          <w:color w:val="auto"/>
          <w:kern w:val="0"/>
          <w:sz w:val="32"/>
          <w:szCs w:val="32"/>
          <w:lang w:val="en-US" w:eastAsia="zh-CN"/>
        </w:rPr>
        <w:t>2024年末</w:t>
      </w:r>
      <w:r>
        <w:rPr>
          <w:rFonts w:hint="eastAsia" w:ascii="Times New Roman" w:hAnsi="Times New Roman" w:eastAsia="仿宋_GB2312" w:cs="仿宋_GB2312"/>
          <w:bCs/>
          <w:color w:val="auto"/>
          <w:kern w:val="0"/>
          <w:sz w:val="32"/>
          <w:szCs w:val="32"/>
        </w:rPr>
        <w:t>在编在岗</w:t>
      </w:r>
      <w:r>
        <w:rPr>
          <w:rFonts w:hint="eastAsia" w:ascii="Times New Roman" w:hAnsi="Times New Roman" w:eastAsia="仿宋_GB2312" w:cs="仿宋_GB2312"/>
          <w:bCs/>
          <w:color w:val="auto"/>
          <w:kern w:val="0"/>
          <w:sz w:val="32"/>
          <w:szCs w:val="32"/>
          <w:lang w:val="en-US" w:eastAsia="zh-CN"/>
        </w:rPr>
        <w:t>142</w:t>
      </w:r>
      <w:r>
        <w:rPr>
          <w:rFonts w:hint="eastAsia" w:ascii="Times New Roman" w:hAnsi="Times New Roman" w:eastAsia="仿宋_GB2312" w:cs="仿宋_GB2312"/>
          <w:bCs/>
          <w:color w:val="auto"/>
          <w:kern w:val="0"/>
          <w:sz w:val="32"/>
          <w:szCs w:val="32"/>
        </w:rPr>
        <w:t>人，</w:t>
      </w:r>
      <w:r>
        <w:rPr>
          <w:rFonts w:hint="eastAsia" w:ascii="Times New Roman" w:hAnsi="Times New Roman" w:eastAsia="仿宋_GB2312" w:cs="仿宋_GB2312"/>
          <w:bCs/>
          <w:color w:val="auto"/>
          <w:kern w:val="0"/>
          <w:sz w:val="32"/>
          <w:szCs w:val="32"/>
          <w:lang w:eastAsia="zh-CN"/>
        </w:rPr>
        <w:t>人事代理</w:t>
      </w:r>
      <w:r>
        <w:rPr>
          <w:rFonts w:hint="eastAsia" w:ascii="Times New Roman" w:hAnsi="Times New Roman" w:eastAsia="仿宋_GB2312" w:cs="仿宋_GB2312"/>
          <w:bCs/>
          <w:color w:val="auto"/>
          <w:kern w:val="0"/>
          <w:sz w:val="32"/>
          <w:szCs w:val="32"/>
          <w:lang w:val="en-US" w:eastAsia="zh-CN"/>
        </w:rPr>
        <w:t>5人，原市场服务中心涉改5人，</w:t>
      </w:r>
      <w:r>
        <w:rPr>
          <w:rFonts w:hint="eastAsia" w:ascii="Times New Roman" w:hAnsi="Times New Roman" w:eastAsia="仿宋_GB2312" w:cs="仿宋_GB2312"/>
          <w:bCs/>
          <w:color w:val="auto"/>
          <w:kern w:val="0"/>
          <w:sz w:val="32"/>
          <w:szCs w:val="32"/>
        </w:rPr>
        <w:t>退休人员4</w:t>
      </w:r>
      <w:r>
        <w:rPr>
          <w:rFonts w:hint="eastAsia" w:ascii="Times New Roman" w:hAnsi="Times New Roman" w:eastAsia="仿宋_GB2312" w:cs="仿宋_GB2312"/>
          <w:bCs/>
          <w:color w:val="auto"/>
          <w:kern w:val="0"/>
          <w:sz w:val="32"/>
          <w:szCs w:val="32"/>
          <w:lang w:val="en-US" w:eastAsia="zh-CN"/>
        </w:rPr>
        <w:t>5</w:t>
      </w:r>
      <w:r>
        <w:rPr>
          <w:rFonts w:hint="eastAsia" w:ascii="Times New Roman" w:hAnsi="Times New Roman" w:eastAsia="仿宋_GB2312" w:cs="仿宋_GB2312"/>
          <w:bCs/>
          <w:color w:val="auto"/>
          <w:kern w:val="0"/>
          <w:sz w:val="32"/>
          <w:szCs w:val="32"/>
        </w:rPr>
        <w:t>人。</w:t>
      </w:r>
    </w:p>
    <w:p w14:paraId="5A593EE7">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本</w:t>
      </w:r>
      <w:r>
        <w:rPr>
          <w:rFonts w:hint="eastAsia" w:ascii="Times New Roman" w:hAnsi="Times New Roman" w:eastAsia="仿宋_GB2312" w:cs="仿宋_GB2312"/>
          <w:bCs/>
          <w:kern w:val="0"/>
          <w:sz w:val="32"/>
          <w:szCs w:val="32"/>
        </w:rPr>
        <w:t>单位202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年部门决算汇总公开单位构成包括：湘潭县城市管理和综合执法局本级，没有其他单位，因此本部门决算仅含本级决算。</w:t>
      </w:r>
    </w:p>
    <w:p w14:paraId="68685736">
      <w:pPr>
        <w:widowControl/>
        <w:spacing w:line="315" w:lineRule="atLeast"/>
        <w:ind w:firstLine="640" w:firstLineChars="200"/>
        <w:rPr>
          <w:rFonts w:hint="eastAsia" w:ascii="Times New Roman" w:hAnsi="Times New Roman" w:eastAsia="仿宋_GB2312" w:cs="仿宋_GB2312"/>
          <w:bCs/>
          <w:kern w:val="0"/>
          <w:sz w:val="32"/>
          <w:szCs w:val="32"/>
        </w:rPr>
      </w:pPr>
    </w:p>
    <w:p w14:paraId="3B2146E6">
      <w:pPr>
        <w:widowControl/>
        <w:spacing w:line="315" w:lineRule="atLeast"/>
        <w:ind w:firstLine="640" w:firstLineChars="200"/>
        <w:rPr>
          <w:rFonts w:hint="eastAsia" w:ascii="Times New Roman" w:hAnsi="Times New Roman" w:eastAsia="仿宋_GB2312" w:cs="仿宋_GB2312"/>
          <w:bCs/>
          <w:kern w:val="0"/>
          <w:sz w:val="32"/>
          <w:szCs w:val="32"/>
        </w:rPr>
      </w:pPr>
    </w:p>
    <w:p w14:paraId="75B9DFAF">
      <w:pPr>
        <w:widowControl/>
        <w:spacing w:line="315" w:lineRule="atLeast"/>
        <w:ind w:firstLine="640" w:firstLineChars="200"/>
        <w:rPr>
          <w:rFonts w:hint="eastAsia" w:ascii="Times New Roman" w:hAnsi="Times New Roman" w:eastAsia="仿宋_GB2312" w:cs="仿宋_GB2312"/>
          <w:bCs/>
          <w:kern w:val="0"/>
          <w:sz w:val="32"/>
          <w:szCs w:val="32"/>
        </w:rPr>
      </w:pPr>
    </w:p>
    <w:p w14:paraId="311FBE3C">
      <w:pPr>
        <w:widowControl/>
        <w:spacing w:line="315" w:lineRule="atLeast"/>
        <w:ind w:firstLine="640" w:firstLineChars="200"/>
        <w:rPr>
          <w:rFonts w:hint="eastAsia" w:ascii="Times New Roman" w:hAnsi="Times New Roman" w:eastAsia="仿宋_GB2312" w:cs="仿宋_GB2312"/>
          <w:bCs/>
          <w:kern w:val="0"/>
          <w:sz w:val="32"/>
          <w:szCs w:val="32"/>
        </w:rPr>
      </w:pPr>
    </w:p>
    <w:p w14:paraId="51B7BB9A">
      <w:pPr>
        <w:jc w:val="center"/>
        <w:rPr>
          <w:sz w:val="72"/>
          <w:szCs w:val="72"/>
        </w:rPr>
      </w:pPr>
    </w:p>
    <w:p w14:paraId="1BA73CCD">
      <w:pPr>
        <w:pStyle w:val="15"/>
        <w:jc w:val="center"/>
        <w:rPr>
          <w:rFonts w:hint="eastAsia" w:ascii="方正小标宋_GBK" w:hAnsi="方正小标宋_GBK" w:eastAsia="方正小标宋_GBK" w:cs="方正小标宋_GBK"/>
          <w:sz w:val="84"/>
          <w:szCs w:val="84"/>
        </w:rPr>
      </w:pPr>
    </w:p>
    <w:p w14:paraId="1AE91FD8">
      <w:pPr>
        <w:pStyle w:val="15"/>
        <w:jc w:val="center"/>
        <w:rPr>
          <w:rFonts w:hint="eastAsia" w:ascii="方正小标宋_GBK" w:hAnsi="方正小标宋_GBK" w:eastAsia="方正小标宋_GBK" w:cs="方正小标宋_GBK"/>
          <w:sz w:val="84"/>
          <w:szCs w:val="84"/>
        </w:rPr>
      </w:pPr>
    </w:p>
    <w:p w14:paraId="161014FC">
      <w:pPr>
        <w:pStyle w:val="15"/>
        <w:jc w:val="center"/>
        <w:rPr>
          <w:rFonts w:hint="eastAsia" w:ascii="方正小标宋_GBK" w:hAnsi="方正小标宋_GBK" w:eastAsia="方正小标宋_GBK" w:cs="方正小标宋_GBK"/>
          <w:sz w:val="84"/>
          <w:szCs w:val="84"/>
        </w:rPr>
      </w:pPr>
    </w:p>
    <w:p w14:paraId="5A183C9A">
      <w:pPr>
        <w:pStyle w:val="15"/>
        <w:jc w:val="center"/>
        <w:rPr>
          <w:rFonts w:hint="eastAsia" w:ascii="方正小标宋_GBK" w:hAnsi="方正小标宋_GBK" w:eastAsia="方正小标宋_GBK" w:cs="方正小标宋_GBK"/>
          <w:sz w:val="84"/>
          <w:szCs w:val="84"/>
        </w:rPr>
      </w:pPr>
    </w:p>
    <w:p w14:paraId="3BE55768">
      <w:pPr>
        <w:pStyle w:val="15"/>
        <w:jc w:val="center"/>
        <w:rPr>
          <w:rFonts w:hint="eastAsia" w:ascii="方正小标宋_GBK" w:hAnsi="方正小标宋_GBK" w:eastAsia="方正小标宋_GBK" w:cs="方正小标宋_GBK"/>
          <w:sz w:val="84"/>
          <w:szCs w:val="84"/>
        </w:rPr>
      </w:pPr>
    </w:p>
    <w:p w14:paraId="65F7DE0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261CE19">
      <w:pPr>
        <w:pStyle w:val="15"/>
        <w:jc w:val="center"/>
        <w:rPr>
          <w:rFonts w:hint="eastAsia" w:ascii="方正小标宋_GBK" w:hAnsi="方正小标宋_GBK" w:eastAsia="方正小标宋_GBK" w:cs="方正小标宋_GBK"/>
          <w:sz w:val="84"/>
          <w:szCs w:val="84"/>
        </w:rPr>
      </w:pPr>
    </w:p>
    <w:p w14:paraId="3B892D57">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99DC6BC">
      <w:pPr>
        <w:jc w:val="center"/>
        <w:rPr>
          <w:sz w:val="72"/>
          <w:szCs w:val="72"/>
        </w:rPr>
      </w:pPr>
    </w:p>
    <w:p w14:paraId="435CE0FE">
      <w:pPr>
        <w:jc w:val="center"/>
        <w:rPr>
          <w:sz w:val="72"/>
          <w:szCs w:val="72"/>
        </w:rPr>
      </w:pPr>
    </w:p>
    <w:p w14:paraId="7E928ECF">
      <w:pPr>
        <w:jc w:val="both"/>
        <w:rPr>
          <w:sz w:val="72"/>
          <w:szCs w:val="72"/>
        </w:rPr>
      </w:pPr>
    </w:p>
    <w:p w14:paraId="1AFB23C9">
      <w:pPr>
        <w:jc w:val="left"/>
        <w:rPr>
          <w:sz w:val="32"/>
          <w:szCs w:val="32"/>
        </w:rPr>
        <w:sectPr>
          <w:pgSz w:w="11906" w:h="16838"/>
          <w:pgMar w:top="1417" w:right="1587" w:bottom="1417" w:left="1587" w:header="851" w:footer="992" w:gutter="0"/>
          <w:cols w:space="425" w:num="1"/>
          <w:docGrid w:type="lines" w:linePitch="312" w:charSpace="0"/>
        </w:sectPr>
      </w:pPr>
    </w:p>
    <w:tbl>
      <w:tblPr>
        <w:tblStyle w:val="11"/>
        <w:tblW w:w="140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05"/>
        <w:gridCol w:w="825"/>
        <w:gridCol w:w="1900"/>
        <w:gridCol w:w="3833"/>
        <w:gridCol w:w="834"/>
        <w:gridCol w:w="1773"/>
      </w:tblGrid>
      <w:tr w14:paraId="7EC4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070" w:type="dxa"/>
            <w:gridSpan w:val="6"/>
            <w:tcBorders>
              <w:top w:val="nil"/>
              <w:left w:val="nil"/>
              <w:bottom w:val="nil"/>
              <w:right w:val="nil"/>
            </w:tcBorders>
            <w:shd w:val="clear" w:color="auto" w:fill="auto"/>
            <w:noWrap/>
            <w:vAlign w:val="center"/>
          </w:tcPr>
          <w:p w14:paraId="668329F4">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1992D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4070" w:type="dxa"/>
            <w:gridSpan w:val="6"/>
            <w:tcBorders>
              <w:top w:val="nil"/>
              <w:left w:val="nil"/>
              <w:bottom w:val="nil"/>
              <w:right w:val="nil"/>
            </w:tcBorders>
            <w:shd w:val="clear" w:color="auto" w:fill="auto"/>
            <w:noWrap/>
            <w:vAlign w:val="center"/>
          </w:tcPr>
          <w:p w14:paraId="5D1A5F98">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22852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070" w:type="dxa"/>
            <w:gridSpan w:val="6"/>
            <w:tcBorders>
              <w:top w:val="nil"/>
              <w:left w:val="nil"/>
              <w:bottom w:val="nil"/>
              <w:right w:val="nil"/>
            </w:tcBorders>
            <w:shd w:val="clear" w:color="auto" w:fill="auto"/>
            <w:noWrap/>
            <w:vAlign w:val="bottom"/>
          </w:tcPr>
          <w:p w14:paraId="222CE742">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                                                                                             金额单位：万元</w:t>
            </w:r>
          </w:p>
        </w:tc>
      </w:tr>
      <w:tr w14:paraId="22CB8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932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9C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5B4E2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7E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092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83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C3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D9F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10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684F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46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AA45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891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FF6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B117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5E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7E580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DB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23C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DA3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A8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0B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5974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118.78</w:t>
            </w:r>
          </w:p>
        </w:tc>
      </w:tr>
      <w:tr w14:paraId="0B3BA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BF9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E3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A83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DEB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BAB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3145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9A3C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2C7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BC1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C64B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A79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C28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56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5CDC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0B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06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D5BA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1A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A67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4D91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3B58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F24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A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8C4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C7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5DA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FEDC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93B5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E71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9D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390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CD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A4A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1560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9739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EF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B8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E8CE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C9D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547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337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E8B1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64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981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8D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684.80</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F1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121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6E0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203.63</w:t>
            </w:r>
          </w:p>
        </w:tc>
      </w:tr>
      <w:tr w14:paraId="7D484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F0B2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C2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6E0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505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151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5CB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102.39</w:t>
            </w:r>
          </w:p>
        </w:tc>
      </w:tr>
      <w:tr w14:paraId="5597A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05F8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FF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15D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6CB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76E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71E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4E5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FA0E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52E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78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0D5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0D4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770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10,349.27</w:t>
            </w:r>
          </w:p>
        </w:tc>
      </w:tr>
      <w:tr w14:paraId="0D1B5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5A2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2C1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E397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D0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221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DFB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r>
      <w:tr w14:paraId="79208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1FF4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006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0908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34E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F16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8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39.29</w:t>
            </w:r>
          </w:p>
        </w:tc>
      </w:tr>
      <w:tr w14:paraId="2D1D0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868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B1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BDC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00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810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CC45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3714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856B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91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2715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1CA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306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78E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7327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7B0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B01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3EF3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A501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26F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3D1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564C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3FF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78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6610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D6E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894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0A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1E65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D37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95D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87E5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0C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30A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76A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C87B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CB0D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E73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760C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E8A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E5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08A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155.02</w:t>
            </w:r>
          </w:p>
        </w:tc>
      </w:tr>
      <w:tr w14:paraId="65265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C861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D5F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9DE3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B04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B5F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3E8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A58F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891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A93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B187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38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06C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4C63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1317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1A1D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BB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75B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79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18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3EC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8898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E6EE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161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4C6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FE2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2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BB36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2374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DB7F">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A22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4A7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9CD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450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0BAD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D9AC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C717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8E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E14F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B7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7D6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A2E9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7800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2029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1C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B4B9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899F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06D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3EEB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832A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392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58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9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10,942.87</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BC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E29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83E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10,980.38</w:t>
            </w:r>
          </w:p>
        </w:tc>
      </w:tr>
      <w:tr w14:paraId="286A2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556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FAD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DDE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B8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A19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6369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8F77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70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5D2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C6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220.85</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A76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B9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53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183.33</w:t>
            </w:r>
          </w:p>
        </w:tc>
      </w:tr>
      <w:tr w14:paraId="1A809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CD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D8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FBC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11,163.72</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05A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01C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3B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11,163.72</w:t>
            </w:r>
          </w:p>
        </w:tc>
      </w:tr>
      <w:tr w14:paraId="09684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070" w:type="dxa"/>
            <w:gridSpan w:val="6"/>
            <w:tcBorders>
              <w:top w:val="nil"/>
              <w:left w:val="nil"/>
              <w:bottom w:val="nil"/>
              <w:right w:val="nil"/>
            </w:tcBorders>
            <w:shd w:val="clear" w:color="auto" w:fill="auto"/>
            <w:noWrap/>
            <w:vAlign w:val="center"/>
          </w:tcPr>
          <w:p w14:paraId="7EFC22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45A1B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070" w:type="dxa"/>
            <w:gridSpan w:val="6"/>
            <w:tcBorders>
              <w:top w:val="nil"/>
              <w:left w:val="nil"/>
              <w:bottom w:val="nil"/>
              <w:right w:val="nil"/>
            </w:tcBorders>
            <w:shd w:val="clear" w:color="auto" w:fill="auto"/>
            <w:noWrap/>
            <w:vAlign w:val="center"/>
          </w:tcPr>
          <w:p w14:paraId="3C4081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27180689">
      <w:pPr>
        <w:pStyle w:val="9"/>
        <w:rPr>
          <w:rFonts w:asciiTheme="minorEastAsia" w:hAnsiTheme="minorEastAsia"/>
          <w:sz w:val="32"/>
          <w:szCs w:val="32"/>
        </w:rPr>
      </w:pPr>
    </w:p>
    <w:p w14:paraId="346BEA1B">
      <w:pPr>
        <w:pStyle w:val="5"/>
        <w:rPr>
          <w:rFonts w:asciiTheme="minorEastAsia" w:hAnsiTheme="minorEastAsia"/>
          <w:sz w:val="32"/>
          <w:szCs w:val="32"/>
        </w:rPr>
      </w:pPr>
    </w:p>
    <w:p w14:paraId="721EF9A7">
      <w:pPr>
        <w:rPr>
          <w:rFonts w:asciiTheme="minorEastAsia" w:hAnsiTheme="minorEastAsia"/>
          <w:sz w:val="32"/>
          <w:szCs w:val="32"/>
        </w:rPr>
      </w:pPr>
    </w:p>
    <w:p w14:paraId="01748AA5">
      <w:pPr>
        <w:pStyle w:val="9"/>
        <w:rPr>
          <w:rFonts w:asciiTheme="minorEastAsia" w:hAnsiTheme="minorEastAsia"/>
          <w:sz w:val="32"/>
          <w:szCs w:val="32"/>
        </w:rPr>
      </w:pPr>
    </w:p>
    <w:p w14:paraId="0D0BCC3A">
      <w:pPr>
        <w:pStyle w:val="5"/>
        <w:rPr>
          <w:rFonts w:asciiTheme="minorEastAsia" w:hAnsiTheme="minorEastAsia"/>
          <w:sz w:val="32"/>
          <w:szCs w:val="32"/>
        </w:rPr>
      </w:pPr>
    </w:p>
    <w:p w14:paraId="4142DF77">
      <w:pPr>
        <w:rPr>
          <w:rFonts w:asciiTheme="minorEastAsia" w:hAnsiTheme="minorEastAsia"/>
          <w:sz w:val="32"/>
          <w:szCs w:val="32"/>
        </w:rPr>
      </w:pPr>
    </w:p>
    <w:p w14:paraId="745BA4A6">
      <w:pPr>
        <w:pStyle w:val="9"/>
        <w:rPr>
          <w:rFonts w:asciiTheme="minorEastAsia" w:hAnsiTheme="minorEastAsia"/>
          <w:sz w:val="32"/>
          <w:szCs w:val="32"/>
        </w:rPr>
      </w:pPr>
    </w:p>
    <w:tbl>
      <w:tblPr>
        <w:tblStyle w:val="11"/>
        <w:tblW w:w="1410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6"/>
        <w:gridCol w:w="3810"/>
        <w:gridCol w:w="1239"/>
        <w:gridCol w:w="1239"/>
        <w:gridCol w:w="1239"/>
        <w:gridCol w:w="1239"/>
        <w:gridCol w:w="1239"/>
        <w:gridCol w:w="1239"/>
        <w:gridCol w:w="1239"/>
      </w:tblGrid>
      <w:tr w14:paraId="73016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109" w:type="dxa"/>
            <w:gridSpan w:val="9"/>
            <w:tcBorders>
              <w:top w:val="nil"/>
              <w:left w:val="nil"/>
              <w:bottom w:val="nil"/>
              <w:right w:val="nil"/>
            </w:tcBorders>
            <w:shd w:val="clear" w:color="auto" w:fill="auto"/>
            <w:noWrap/>
            <w:vAlign w:val="center"/>
          </w:tcPr>
          <w:p w14:paraId="30DF0709">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33F75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09" w:type="dxa"/>
            <w:gridSpan w:val="9"/>
            <w:tcBorders>
              <w:top w:val="nil"/>
              <w:left w:val="nil"/>
              <w:bottom w:val="nil"/>
              <w:right w:val="nil"/>
            </w:tcBorders>
            <w:shd w:val="clear" w:color="auto" w:fill="auto"/>
            <w:noWrap/>
            <w:vAlign w:val="center"/>
          </w:tcPr>
          <w:p w14:paraId="4964C280">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693BC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09" w:type="dxa"/>
            <w:gridSpan w:val="9"/>
            <w:tcBorders>
              <w:top w:val="nil"/>
              <w:left w:val="nil"/>
              <w:bottom w:val="nil"/>
              <w:right w:val="nil"/>
            </w:tcBorders>
            <w:shd w:val="clear" w:color="auto" w:fill="auto"/>
            <w:noWrap/>
            <w:vAlign w:val="bottom"/>
          </w:tcPr>
          <w:p w14:paraId="1F16EEA1">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                                                                                             金额单位：万元</w:t>
            </w:r>
          </w:p>
        </w:tc>
      </w:tr>
      <w:tr w14:paraId="50C4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5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EFA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7174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4FB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450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3635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72A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1F8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6B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3E374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C58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8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8CE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4B45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984E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4C58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2765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1FF3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4C58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A28F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F0AD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3A8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8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405A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443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D66D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27EB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458A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E9E9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DB4BD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B921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4C39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9239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8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018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4E88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18FB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74067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6D05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4A00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D6CB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9AD4B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0314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C0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15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33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A1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C20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74F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EF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D8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49F86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C78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69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10,942.87</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BAA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10,258.07</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85633">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7965">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4930">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7FAAC">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0C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684.80</w:t>
            </w:r>
          </w:p>
        </w:tc>
      </w:tr>
      <w:tr w14:paraId="3AB16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B8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E59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24F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118.78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51F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482F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2928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3485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2A3E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B69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107.79</w:t>
            </w:r>
          </w:p>
        </w:tc>
      </w:tr>
      <w:tr w14:paraId="5F700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FB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92F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C60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B039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2ED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8302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0CB2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0342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FD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r>
      <w:tr w14:paraId="29BA7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CE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26B8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E0A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499F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76F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9D2E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2DBA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36E1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3B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r>
      <w:tr w14:paraId="03028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14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D31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B39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E3B9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B30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E67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2E5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A650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F8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r>
      <w:tr w14:paraId="22471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A10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765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030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18AD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7121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D606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EB64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1EBB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A6D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r>
      <w:tr w14:paraId="5AFBB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213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09E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3C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9DA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8A39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72F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C66F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E3B4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4C5A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3FB0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0E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631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C64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B46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36C6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5FDE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BAC8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5D40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22CC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164E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2985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80B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FD5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E3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FF1C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061F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9934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1DAE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92F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AA89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C7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623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BCC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0BC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AC9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8BB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A372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D0AC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A41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2989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B88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7E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44D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180.30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458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180.30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F4E2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59F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D2CD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7E6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60E7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5AAE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69C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036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011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647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90B5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3453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51D7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6F5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3E6B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333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F6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2080508</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DDD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对机关事业单位职业年金的补助</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9C0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68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4D69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CEF5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8606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E94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A272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4339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DC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0AE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43B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FA2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BBB9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9936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B88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7B5D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7C3E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B9D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9B9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1EE2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6F4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4BB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D870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4CF3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6700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8082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6FD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91BA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AAD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36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579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E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B55E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4F7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B22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92A6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62A6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8030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F22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274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645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10,311.76</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8EB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9,734.75</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67B6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D87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DA4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7A30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DF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577.01</w:t>
            </w:r>
          </w:p>
        </w:tc>
      </w:tr>
      <w:tr w14:paraId="24BC6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D2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D6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59C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3,452.72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9D4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3,009.80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3F74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E532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E512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21B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37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442.92</w:t>
            </w:r>
          </w:p>
        </w:tc>
      </w:tr>
      <w:tr w14:paraId="4113A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0F6D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98C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094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687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D9B2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6D6A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337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D1EC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B535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83D5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9E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2120102</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9C4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FA1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8BE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8FB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599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D3A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20A7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6924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AEA1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81B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4D1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898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330.06</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C39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8.37</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5694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BD37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4667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2F80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C83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321.69</w:t>
            </w:r>
          </w:p>
        </w:tc>
      </w:tr>
      <w:tr w14:paraId="06786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8B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F95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4D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496.25</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FE8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987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647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56E4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0802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E61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121.23</w:t>
            </w:r>
          </w:p>
        </w:tc>
      </w:tr>
      <w:tr w14:paraId="420AF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E1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5B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165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5E9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BDCE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BBC6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316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33F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832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F3D1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36A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2120399</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3DF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3D4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6E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24B7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15C0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FE54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A6BE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2475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978E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2AA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C91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621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378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CB4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11DC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BE9D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5B74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9C31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42D9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B326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C8F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BC4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F48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E55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D8CD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66F5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B6AC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174E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24DD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16F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FA1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228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197.17</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C6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010E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085C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C726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9CC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E99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134.09</w:t>
            </w:r>
          </w:p>
        </w:tc>
      </w:tr>
      <w:tr w14:paraId="2C02D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386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E5B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C91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197.17</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DFC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D96E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545D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CC34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E9B9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9D6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134.09</w:t>
            </w:r>
          </w:p>
        </w:tc>
      </w:tr>
      <w:tr w14:paraId="4F8D4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577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07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37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26C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C06A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25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8C7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1A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F3F6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21A5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17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BA5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40C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8C7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6A1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0545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C73B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DAC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1E94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3245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430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8C5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病虫害控制</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3D8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A9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22CE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2CEB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489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F0E0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08EA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3FE3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31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52B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5D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F5B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7D1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DA33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83D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6D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D9A7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FC1D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B11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3A8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7F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802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D68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12AB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9B69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0803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51F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4319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47D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3705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公路建设</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637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212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5E1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39E8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51D0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EC0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0292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4CE6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957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68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6B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C1F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DB07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4095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F1E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5909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4645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3891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ED0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E32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A38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435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0CA0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707D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EFCA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0FC8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616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9BF2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025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1C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88F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C72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4897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52B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8765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67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AF6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D98A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09" w:type="dxa"/>
            <w:gridSpan w:val="9"/>
            <w:tcBorders>
              <w:top w:val="nil"/>
              <w:left w:val="nil"/>
              <w:bottom w:val="nil"/>
              <w:right w:val="nil"/>
            </w:tcBorders>
            <w:shd w:val="clear" w:color="auto" w:fill="auto"/>
            <w:noWrap/>
            <w:vAlign w:val="center"/>
          </w:tcPr>
          <w:p w14:paraId="094A29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38DB832B">
      <w:pPr>
        <w:pStyle w:val="5"/>
        <w:ind w:left="0" w:leftChars="0" w:firstLine="0" w:firstLineChars="0"/>
        <w:rPr>
          <w:rFonts w:asciiTheme="minorEastAsia" w:hAnsiTheme="minorEastAsia"/>
          <w:sz w:val="32"/>
          <w:szCs w:val="32"/>
        </w:rPr>
      </w:pPr>
    </w:p>
    <w:p w14:paraId="43A13168">
      <w:pPr>
        <w:rPr>
          <w:rFonts w:asciiTheme="minorEastAsia" w:hAnsiTheme="minorEastAsia"/>
          <w:sz w:val="32"/>
          <w:szCs w:val="32"/>
        </w:r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6"/>
        <w:gridCol w:w="3825"/>
        <w:gridCol w:w="1446"/>
        <w:gridCol w:w="1446"/>
        <w:gridCol w:w="1446"/>
        <w:gridCol w:w="1446"/>
        <w:gridCol w:w="1446"/>
        <w:gridCol w:w="1446"/>
      </w:tblGrid>
      <w:tr w14:paraId="0DC28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14127" w:type="dxa"/>
            <w:gridSpan w:val="8"/>
            <w:tcBorders>
              <w:top w:val="nil"/>
              <w:left w:val="nil"/>
              <w:bottom w:val="nil"/>
              <w:right w:val="nil"/>
            </w:tcBorders>
            <w:shd w:val="clear" w:color="auto" w:fill="auto"/>
            <w:noWrap/>
            <w:vAlign w:val="center"/>
          </w:tcPr>
          <w:p w14:paraId="14F0286E">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auto"/>
                <w:sz w:val="30"/>
                <w:szCs w:val="30"/>
                <w:u w:val="none"/>
              </w:rPr>
            </w:pPr>
            <w:r>
              <w:rPr>
                <w:rFonts w:hint="eastAsia" w:ascii="黑体" w:hAnsi="宋体" w:eastAsia="黑体" w:cs="黑体"/>
                <w:i w:val="0"/>
                <w:iCs w:val="0"/>
                <w:color w:val="auto"/>
                <w:kern w:val="0"/>
                <w:sz w:val="30"/>
                <w:szCs w:val="30"/>
                <w:u w:val="none"/>
                <w:lang w:val="en-US" w:eastAsia="zh-CN" w:bidi="ar"/>
              </w:rPr>
              <w:t>支出决算表</w:t>
            </w:r>
          </w:p>
        </w:tc>
      </w:tr>
      <w:tr w14:paraId="3A43E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127" w:type="dxa"/>
            <w:gridSpan w:val="8"/>
            <w:tcBorders>
              <w:top w:val="nil"/>
              <w:left w:val="nil"/>
              <w:bottom w:val="nil"/>
              <w:right w:val="nil"/>
            </w:tcBorders>
            <w:shd w:val="clear" w:color="auto" w:fill="auto"/>
            <w:noWrap/>
            <w:vAlign w:val="center"/>
          </w:tcPr>
          <w:p w14:paraId="0DCCD1C7">
            <w:pPr>
              <w:keepNext w:val="0"/>
              <w:keepLines w:val="0"/>
              <w:widowControl/>
              <w:suppressLineNumbers w:val="0"/>
              <w:spacing w:before="0" w:beforeAutospacing="0" w:after="0" w:afterAutospacing="0"/>
              <w:ind w:left="0" w:right="0" w:firstLine="400" w:firstLineChars="200"/>
              <w:jc w:val="right"/>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公开03表</w:t>
            </w:r>
          </w:p>
        </w:tc>
      </w:tr>
      <w:tr w14:paraId="62B8C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27" w:type="dxa"/>
            <w:gridSpan w:val="8"/>
            <w:tcBorders>
              <w:top w:val="nil"/>
              <w:left w:val="nil"/>
              <w:bottom w:val="nil"/>
              <w:right w:val="nil"/>
            </w:tcBorders>
            <w:shd w:val="clear" w:color="auto" w:fill="auto"/>
            <w:noWrap/>
            <w:vAlign w:val="bottom"/>
          </w:tcPr>
          <w:p w14:paraId="7A0E6CC3">
            <w:pPr>
              <w:keepNext w:val="0"/>
              <w:keepLines w:val="0"/>
              <w:suppressLineNumbers w:val="0"/>
              <w:spacing w:before="0" w:beforeAutospacing="0" w:after="0" w:afterAutospacing="0"/>
              <w:ind w:left="0" w:right="0"/>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部门：湘潭县城市管理和综合执法局                                                                                              金额单位：万元</w:t>
            </w:r>
          </w:p>
        </w:tc>
      </w:tr>
      <w:tr w14:paraId="7F187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60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B70E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本年支出合计</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5CFD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基本支出</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EE6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项目支出</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EDC6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上缴上级支出</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DB86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经营支出</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BB4C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对附属单位补助支出</w:t>
            </w:r>
          </w:p>
        </w:tc>
      </w:tr>
      <w:tr w14:paraId="353A1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CA54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科目代码</w:t>
            </w:r>
          </w:p>
        </w:tc>
        <w:tc>
          <w:tcPr>
            <w:tcW w:w="38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B8C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科目名称</w:t>
            </w: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DFF5E">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9AC48">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4E69C">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FBD61">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77197">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FE335">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r>
      <w:tr w14:paraId="1E9BA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DC1F1">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1248F">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CD98F">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1511C">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0FCD9">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D8ECB">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6D28F">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E0550">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r>
      <w:tr w14:paraId="6DBA8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7A9EE">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696BB">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1E8C8E">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09C4E">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594C9D">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04E8A">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AC515">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32267">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2"/>
                <w:szCs w:val="22"/>
                <w:u w:val="none"/>
              </w:rPr>
            </w:pPr>
          </w:p>
        </w:tc>
      </w:tr>
      <w:tr w14:paraId="0F9E2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DF2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栏次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20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03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31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B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C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76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r>
      <w:tr w14:paraId="6A35E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471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合计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8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10,980.38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F6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2,326.90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4F5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8,653.48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30FA1">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7F555">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7EFD1">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auto"/>
                <w:sz w:val="22"/>
                <w:szCs w:val="22"/>
                <w:u w:val="none"/>
              </w:rPr>
            </w:pPr>
          </w:p>
        </w:tc>
      </w:tr>
      <w:tr w14:paraId="3D59F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686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64A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一般公共服务支出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BAC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118.78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5EF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AA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118.78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B6F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CB89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4D35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B230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139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C73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人大事务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11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84C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751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F6B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F0A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45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902A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07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2010102</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64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一般行政管理事务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A4C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E21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224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CF4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FE5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DA9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A258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7A4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20103</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49E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政府办公厅（室）及相关机构事务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125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D0D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C5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F81D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230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C07A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375B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D837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2010302</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C1F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一般行政管理事务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517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BB74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821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81.66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A00A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95F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6519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927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601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20140</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AF4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信访事务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261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B9C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A2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B591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646B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A7F9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D5BB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CB3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2014004</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B96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信访业务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039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3047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46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0B06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190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7B2F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ACB8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DCA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629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社会保障和就业支出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52B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4E7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183.26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4FF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DD2F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155B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37EB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1598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9BB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20805</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6F1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行政事业单位养老支出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24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65E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183.26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34C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E8B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F890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AFEB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F111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F5C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2080505</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64C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机关事业单位基本养老保险缴费支出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E0B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180.30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2D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170.01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BBC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E98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8EE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D8B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D0EF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978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2080506</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002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机关事业单位职业年金缴费支出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219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35A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4E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99E4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B15A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BBD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9FF4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5C3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2080508</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0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对机关事业单位职业年金的补助</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D65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E43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06F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540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3C9F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A06C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3D3F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BB4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DD5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卫生健康支出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DF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203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170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99C9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7468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47C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F284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17C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21011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A72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行政事业单位医疗</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909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E6C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06C7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B0B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AF1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DB16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E847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C2C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2101101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F5F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行政单位医疗</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10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7A9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D740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94AC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A5D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2A5E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C634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DDC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CF9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城乡社区支出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B99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10,349.27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D70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1,886.23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E1F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8,463.04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32B2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8B8B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6FE8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94ED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0B4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1A8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城乡社区管理事务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605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3,452.72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F1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1,797.75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DEE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1,654.97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1D5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C10A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0BD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6523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73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2120101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34C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行政运行</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29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821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7264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311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9CC6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691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909C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E67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2120102</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3EE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一般行政管理事务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7FC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3C20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0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4152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B3B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D31C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8B06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02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2120104</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449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城管执法</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30D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B9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34.73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430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295.33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13C3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E15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2DCB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03F2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4E0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2120199</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733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其他城乡社区管理事务支出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7FB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496.25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3C1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99.11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F7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397.14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0B96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C795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299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99C8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ADE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21203</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AD9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城乡社区公共设施</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57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D21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5A8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1,049.95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34A7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26A0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6B40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0CC7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EBE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2120399</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12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其他城乡社区公共设施支出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5B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FFC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D64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1,049.95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DE09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C93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99EB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49CC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93C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21205</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570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城乡社区环境卫生</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C1A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078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CB8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5,611.69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DC2F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1E68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F79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2B4D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993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2120501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A75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城乡社区环境卫生</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C8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CCF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DC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5,611.69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A106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066A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30F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2CC9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D4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21299</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0FF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其他城乡社区支出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F98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234.68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E0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88.26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85B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146.42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864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9BB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4AD5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252C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5FB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2129999</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6A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其他城乡社区支出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96B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234.68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8D1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88.26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36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146.42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1F22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B58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D5F4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51CE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7E3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213</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A7A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农林水支出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77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B412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EC3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C35B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200D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3C3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D947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D54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21301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F9C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农业农村</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CA0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7B4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09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864D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2CFF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400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72DB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B75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2130108</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9B2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病虫害控制</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0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341E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04D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5B8C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641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3DD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8A64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C71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214</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915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交通运输支出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B93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3369E">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5DF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05A9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D60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1D6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677E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A11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21401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FD8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公路水路运输</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B0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F9E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72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E0F4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0EAE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FC5C4">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361B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218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2140104</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D49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公路建设</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C39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82D6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1A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3225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D1B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33DAF">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515DD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AC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4D2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住房保障支出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E05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FA0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0C63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3C8F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092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2C20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2DE98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74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22102</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DEC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住房改革支出</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FC0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23E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EB242">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2286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551B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D84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E9A7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E9D1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2210201</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35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住房公积金</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57B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12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6C2C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661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BFE3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0B89D">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BDAC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8"/>
            <w:tcBorders>
              <w:top w:val="nil"/>
              <w:left w:val="nil"/>
              <w:bottom w:val="nil"/>
              <w:right w:val="nil"/>
            </w:tcBorders>
            <w:shd w:val="clear" w:color="auto" w:fill="auto"/>
            <w:noWrap/>
            <w:vAlign w:val="center"/>
          </w:tcPr>
          <w:p w14:paraId="35D005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注：本表反映部门本年度各项支出情况。</w:t>
            </w:r>
          </w:p>
        </w:tc>
      </w:tr>
    </w:tbl>
    <w:p w14:paraId="266CC0F5">
      <w:pPr>
        <w:pStyle w:val="9"/>
        <w:rPr>
          <w:rFonts w:asciiTheme="minorEastAsia" w:hAnsiTheme="minorEastAsia"/>
          <w:sz w:val="32"/>
          <w:szCs w:val="32"/>
        </w:rPr>
      </w:pPr>
    </w:p>
    <w:p w14:paraId="42C3906C">
      <w:pPr>
        <w:pStyle w:val="5"/>
        <w:rPr>
          <w:rFonts w:asciiTheme="minorEastAsia" w:hAnsiTheme="minorEastAsia"/>
          <w:sz w:val="32"/>
          <w:szCs w:val="32"/>
        </w:rPr>
      </w:pPr>
    </w:p>
    <w:p w14:paraId="136C05F0">
      <w:pPr>
        <w:rPr>
          <w:rFonts w:asciiTheme="minorEastAsia" w:hAnsiTheme="minorEastAsia"/>
          <w:sz w:val="32"/>
          <w:szCs w:val="32"/>
        </w:rPr>
      </w:pPr>
    </w:p>
    <w:tbl>
      <w:tblPr>
        <w:tblStyle w:val="11"/>
        <w:tblW w:w="1415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61"/>
        <w:gridCol w:w="513"/>
        <w:gridCol w:w="1475"/>
        <w:gridCol w:w="3361"/>
        <w:gridCol w:w="606"/>
        <w:gridCol w:w="1260"/>
        <w:gridCol w:w="1290"/>
        <w:gridCol w:w="993"/>
        <w:gridCol w:w="399"/>
        <w:gridCol w:w="693"/>
      </w:tblGrid>
      <w:tr w14:paraId="5CD51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14151" w:type="dxa"/>
            <w:gridSpan w:val="10"/>
            <w:tcBorders>
              <w:top w:val="nil"/>
              <w:left w:val="nil"/>
              <w:bottom w:val="nil"/>
              <w:right w:val="nil"/>
            </w:tcBorders>
            <w:shd w:val="clear" w:color="auto" w:fill="auto"/>
            <w:noWrap/>
            <w:vAlign w:val="center"/>
          </w:tcPr>
          <w:p w14:paraId="2BC3F0AD">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4C751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14151" w:type="dxa"/>
            <w:gridSpan w:val="10"/>
            <w:tcBorders>
              <w:top w:val="nil"/>
              <w:left w:val="nil"/>
              <w:bottom w:val="nil"/>
              <w:right w:val="nil"/>
            </w:tcBorders>
            <w:shd w:val="clear" w:color="auto" w:fill="auto"/>
            <w:noWrap/>
            <w:vAlign w:val="center"/>
          </w:tcPr>
          <w:p w14:paraId="629D9ED3">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745EF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14151" w:type="dxa"/>
            <w:gridSpan w:val="10"/>
            <w:tcBorders>
              <w:top w:val="nil"/>
              <w:left w:val="nil"/>
              <w:bottom w:val="nil"/>
              <w:right w:val="nil"/>
            </w:tcBorders>
            <w:shd w:val="clear" w:color="auto" w:fill="auto"/>
            <w:noWrap/>
            <w:vAlign w:val="bottom"/>
          </w:tcPr>
          <w:p w14:paraId="307369B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                                                                                              金额单位：万元</w:t>
            </w:r>
          </w:p>
        </w:tc>
      </w:tr>
      <w:tr w14:paraId="055E0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55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A65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860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3DD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49FF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C4C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CEF7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F9AC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3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F846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0E48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BFB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E71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9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F966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0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8419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07C13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3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34CC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21F5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978E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4950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D229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08D9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D261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6D51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F306A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D0A2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10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7A1D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D58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CEE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A3DE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02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FB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5B0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563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602B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9E1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E8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FB6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D215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749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D92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BE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10.99</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D2D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37EB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E28B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FD0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667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479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10D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BBB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73B9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917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C7E4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93FE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A52A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219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85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AFFD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7E5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4D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D608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A478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6A9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1D6C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88E4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9BB3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9E1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68C6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5C4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44B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87D4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BD86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BEF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8822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47F0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1333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E2C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373B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BBF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52B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922B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EDDA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5DB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6E5C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BE65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CB62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37C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29FB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0BD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C00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0058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847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B4EC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6D27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7047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18CE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98F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AF2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B30D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5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3AC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3101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D681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67D3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ECA0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DFD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74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6F84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4C3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9F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E6C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203.63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AE4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203.63</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85AF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A705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94A5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62B1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EFB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1BA7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1A4D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89E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E10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72C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102.39</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C356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44D7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53EA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5CF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7C9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0153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C48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6AB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B595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BFB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D52C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7749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2AAB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7781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16C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41EF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A4A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34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A6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9,734.75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05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9,734.75</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6AA1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8539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B2C7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14D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56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0CDB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9612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C3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D2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53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1073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71F0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B4AB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C5B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0C5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E12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F35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3A1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362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DEB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39.29</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B50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9EF8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1B2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56F3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92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D93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FAD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52D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3622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1E98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FD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D9D9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16FB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6E2E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D2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862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A925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456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B539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648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B125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E7D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11F9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C9C3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9E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C5EB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34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A2D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7116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D73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F60A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DB9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ACE8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8BA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D67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8032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78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02A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26D9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0799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2419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91F1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7CEA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C20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C2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61DC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DB2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6A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85C2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F193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FB1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2F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4399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7F5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517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DBA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EF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4AB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CA2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02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155.02</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04F3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3200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6C73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1D87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978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5A1F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6BB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427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BDAD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753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8E8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97D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5E33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E0A9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35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2BDF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A2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DC2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33CB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F88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29A0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9C1C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3370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EBAC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4D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A2DE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A7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519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F825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0532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6ABE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DAC6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B51E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F237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166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0841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312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9A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83C1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E45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40CA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0DA0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B6A1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E4702">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D37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004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E75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526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A74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8ACE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3D2D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26BB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DF21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ED9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7F0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3E9E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D71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905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4528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B9AC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37D7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573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D03E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B47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3C6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EB45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438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DB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C2BA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10AC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15A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46ED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E980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9C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985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244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7AA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DF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30D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73E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B9E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420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C64B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71C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43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02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8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82F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F0D4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93E4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B54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BF6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7AA5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96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DD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B7D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3BE8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3D5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5398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23E1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C15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2D5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AFBF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F4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A33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853C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3736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5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699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C51B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B8FD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32E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61D8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0B5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2B0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42B4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0BF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586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CC9B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B6F9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896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CF47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D2A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3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D44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64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61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3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C90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3F8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4C7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22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10,258.07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753D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0CCA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A370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13458" w:type="dxa"/>
            <w:gridSpan w:val="9"/>
            <w:tcBorders>
              <w:top w:val="nil"/>
              <w:left w:val="nil"/>
              <w:bottom w:val="nil"/>
              <w:right w:val="nil"/>
            </w:tcBorders>
            <w:shd w:val="clear" w:color="auto" w:fill="auto"/>
            <w:noWrap/>
            <w:vAlign w:val="center"/>
          </w:tcPr>
          <w:p w14:paraId="6D68085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693" w:type="dxa"/>
            <w:tcBorders>
              <w:top w:val="nil"/>
              <w:left w:val="nil"/>
              <w:bottom w:val="nil"/>
              <w:right w:val="nil"/>
            </w:tcBorders>
            <w:shd w:val="clear" w:color="auto" w:fill="auto"/>
            <w:noWrap/>
            <w:vAlign w:val="center"/>
          </w:tcPr>
          <w:p w14:paraId="7F4A71D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14:paraId="296680C2">
      <w:pPr>
        <w:pStyle w:val="9"/>
        <w:rPr>
          <w:rFonts w:asciiTheme="minorEastAsia" w:hAnsiTheme="minorEastAsia"/>
          <w:sz w:val="32"/>
          <w:szCs w:val="32"/>
        </w:rPr>
      </w:pPr>
    </w:p>
    <w:p w14:paraId="29362304">
      <w:pPr>
        <w:pStyle w:val="5"/>
        <w:rPr>
          <w:rFonts w:asciiTheme="minorEastAsia" w:hAnsiTheme="minorEastAsia"/>
          <w:sz w:val="32"/>
          <w:szCs w:val="32"/>
        </w:rPr>
      </w:pPr>
    </w:p>
    <w:p w14:paraId="2874EE7A">
      <w:pPr>
        <w:sectPr>
          <w:pgSz w:w="16838" w:h="11906" w:orient="landscape"/>
          <w:pgMar w:top="1587" w:right="1417" w:bottom="1587" w:left="1417" w:header="851" w:footer="992" w:gutter="0"/>
          <w:cols w:space="0" w:num="1"/>
          <w:rtlGutter w:val="0"/>
          <w:docGrid w:type="lines" w:linePitch="323" w:charSpace="0"/>
        </w:sect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2"/>
        <w:gridCol w:w="262"/>
        <w:gridCol w:w="816"/>
        <w:gridCol w:w="4136"/>
        <w:gridCol w:w="1032"/>
        <w:gridCol w:w="1301"/>
        <w:gridCol w:w="550"/>
        <w:gridCol w:w="2883"/>
        <w:gridCol w:w="2885"/>
      </w:tblGrid>
      <w:tr w14:paraId="753F6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14127" w:type="dxa"/>
            <w:gridSpan w:val="9"/>
            <w:tcBorders>
              <w:top w:val="nil"/>
              <w:left w:val="nil"/>
              <w:bottom w:val="nil"/>
              <w:right w:val="nil"/>
            </w:tcBorders>
            <w:shd w:val="clear" w:color="auto" w:fill="auto"/>
            <w:noWrap/>
            <w:vAlign w:val="center"/>
          </w:tcPr>
          <w:p w14:paraId="6D63FB9E">
            <w:pPr>
              <w:keepNext w:val="0"/>
              <w:keepLines w:val="0"/>
              <w:widowControl/>
              <w:suppressLineNumbers w:val="0"/>
              <w:spacing w:before="0" w:beforeAutospacing="0" w:after="0" w:afterAutospacing="0"/>
              <w:ind w:left="0" w:right="0"/>
              <w:jc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17B25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62" w:type="dxa"/>
            <w:tcBorders>
              <w:top w:val="nil"/>
              <w:left w:val="nil"/>
              <w:bottom w:val="nil"/>
              <w:right w:val="nil"/>
            </w:tcBorders>
            <w:shd w:val="clear" w:color="auto" w:fill="auto"/>
            <w:noWrap/>
            <w:vAlign w:val="center"/>
          </w:tcPr>
          <w:p w14:paraId="4519B31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2" w:type="dxa"/>
            <w:tcBorders>
              <w:top w:val="nil"/>
              <w:left w:val="nil"/>
              <w:bottom w:val="nil"/>
              <w:right w:val="nil"/>
            </w:tcBorders>
            <w:shd w:val="clear" w:color="auto" w:fill="auto"/>
            <w:noWrap/>
            <w:vAlign w:val="center"/>
          </w:tcPr>
          <w:p w14:paraId="7D49F2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816" w:type="dxa"/>
            <w:tcBorders>
              <w:top w:val="nil"/>
              <w:left w:val="nil"/>
              <w:bottom w:val="nil"/>
              <w:right w:val="nil"/>
            </w:tcBorders>
            <w:shd w:val="clear" w:color="auto" w:fill="auto"/>
            <w:noWrap/>
            <w:vAlign w:val="center"/>
          </w:tcPr>
          <w:p w14:paraId="34EB076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136" w:type="dxa"/>
            <w:tcBorders>
              <w:top w:val="nil"/>
              <w:left w:val="nil"/>
              <w:bottom w:val="nil"/>
              <w:right w:val="nil"/>
            </w:tcBorders>
            <w:shd w:val="clear" w:color="auto" w:fill="auto"/>
            <w:noWrap/>
            <w:vAlign w:val="center"/>
          </w:tcPr>
          <w:p w14:paraId="5F8C21E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32" w:type="dxa"/>
            <w:tcBorders>
              <w:top w:val="nil"/>
              <w:left w:val="nil"/>
              <w:bottom w:val="nil"/>
              <w:right w:val="nil"/>
            </w:tcBorders>
            <w:shd w:val="clear" w:color="auto" w:fill="auto"/>
            <w:noWrap/>
            <w:vAlign w:val="center"/>
          </w:tcPr>
          <w:p w14:paraId="3C0891D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301" w:type="dxa"/>
            <w:tcBorders>
              <w:top w:val="nil"/>
              <w:left w:val="nil"/>
              <w:bottom w:val="nil"/>
              <w:right w:val="nil"/>
            </w:tcBorders>
            <w:shd w:val="clear" w:color="auto" w:fill="auto"/>
            <w:noWrap/>
            <w:vAlign w:val="center"/>
          </w:tcPr>
          <w:p w14:paraId="74BB073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318" w:type="dxa"/>
            <w:gridSpan w:val="3"/>
            <w:tcBorders>
              <w:top w:val="nil"/>
              <w:left w:val="nil"/>
              <w:bottom w:val="nil"/>
              <w:right w:val="nil"/>
            </w:tcBorders>
            <w:shd w:val="clear" w:color="auto" w:fill="auto"/>
            <w:noWrap/>
            <w:vAlign w:val="bottom"/>
          </w:tcPr>
          <w:p w14:paraId="15548D7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750B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27" w:type="dxa"/>
            <w:gridSpan w:val="9"/>
            <w:tcBorders>
              <w:top w:val="nil"/>
              <w:left w:val="nil"/>
              <w:bottom w:val="nil"/>
              <w:right w:val="nil"/>
            </w:tcBorders>
            <w:shd w:val="clear" w:color="auto" w:fill="auto"/>
            <w:noWrap/>
            <w:vAlign w:val="bottom"/>
          </w:tcPr>
          <w:p w14:paraId="4F8F6E42">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                                                                                             金额单位：万元</w:t>
            </w:r>
          </w:p>
        </w:tc>
      </w:tr>
      <w:tr w14:paraId="2C3CB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47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35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6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76C1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79EE9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4513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1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512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88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C6B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8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CAA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8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56F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64D7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9724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1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768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43A9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6068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C858D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0DA4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3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E7A1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1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309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623D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A6281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8790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7115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7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C58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FB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633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5D4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4EF34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7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A78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63C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10,258.07</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CF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2,155.38</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DB6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8,102.69</w:t>
            </w:r>
          </w:p>
        </w:tc>
      </w:tr>
      <w:tr w14:paraId="03845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76EC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DB8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EF4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7D9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273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r>
      <w:tr w14:paraId="1BD6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D07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50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47B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44AC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AE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r>
      <w:tr w14:paraId="53C9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42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2C4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AC6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803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54B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10.99</w:t>
            </w:r>
          </w:p>
        </w:tc>
      </w:tr>
      <w:tr w14:paraId="6EADD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37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337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B34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203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183.26</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C5B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20.37</w:t>
            </w:r>
          </w:p>
        </w:tc>
      </w:tr>
      <w:tr w14:paraId="11E7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D578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85C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2B6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203.63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D0C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183.26</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52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20.37</w:t>
            </w:r>
          </w:p>
        </w:tc>
      </w:tr>
      <w:tr w14:paraId="326B8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47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9A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2A0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180.30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FB4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170.01</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D1C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10.29</w:t>
            </w:r>
          </w:p>
        </w:tc>
      </w:tr>
      <w:tr w14:paraId="52BBD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CD6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E9F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10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26D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6.72</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0D1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10.08</w:t>
            </w:r>
          </w:p>
        </w:tc>
      </w:tr>
      <w:tr w14:paraId="7F6E0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17C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2080508</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90D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对机关事业单位职业年金的补助</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6B6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B4C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6.53</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7FF1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D7B4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73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4F9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4C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092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453EB">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44A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B29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70E0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762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8B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9F9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01595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918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0E5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C0A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65E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102.39</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4C2C">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13F1D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CE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7A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455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9,734.75</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8B8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1,714.71</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CDE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8,020.04</w:t>
            </w:r>
          </w:p>
        </w:tc>
      </w:tr>
      <w:tr w14:paraId="51497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D89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47B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B29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3,009.80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F24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1,714.48</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551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1,295.32</w:t>
            </w:r>
          </w:p>
        </w:tc>
      </w:tr>
      <w:tr w14:paraId="59C33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9E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393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D4E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61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1,663.91</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8E69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2A44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68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2120102</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9C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3CD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A503">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E3B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962.50</w:t>
            </w:r>
          </w:p>
        </w:tc>
      </w:tr>
      <w:tr w14:paraId="6833E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0C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A8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BDA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8.36</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72DE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6D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8.36</w:t>
            </w:r>
          </w:p>
        </w:tc>
      </w:tr>
      <w:tr w14:paraId="3F8F1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5D7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C3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CA8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375.03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C6D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50.57</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70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324.46</w:t>
            </w:r>
          </w:p>
        </w:tc>
      </w:tr>
      <w:tr w14:paraId="3A998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F9E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071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9A7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EBF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0.13</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DA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1,049.95</w:t>
            </w:r>
          </w:p>
        </w:tc>
      </w:tr>
      <w:tr w14:paraId="7E723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BAD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2120399</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062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E20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1,050.08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B01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0.13</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7F5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1,049.95</w:t>
            </w:r>
          </w:p>
        </w:tc>
      </w:tr>
      <w:tr w14:paraId="7229B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B12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F5A6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8D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A5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0.10</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C07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5,611.69</w:t>
            </w:r>
          </w:p>
        </w:tc>
      </w:tr>
      <w:tr w14:paraId="713B2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32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55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F5D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5,611.79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5FB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0.10</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3B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5,611.69</w:t>
            </w:r>
          </w:p>
        </w:tc>
      </w:tr>
      <w:tr w14:paraId="28707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B8F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9EA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25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59B48">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7A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r>
      <w:tr w14:paraId="43E5C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F7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19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1B7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576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49A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63.08</w:t>
            </w:r>
          </w:p>
        </w:tc>
      </w:tr>
      <w:tr w14:paraId="5F91E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55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70B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3E8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22EA9">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AC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r>
      <w:tr w14:paraId="3A6F1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78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AD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BA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1B4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AB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r>
      <w:tr w14:paraId="78351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32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514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病虫害控制</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529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E296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5D4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w:t>
            </w:r>
          </w:p>
        </w:tc>
      </w:tr>
      <w:tr w14:paraId="2512B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86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0B8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866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26B37">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EBC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r>
      <w:tr w14:paraId="45FF2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66E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A84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019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E4A5">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4E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r>
      <w:tr w14:paraId="22965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624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68DC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公路建设</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10A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3E381">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FD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39.29</w:t>
            </w:r>
          </w:p>
        </w:tc>
      </w:tr>
      <w:tr w14:paraId="2FD14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864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A30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28C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8C6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45B60">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3FDF6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C3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6B7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D97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FBC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75C56">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68089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FA0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65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A5E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BB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155.02</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333AA">
            <w:pPr>
              <w:keepNext w:val="0"/>
              <w:keepLines w:val="0"/>
              <w:suppressLineNumbers w:val="0"/>
              <w:spacing w:before="0" w:beforeAutospacing="0" w:after="0" w:afterAutospacing="0"/>
              <w:ind w:left="0" w:right="0"/>
              <w:jc w:val="right"/>
              <w:rPr>
                <w:rFonts w:hint="eastAsia" w:ascii="宋体" w:hAnsi="宋体" w:eastAsia="宋体" w:cs="宋体"/>
                <w:i w:val="0"/>
                <w:iCs w:val="0"/>
                <w:color w:val="auto"/>
                <w:sz w:val="22"/>
                <w:szCs w:val="22"/>
                <w:u w:val="none"/>
              </w:rPr>
            </w:pPr>
          </w:p>
        </w:tc>
      </w:tr>
      <w:tr w14:paraId="7ACDE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9"/>
            <w:tcBorders>
              <w:top w:val="nil"/>
              <w:left w:val="nil"/>
              <w:bottom w:val="nil"/>
              <w:right w:val="nil"/>
            </w:tcBorders>
            <w:shd w:val="clear" w:color="auto" w:fill="auto"/>
            <w:noWrap/>
            <w:vAlign w:val="center"/>
          </w:tcPr>
          <w:p w14:paraId="11DEDC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5A6DD0D4">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11"/>
        <w:tblW w:w="14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6"/>
        <w:gridCol w:w="2883"/>
        <w:gridCol w:w="1134"/>
        <w:gridCol w:w="866"/>
        <w:gridCol w:w="2450"/>
        <w:gridCol w:w="1100"/>
        <w:gridCol w:w="867"/>
        <w:gridCol w:w="3117"/>
        <w:gridCol w:w="1083"/>
      </w:tblGrid>
      <w:tr w14:paraId="522F5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326" w:type="dxa"/>
            <w:gridSpan w:val="9"/>
            <w:tcBorders>
              <w:top w:val="nil"/>
              <w:left w:val="nil"/>
              <w:bottom w:val="nil"/>
              <w:right w:val="nil"/>
            </w:tcBorders>
            <w:shd w:val="clear" w:color="auto" w:fill="auto"/>
            <w:noWrap/>
            <w:vAlign w:val="center"/>
          </w:tcPr>
          <w:p w14:paraId="79DAAA87">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658D6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6" w:type="dxa"/>
            <w:tcBorders>
              <w:top w:val="nil"/>
              <w:left w:val="nil"/>
              <w:bottom w:val="nil"/>
              <w:right w:val="nil"/>
            </w:tcBorders>
            <w:shd w:val="clear" w:color="auto" w:fill="auto"/>
            <w:noWrap/>
            <w:vAlign w:val="center"/>
          </w:tcPr>
          <w:p w14:paraId="26C7692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883" w:type="dxa"/>
            <w:tcBorders>
              <w:top w:val="nil"/>
              <w:left w:val="nil"/>
              <w:bottom w:val="nil"/>
              <w:right w:val="nil"/>
            </w:tcBorders>
            <w:shd w:val="clear" w:color="auto" w:fill="auto"/>
            <w:noWrap/>
            <w:vAlign w:val="center"/>
          </w:tcPr>
          <w:p w14:paraId="1D332D0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34" w:type="dxa"/>
            <w:tcBorders>
              <w:top w:val="nil"/>
              <w:left w:val="nil"/>
              <w:bottom w:val="nil"/>
              <w:right w:val="nil"/>
            </w:tcBorders>
            <w:shd w:val="clear" w:color="auto" w:fill="auto"/>
            <w:noWrap/>
            <w:vAlign w:val="center"/>
          </w:tcPr>
          <w:p w14:paraId="3AA03B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866" w:type="dxa"/>
            <w:tcBorders>
              <w:top w:val="nil"/>
              <w:left w:val="nil"/>
              <w:bottom w:val="nil"/>
              <w:right w:val="nil"/>
            </w:tcBorders>
            <w:shd w:val="clear" w:color="auto" w:fill="auto"/>
            <w:noWrap/>
            <w:vAlign w:val="center"/>
          </w:tcPr>
          <w:p w14:paraId="77C2F65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50" w:type="dxa"/>
            <w:tcBorders>
              <w:top w:val="nil"/>
              <w:left w:val="nil"/>
              <w:bottom w:val="nil"/>
              <w:right w:val="nil"/>
            </w:tcBorders>
            <w:shd w:val="clear" w:color="auto" w:fill="auto"/>
            <w:noWrap/>
            <w:vAlign w:val="center"/>
          </w:tcPr>
          <w:p w14:paraId="061B08E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00" w:type="dxa"/>
            <w:tcBorders>
              <w:top w:val="nil"/>
              <w:left w:val="nil"/>
              <w:bottom w:val="nil"/>
              <w:right w:val="nil"/>
            </w:tcBorders>
            <w:shd w:val="clear" w:color="auto" w:fill="auto"/>
            <w:noWrap/>
            <w:vAlign w:val="center"/>
          </w:tcPr>
          <w:p w14:paraId="4A6F54B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867" w:type="dxa"/>
            <w:tcBorders>
              <w:top w:val="nil"/>
              <w:left w:val="nil"/>
              <w:bottom w:val="nil"/>
              <w:right w:val="nil"/>
            </w:tcBorders>
            <w:shd w:val="clear" w:color="auto" w:fill="auto"/>
            <w:noWrap/>
            <w:vAlign w:val="center"/>
          </w:tcPr>
          <w:p w14:paraId="67D6C85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00" w:type="dxa"/>
            <w:gridSpan w:val="2"/>
            <w:tcBorders>
              <w:top w:val="nil"/>
              <w:left w:val="nil"/>
              <w:bottom w:val="nil"/>
              <w:right w:val="nil"/>
            </w:tcBorders>
            <w:shd w:val="clear" w:color="auto" w:fill="auto"/>
            <w:noWrap/>
            <w:vAlign w:val="center"/>
          </w:tcPr>
          <w:p w14:paraId="6623A1A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76BD8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326" w:type="dxa"/>
            <w:gridSpan w:val="9"/>
            <w:tcBorders>
              <w:top w:val="nil"/>
              <w:left w:val="nil"/>
              <w:bottom w:val="nil"/>
              <w:right w:val="nil"/>
            </w:tcBorders>
            <w:shd w:val="clear" w:color="auto" w:fill="auto"/>
            <w:noWrap/>
            <w:vAlign w:val="bottom"/>
          </w:tcPr>
          <w:p w14:paraId="17520D75">
            <w:pPr>
              <w:keepNext w:val="0"/>
              <w:keepLines w:val="0"/>
              <w:suppressLineNumbers w:val="0"/>
              <w:spacing w:before="0" w:beforeAutospacing="0" w:after="0" w:afterAutospacing="0"/>
              <w:ind w:left="0" w:right="0"/>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部门：湘潭县城市管理和综合执法局                                                                                                               金额单位：万元</w:t>
            </w:r>
          </w:p>
        </w:tc>
      </w:tr>
      <w:tr w14:paraId="630E0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84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F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48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A7B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78FE2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0FC6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8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32CD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69F0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3BF4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EC10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34F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8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5A40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ACAF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3C4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1191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0F74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135D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5930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44B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59AB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C9DF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5281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1210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1331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7FA8A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4992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5EF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F81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1,900.60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50E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FBC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DBB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239.68</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571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35A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BE1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EB3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F7E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5BA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638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568.21</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F0E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D87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E50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9A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D3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2274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E0B9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760F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33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19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6CC7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CC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70D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D83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3B8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BF9E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9FBA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885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51C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2E0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411.20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5CD3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8F2D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A88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F14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D2A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9FA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r>
      <w:tr w14:paraId="23297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D4D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140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EF8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78.26</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E96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D23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F7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BBEF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8BD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E5B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BE82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41F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49A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40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273.95</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F9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D58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57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E96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C74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2A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r>
      <w:tr w14:paraId="558AE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9CA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797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8DC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178.89</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608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57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938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3CC2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720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0D8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2CE9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E0C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EC6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6F7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F8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482E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A8D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84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55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144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120C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467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4A1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4FC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117.65</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693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F11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E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E6A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ABE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628A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C1EB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52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86E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75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8.68</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F8A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FF0C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B0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18.16</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F8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F5D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115A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92EA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67E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DF4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3E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12.11</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567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8AF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31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D3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9D4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0512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6486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B1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47B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C55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155.02</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5CE1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785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5C6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666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68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3D6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C61A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C07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C4B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56F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4A1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843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FA2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7DE2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59E1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482E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D4A3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5B6E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F26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A31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5.79</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8E7D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85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3D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D69E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8ED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CCF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8BAD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D7A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A7E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F05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E3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1E8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1F8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EC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DCF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B2B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97FF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3568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BAD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4E80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23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B2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BF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6D0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D7C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93F6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CF6B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7E9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EBB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538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F812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49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5CA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ED5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94E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7257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FF0B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DF3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A7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439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B6F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42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85C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FA9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8E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C6CE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B692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64A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37D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10F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26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E5F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35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102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371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663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EC28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DB8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980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6DA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4.98</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36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03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6E1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544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404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1A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3913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30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8D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F3FB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605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DE10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2B6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74C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E49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0EC2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2C0B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B99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CF6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D17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0A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9B6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45D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D5F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6B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4E17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4615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340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9D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4470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47F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D654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B8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34.17</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8BE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1E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6F3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E6B9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EC68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27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121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9.77</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71A0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5BC3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C3F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657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C1B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2CF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863D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72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33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B3DE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AC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1CF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A8C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DEC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1B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C05C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D7F8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0C9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7B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4938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EDC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D7C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4B6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92.86</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A28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503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020B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E55D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E7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68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AF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1B1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9EA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FA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5ED4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FFB8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978C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102B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CB0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0F68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360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23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0FF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B7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7343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39F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23F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4B12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7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5A0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357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1,915.60</w:t>
            </w:r>
          </w:p>
        </w:tc>
        <w:tc>
          <w:tcPr>
            <w:tcW w:w="84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FA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9E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239.78</w:t>
            </w:r>
          </w:p>
        </w:tc>
      </w:tr>
      <w:tr w14:paraId="2AC1F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326" w:type="dxa"/>
            <w:gridSpan w:val="9"/>
            <w:tcBorders>
              <w:top w:val="single" w:color="000000" w:sz="4" w:space="0"/>
              <w:left w:val="nil"/>
              <w:bottom w:val="nil"/>
              <w:right w:val="nil"/>
            </w:tcBorders>
            <w:shd w:val="clear" w:color="auto" w:fill="auto"/>
            <w:noWrap/>
            <w:vAlign w:val="center"/>
          </w:tcPr>
          <w:p w14:paraId="5C81F7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3CF0A078">
      <w:pPr>
        <w:widowControl/>
        <w:jc w:val="left"/>
        <w:rPr>
          <w:rFonts w:hint="eastAsia" w:asciiTheme="majorEastAsia" w:hAnsiTheme="majorEastAsia" w:eastAsiaTheme="majorEastAsia" w:cstheme="majorEastAsia"/>
          <w:color w:val="000000"/>
          <w:kern w:val="0"/>
          <w:sz w:val="21"/>
          <w:szCs w:val="21"/>
        </w:rPr>
      </w:pPr>
      <w:r>
        <w:rPr>
          <w:rFonts w:hint="eastAsia" w:asciiTheme="majorEastAsia" w:hAnsiTheme="majorEastAsia" w:eastAsiaTheme="majorEastAsia" w:cstheme="majorEastAsia"/>
          <w:color w:val="000000"/>
          <w:kern w:val="0"/>
          <w:sz w:val="21"/>
          <w:szCs w:val="21"/>
        </w:rPr>
        <w:t xml:space="preserve">                </w:t>
      </w:r>
    </w:p>
    <w:p w14:paraId="1FE12DBD">
      <w:pPr>
        <w:widowControl/>
        <w:jc w:val="left"/>
        <w:rPr>
          <w:rFonts w:hint="eastAsia" w:asciiTheme="majorEastAsia" w:hAnsiTheme="majorEastAsia" w:eastAsiaTheme="majorEastAsia" w:cstheme="majorEastAsia"/>
          <w:color w:val="000000"/>
          <w:kern w:val="0"/>
          <w:sz w:val="21"/>
          <w:szCs w:val="21"/>
        </w:rPr>
      </w:pPr>
    </w:p>
    <w:p w14:paraId="281D23AB">
      <w:pPr>
        <w:widowControl/>
        <w:jc w:val="left"/>
        <w:rPr>
          <w:rFonts w:hint="eastAsia" w:asciiTheme="majorEastAsia" w:hAnsiTheme="majorEastAsia" w:eastAsiaTheme="majorEastAsia" w:cstheme="majorEastAsia"/>
          <w:color w:val="000000"/>
          <w:kern w:val="0"/>
          <w:sz w:val="21"/>
          <w:szCs w:val="21"/>
        </w:rPr>
      </w:pPr>
    </w:p>
    <w:p w14:paraId="4DA79A17">
      <w:pPr>
        <w:widowControl/>
        <w:jc w:val="left"/>
        <w:rPr>
          <w:rFonts w:hint="eastAsia" w:asciiTheme="majorEastAsia" w:hAnsiTheme="majorEastAsia" w:eastAsiaTheme="majorEastAsia" w:cstheme="majorEastAsia"/>
          <w:color w:val="000000"/>
          <w:kern w:val="0"/>
          <w:sz w:val="21"/>
          <w:szCs w:val="21"/>
        </w:rPr>
      </w:pPr>
    </w:p>
    <w:p w14:paraId="2CF2F530">
      <w:pPr>
        <w:widowControl/>
        <w:jc w:val="left"/>
        <w:rPr>
          <w:rFonts w:hint="eastAsia" w:asciiTheme="majorEastAsia" w:hAnsiTheme="majorEastAsia" w:eastAsiaTheme="majorEastAsia" w:cstheme="majorEastAsia"/>
          <w:color w:val="000000"/>
          <w:kern w:val="0"/>
          <w:sz w:val="21"/>
          <w:szCs w:val="21"/>
        </w:rPr>
      </w:pPr>
    </w:p>
    <w:p w14:paraId="4D1FE37C">
      <w:pPr>
        <w:widowControl/>
        <w:jc w:val="left"/>
        <w:rPr>
          <w:rFonts w:hint="eastAsia" w:asciiTheme="majorEastAsia" w:hAnsiTheme="majorEastAsia" w:eastAsiaTheme="majorEastAsia" w:cstheme="majorEastAsia"/>
          <w:color w:val="000000"/>
          <w:kern w:val="0"/>
          <w:sz w:val="21"/>
          <w:szCs w:val="21"/>
        </w:rPr>
      </w:pPr>
    </w:p>
    <w:p w14:paraId="4E2952AC">
      <w:pPr>
        <w:widowControl/>
        <w:jc w:val="left"/>
        <w:rPr>
          <w:rFonts w:hint="eastAsia" w:asciiTheme="majorEastAsia" w:hAnsiTheme="majorEastAsia" w:eastAsiaTheme="majorEastAsia" w:cstheme="majorEastAsia"/>
          <w:color w:val="000000"/>
          <w:kern w:val="0"/>
          <w:sz w:val="21"/>
          <w:szCs w:val="21"/>
        </w:rPr>
      </w:pPr>
    </w:p>
    <w:p w14:paraId="675DA94E">
      <w:pPr>
        <w:widowControl/>
        <w:jc w:val="left"/>
        <w:rPr>
          <w:rFonts w:hint="eastAsia" w:asciiTheme="majorEastAsia" w:hAnsiTheme="majorEastAsia" w:eastAsiaTheme="majorEastAsia" w:cstheme="majorEastAsia"/>
          <w:color w:val="000000"/>
          <w:kern w:val="0"/>
          <w:sz w:val="21"/>
          <w:szCs w:val="21"/>
        </w:rPr>
      </w:pPr>
    </w:p>
    <w:p w14:paraId="47A6F7AD">
      <w:pPr>
        <w:widowControl/>
        <w:jc w:val="left"/>
        <w:rPr>
          <w:rFonts w:hint="eastAsia" w:asciiTheme="majorEastAsia" w:hAnsiTheme="majorEastAsia" w:eastAsiaTheme="majorEastAsia" w:cstheme="majorEastAsia"/>
          <w:color w:val="000000"/>
          <w:kern w:val="0"/>
          <w:sz w:val="21"/>
          <w:szCs w:val="21"/>
        </w:rPr>
      </w:pPr>
    </w:p>
    <w:p w14:paraId="6C61FA84">
      <w:pPr>
        <w:widowControl/>
        <w:jc w:val="left"/>
        <w:rPr>
          <w:rFonts w:hint="eastAsia" w:asciiTheme="majorEastAsia" w:hAnsiTheme="majorEastAsia" w:eastAsiaTheme="majorEastAsia" w:cstheme="majorEastAsia"/>
          <w:color w:val="000000"/>
          <w:kern w:val="0"/>
          <w:sz w:val="21"/>
          <w:szCs w:val="21"/>
        </w:rPr>
      </w:pPr>
    </w:p>
    <w:p w14:paraId="1AEC94E8">
      <w:pPr>
        <w:widowControl/>
        <w:jc w:val="left"/>
        <w:rPr>
          <w:rFonts w:hint="eastAsia" w:asciiTheme="majorEastAsia" w:hAnsiTheme="majorEastAsia" w:eastAsiaTheme="majorEastAsia" w:cstheme="majorEastAsia"/>
          <w:color w:val="000000"/>
          <w:kern w:val="0"/>
          <w:sz w:val="21"/>
          <w:szCs w:val="21"/>
        </w:rPr>
      </w:pPr>
    </w:p>
    <w:p w14:paraId="05A39E30">
      <w:pPr>
        <w:widowControl/>
        <w:jc w:val="left"/>
        <w:rPr>
          <w:rFonts w:hint="eastAsia" w:asciiTheme="majorEastAsia" w:hAnsiTheme="majorEastAsia" w:eastAsiaTheme="majorEastAsia" w:cstheme="majorEastAsia"/>
          <w:color w:val="000000"/>
          <w:kern w:val="0"/>
          <w:sz w:val="21"/>
          <w:szCs w:val="21"/>
        </w:rPr>
      </w:pPr>
    </w:p>
    <w:p w14:paraId="70F892D1">
      <w:pPr>
        <w:widowControl/>
        <w:jc w:val="left"/>
        <w:rPr>
          <w:rFonts w:hint="eastAsia" w:asciiTheme="majorEastAsia" w:hAnsiTheme="majorEastAsia" w:eastAsiaTheme="majorEastAsia" w:cstheme="majorEastAsia"/>
          <w:color w:val="000000"/>
          <w:kern w:val="0"/>
          <w:sz w:val="21"/>
          <w:szCs w:val="21"/>
        </w:rPr>
      </w:pPr>
    </w:p>
    <w:tbl>
      <w:tblPr>
        <w:tblStyle w:val="11"/>
        <w:tblW w:w="140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16"/>
        <w:gridCol w:w="222"/>
        <w:gridCol w:w="222"/>
        <w:gridCol w:w="1096"/>
        <w:gridCol w:w="1493"/>
        <w:gridCol w:w="1493"/>
        <w:gridCol w:w="1493"/>
        <w:gridCol w:w="1493"/>
        <w:gridCol w:w="1493"/>
        <w:gridCol w:w="1616"/>
      </w:tblGrid>
      <w:tr w14:paraId="2FD52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trPr>
        <w:tc>
          <w:tcPr>
            <w:tcW w:w="14036" w:type="dxa"/>
            <w:gridSpan w:val="10"/>
            <w:tcBorders>
              <w:top w:val="nil"/>
              <w:left w:val="nil"/>
              <w:bottom w:val="nil"/>
              <w:right w:val="nil"/>
            </w:tcBorders>
            <w:shd w:val="clear" w:color="auto" w:fill="auto"/>
            <w:noWrap/>
            <w:vAlign w:val="center"/>
          </w:tcPr>
          <w:p w14:paraId="7075E745">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4CC1D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tcBorders>
              <w:top w:val="nil"/>
              <w:left w:val="nil"/>
              <w:bottom w:val="nil"/>
              <w:right w:val="nil"/>
            </w:tcBorders>
            <w:shd w:val="clear" w:color="auto" w:fill="auto"/>
            <w:noWrap/>
            <w:vAlign w:val="center"/>
          </w:tcPr>
          <w:p w14:paraId="1086282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4B3D44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43290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D34277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340132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6E3FA2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693A22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E0A56B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6E56CF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A38D83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2700C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tcBorders>
              <w:top w:val="nil"/>
              <w:left w:val="nil"/>
              <w:bottom w:val="nil"/>
              <w:right w:val="nil"/>
            </w:tcBorders>
            <w:shd w:val="clear" w:color="auto" w:fill="auto"/>
            <w:noWrap/>
            <w:vAlign w:val="bottom"/>
          </w:tcPr>
          <w:p w14:paraId="012091D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w:t>
            </w:r>
          </w:p>
        </w:tc>
        <w:tc>
          <w:tcPr>
            <w:tcW w:w="0" w:type="auto"/>
            <w:tcBorders>
              <w:top w:val="nil"/>
              <w:left w:val="nil"/>
              <w:bottom w:val="nil"/>
              <w:right w:val="nil"/>
            </w:tcBorders>
            <w:shd w:val="clear" w:color="auto" w:fill="auto"/>
            <w:noWrap/>
            <w:vAlign w:val="center"/>
          </w:tcPr>
          <w:p w14:paraId="479477C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E00BB6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B78868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3E303E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C0C13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8EEC67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A235D5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78735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6B77A7F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45B5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8FD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64D0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B6B5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45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0625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F51E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687DD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38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14FE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A5D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1917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09CB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D7AF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A344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9E13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C4E9B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6CFF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38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D958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7D11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4DFF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1D1E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3F10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2A6F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04BF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26E67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6FFC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38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497E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23BC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5FEF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D645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D1EE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1C6D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5105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2AD6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87F4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C3D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80C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D72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703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6E8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D3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7F5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2613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04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B94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88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B87F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876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9CE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BB7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14:paraId="643C6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F4C0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0246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E53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DB3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1DF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733E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5929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98FF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E047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7" w:hRule="atLeast"/>
        </w:trPr>
        <w:tc>
          <w:tcPr>
            <w:tcW w:w="0" w:type="auto"/>
            <w:gridSpan w:val="10"/>
            <w:tcBorders>
              <w:top w:val="nil"/>
              <w:left w:val="nil"/>
              <w:bottom w:val="nil"/>
              <w:right w:val="nil"/>
            </w:tcBorders>
            <w:shd w:val="clear" w:color="auto" w:fill="auto"/>
            <w:noWrap/>
            <w:vAlign w:val="center"/>
          </w:tcPr>
          <w:p w14:paraId="6F2713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p w14:paraId="68141B95">
            <w:pPr>
              <w:pStyle w:val="9"/>
              <w:keepNext w:val="0"/>
              <w:keepLines w:val="0"/>
              <w:suppressLineNumbers w:val="0"/>
              <w:spacing w:before="0" w:beforeAutospacing="0" w:after="0" w:afterAutospacing="0"/>
              <w:ind w:left="0" w:right="0"/>
              <w:rPr>
                <w:rFonts w:hint="eastAsia" w:ascii="宋体" w:hAnsi="宋体" w:eastAsia="宋体" w:cs="宋体"/>
                <w:i w:val="0"/>
                <w:iCs w:val="0"/>
                <w:color w:val="000000"/>
                <w:kern w:val="0"/>
                <w:sz w:val="22"/>
                <w:szCs w:val="22"/>
                <w:u w:val="none"/>
                <w:lang w:val="en-US" w:eastAsia="zh-CN" w:bidi="ar"/>
              </w:rPr>
            </w:pPr>
          </w:p>
          <w:p w14:paraId="7FE467C0">
            <w:pPr>
              <w:pStyle w:val="5"/>
              <w:keepNext w:val="0"/>
              <w:keepLines w:val="0"/>
              <w:suppressLineNumbers w:val="0"/>
              <w:spacing w:before="0" w:beforeAutospacing="0" w:afterAutospacing="0"/>
              <w:ind w:left="0" w:leftChars="0" w:right="0" w:firstLine="0" w:firstLineChars="0"/>
              <w:rPr>
                <w:rFonts w:hint="eastAsia"/>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43F5E753">
      <w:pPr>
        <w:widowControl/>
        <w:jc w:val="left"/>
        <w:rPr>
          <w:rFonts w:hint="eastAsia" w:asciiTheme="majorEastAsia" w:hAnsiTheme="majorEastAsia" w:eastAsiaTheme="majorEastAsia" w:cstheme="majorEastAsia"/>
          <w:color w:val="000000"/>
          <w:kern w:val="0"/>
          <w:sz w:val="21"/>
          <w:szCs w:val="21"/>
        </w:rPr>
      </w:pPr>
    </w:p>
    <w:p w14:paraId="149F78E7">
      <w:pPr>
        <w:widowControl/>
        <w:jc w:val="left"/>
        <w:rPr>
          <w:rFonts w:hint="eastAsia" w:asciiTheme="majorEastAsia" w:hAnsiTheme="majorEastAsia" w:eastAsiaTheme="majorEastAsia" w:cstheme="majorEastAsia"/>
          <w:color w:val="000000"/>
          <w:kern w:val="0"/>
          <w:sz w:val="21"/>
          <w:szCs w:val="21"/>
        </w:rPr>
      </w:pPr>
    </w:p>
    <w:p w14:paraId="1FABD239">
      <w:pPr>
        <w:widowControl/>
        <w:jc w:val="left"/>
        <w:rPr>
          <w:rFonts w:hint="eastAsia" w:asciiTheme="majorEastAsia" w:hAnsiTheme="majorEastAsia" w:eastAsiaTheme="majorEastAsia" w:cstheme="majorEastAsia"/>
          <w:color w:val="000000"/>
          <w:kern w:val="0"/>
          <w:sz w:val="21"/>
          <w:szCs w:val="21"/>
        </w:rPr>
      </w:pPr>
    </w:p>
    <w:p w14:paraId="62F3EC1D">
      <w:pPr>
        <w:widowControl/>
        <w:jc w:val="left"/>
        <w:rPr>
          <w:rFonts w:hint="eastAsia" w:asciiTheme="majorEastAsia" w:hAnsiTheme="majorEastAsia" w:eastAsiaTheme="majorEastAsia" w:cstheme="majorEastAsia"/>
          <w:color w:val="000000"/>
          <w:kern w:val="0"/>
          <w:sz w:val="21"/>
          <w:szCs w:val="21"/>
        </w:rPr>
      </w:pPr>
    </w:p>
    <w:p w14:paraId="4A3CBDE1">
      <w:pPr>
        <w:widowControl/>
        <w:jc w:val="left"/>
        <w:rPr>
          <w:rFonts w:hint="eastAsia" w:asciiTheme="majorEastAsia" w:hAnsiTheme="majorEastAsia" w:eastAsiaTheme="majorEastAsia" w:cstheme="majorEastAsia"/>
          <w:color w:val="000000"/>
          <w:kern w:val="0"/>
          <w:sz w:val="21"/>
          <w:szCs w:val="21"/>
        </w:rPr>
      </w:pPr>
    </w:p>
    <w:p w14:paraId="7CDD4530">
      <w:pPr>
        <w:widowControl/>
        <w:jc w:val="left"/>
        <w:rPr>
          <w:rFonts w:hint="eastAsia" w:asciiTheme="majorEastAsia" w:hAnsiTheme="majorEastAsia" w:eastAsiaTheme="majorEastAsia" w:cstheme="majorEastAsia"/>
          <w:color w:val="000000"/>
          <w:kern w:val="0"/>
          <w:sz w:val="21"/>
          <w:szCs w:val="21"/>
        </w:rPr>
      </w:pPr>
    </w:p>
    <w:p w14:paraId="41419743">
      <w:pPr>
        <w:widowControl/>
        <w:jc w:val="left"/>
        <w:rPr>
          <w:rFonts w:hint="eastAsia" w:asciiTheme="majorEastAsia" w:hAnsiTheme="majorEastAsia" w:eastAsiaTheme="majorEastAsia" w:cstheme="majorEastAsia"/>
          <w:color w:val="000000"/>
          <w:kern w:val="0"/>
          <w:sz w:val="21"/>
          <w:szCs w:val="21"/>
        </w:rPr>
      </w:pPr>
    </w:p>
    <w:p w14:paraId="1D61CAA2">
      <w:pPr>
        <w:widowControl/>
        <w:jc w:val="left"/>
        <w:rPr>
          <w:rFonts w:hint="eastAsia" w:asciiTheme="majorEastAsia" w:hAnsiTheme="majorEastAsia" w:eastAsiaTheme="majorEastAsia" w:cstheme="majorEastAsia"/>
          <w:color w:val="000000"/>
          <w:kern w:val="0"/>
          <w:sz w:val="21"/>
          <w:szCs w:val="21"/>
        </w:rPr>
      </w:pPr>
    </w:p>
    <w:p w14:paraId="1ED17C62">
      <w:pPr>
        <w:widowControl/>
        <w:jc w:val="left"/>
        <w:rPr>
          <w:rFonts w:hint="eastAsia" w:asciiTheme="majorEastAsia" w:hAnsiTheme="majorEastAsia" w:eastAsiaTheme="majorEastAsia" w:cstheme="majorEastAsia"/>
          <w:color w:val="000000"/>
          <w:kern w:val="0"/>
          <w:sz w:val="21"/>
          <w:szCs w:val="21"/>
        </w:r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93"/>
        <w:gridCol w:w="2516"/>
        <w:gridCol w:w="2467"/>
        <w:gridCol w:w="2640"/>
        <w:gridCol w:w="2911"/>
      </w:tblGrid>
      <w:tr w14:paraId="4E190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3" w:hRule="atLeast"/>
        </w:trPr>
        <w:tc>
          <w:tcPr>
            <w:tcW w:w="14127" w:type="dxa"/>
            <w:gridSpan w:val="5"/>
            <w:tcBorders>
              <w:top w:val="nil"/>
              <w:left w:val="nil"/>
              <w:bottom w:val="nil"/>
              <w:right w:val="nil"/>
            </w:tcBorders>
            <w:shd w:val="clear" w:color="auto" w:fill="auto"/>
            <w:noWrap/>
            <w:vAlign w:val="center"/>
          </w:tcPr>
          <w:p w14:paraId="3ED2AFAE">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47DE9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trPr>
        <w:tc>
          <w:tcPr>
            <w:tcW w:w="8576" w:type="dxa"/>
            <w:gridSpan w:val="3"/>
            <w:tcBorders>
              <w:top w:val="nil"/>
              <w:left w:val="nil"/>
              <w:bottom w:val="nil"/>
              <w:right w:val="nil"/>
            </w:tcBorders>
            <w:shd w:val="clear" w:color="auto" w:fill="auto"/>
            <w:noWrap/>
            <w:vAlign w:val="center"/>
          </w:tcPr>
          <w:p w14:paraId="34D1A50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0" w:type="dxa"/>
            <w:tcBorders>
              <w:top w:val="nil"/>
              <w:left w:val="nil"/>
              <w:bottom w:val="nil"/>
              <w:right w:val="nil"/>
            </w:tcBorders>
            <w:shd w:val="clear" w:color="auto" w:fill="auto"/>
            <w:noWrap/>
            <w:vAlign w:val="center"/>
          </w:tcPr>
          <w:p w14:paraId="24F5E1C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911" w:type="dxa"/>
            <w:tcBorders>
              <w:top w:val="nil"/>
              <w:left w:val="nil"/>
              <w:bottom w:val="nil"/>
              <w:right w:val="nil"/>
            </w:tcBorders>
            <w:shd w:val="clear" w:color="auto" w:fill="auto"/>
            <w:noWrap/>
            <w:vAlign w:val="bottom"/>
          </w:tcPr>
          <w:p w14:paraId="0CEC9321">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1C110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trPr>
        <w:tc>
          <w:tcPr>
            <w:tcW w:w="11216" w:type="dxa"/>
            <w:gridSpan w:val="4"/>
            <w:tcBorders>
              <w:top w:val="nil"/>
              <w:left w:val="nil"/>
              <w:bottom w:val="nil"/>
              <w:right w:val="nil"/>
            </w:tcBorders>
            <w:shd w:val="clear" w:color="auto" w:fill="auto"/>
            <w:noWrap/>
            <w:vAlign w:val="bottom"/>
          </w:tcPr>
          <w:p w14:paraId="64699C8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w:t>
            </w:r>
          </w:p>
        </w:tc>
        <w:tc>
          <w:tcPr>
            <w:tcW w:w="2911" w:type="dxa"/>
            <w:tcBorders>
              <w:top w:val="nil"/>
              <w:left w:val="nil"/>
              <w:bottom w:val="nil"/>
              <w:right w:val="nil"/>
            </w:tcBorders>
            <w:shd w:val="clear" w:color="auto" w:fill="auto"/>
            <w:noWrap/>
            <w:vAlign w:val="bottom"/>
          </w:tcPr>
          <w:p w14:paraId="2809B932">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6936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61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04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0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AC5F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A881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35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646B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5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0A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E3FF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6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9545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62DF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538C0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3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D11F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2AC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9467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E744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8113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E411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2AA9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39CA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76CD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DC87E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B8BA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189A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61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449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B3D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15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A44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1A576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61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EE0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7D22E">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CA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2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C7F2A">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212F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3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C115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9786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4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1A88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96D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4573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0609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14127" w:type="dxa"/>
            <w:gridSpan w:val="5"/>
            <w:tcBorders>
              <w:top w:val="nil"/>
              <w:left w:val="nil"/>
              <w:bottom w:val="nil"/>
              <w:right w:val="nil"/>
            </w:tcBorders>
            <w:shd w:val="clear" w:color="auto" w:fill="auto"/>
            <w:noWrap/>
            <w:vAlign w:val="center"/>
          </w:tcPr>
          <w:p w14:paraId="0E685F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p w14:paraId="1CACA980">
            <w:pPr>
              <w:pStyle w:val="9"/>
              <w:keepNext w:val="0"/>
              <w:keepLines w:val="0"/>
              <w:suppressLineNumbers w:val="0"/>
              <w:spacing w:before="0" w:beforeAutospacing="0" w:after="0" w:afterAutospacing="0"/>
              <w:ind w:left="0" w:right="0"/>
              <w:rPr>
                <w:rFonts w:hint="eastAsia" w:ascii="宋体" w:hAnsi="宋体" w:eastAsia="宋体" w:cs="宋体"/>
                <w:i w:val="0"/>
                <w:iCs w:val="0"/>
                <w:color w:val="000000"/>
                <w:kern w:val="0"/>
                <w:sz w:val="22"/>
                <w:szCs w:val="22"/>
                <w:u w:val="none"/>
                <w:lang w:val="en-US" w:eastAsia="zh-CN" w:bidi="ar"/>
              </w:rPr>
            </w:pPr>
          </w:p>
          <w:p w14:paraId="2E7B2C87">
            <w:pPr>
              <w:pStyle w:val="5"/>
              <w:keepNext w:val="0"/>
              <w:keepLines w:val="0"/>
              <w:suppressLineNumbers w:val="0"/>
              <w:spacing w:before="0" w:beforeAutospacing="0" w:afterAutospacing="0"/>
              <w:ind w:left="0" w:leftChars="0" w:right="0" w:firstLine="0" w:firstLineChars="0"/>
              <w:rPr>
                <w:rFonts w:hint="eastAsia"/>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261CFF83">
      <w:pPr>
        <w:widowControl/>
        <w:jc w:val="both"/>
        <w:rPr>
          <w:rFonts w:hint="eastAsia" w:ascii="Times New Roman" w:hAnsi="Times New Roman" w:eastAsia="方正小标宋_GBK" w:cs="Times New Roman"/>
          <w:color w:val="000000"/>
          <w:kern w:val="0"/>
          <w:sz w:val="36"/>
          <w:szCs w:val="36"/>
        </w:rPr>
      </w:pPr>
    </w:p>
    <w:p w14:paraId="7F3C578D">
      <w:pPr>
        <w:widowControl/>
        <w:jc w:val="center"/>
        <w:rPr>
          <w:rFonts w:hint="eastAsia" w:ascii="Times New Roman" w:hAnsi="Times New Roman" w:eastAsia="方正小标宋_GBK" w:cs="Times New Roman"/>
          <w:color w:val="000000"/>
          <w:kern w:val="0"/>
          <w:sz w:val="36"/>
          <w:szCs w:val="36"/>
        </w:rPr>
      </w:pPr>
    </w:p>
    <w:tbl>
      <w:tblPr>
        <w:tblStyle w:val="11"/>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2"/>
        <w:gridCol w:w="1221"/>
        <w:gridCol w:w="1434"/>
        <w:gridCol w:w="1221"/>
        <w:gridCol w:w="1465"/>
        <w:gridCol w:w="1009"/>
        <w:gridCol w:w="911"/>
        <w:gridCol w:w="1352"/>
        <w:gridCol w:w="685"/>
        <w:gridCol w:w="1008"/>
        <w:gridCol w:w="1016"/>
        <w:gridCol w:w="1146"/>
      </w:tblGrid>
      <w:tr w14:paraId="17328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13860" w:type="dxa"/>
            <w:gridSpan w:val="12"/>
            <w:tcBorders>
              <w:top w:val="nil"/>
              <w:left w:val="nil"/>
              <w:bottom w:val="nil"/>
              <w:right w:val="nil"/>
            </w:tcBorders>
            <w:shd w:val="clear" w:color="auto" w:fill="auto"/>
            <w:noWrap/>
            <w:vAlign w:val="center"/>
          </w:tcPr>
          <w:p w14:paraId="4ACE667E">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53030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392" w:type="dxa"/>
            <w:tcBorders>
              <w:top w:val="nil"/>
              <w:left w:val="nil"/>
              <w:bottom w:val="nil"/>
              <w:right w:val="nil"/>
            </w:tcBorders>
            <w:shd w:val="clear" w:color="auto" w:fill="auto"/>
            <w:noWrap/>
            <w:vAlign w:val="center"/>
          </w:tcPr>
          <w:p w14:paraId="4A987749">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55" w:type="dxa"/>
            <w:gridSpan w:val="2"/>
            <w:tcBorders>
              <w:top w:val="nil"/>
              <w:left w:val="nil"/>
              <w:bottom w:val="nil"/>
              <w:right w:val="nil"/>
            </w:tcBorders>
            <w:shd w:val="clear" w:color="auto" w:fill="auto"/>
            <w:noWrap/>
            <w:vAlign w:val="center"/>
          </w:tcPr>
          <w:p w14:paraId="035C245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21" w:type="dxa"/>
            <w:tcBorders>
              <w:top w:val="nil"/>
              <w:left w:val="nil"/>
              <w:bottom w:val="nil"/>
              <w:right w:val="nil"/>
            </w:tcBorders>
            <w:shd w:val="clear" w:color="auto" w:fill="auto"/>
            <w:noWrap/>
            <w:vAlign w:val="center"/>
          </w:tcPr>
          <w:p w14:paraId="6E9DF5F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465" w:type="dxa"/>
            <w:tcBorders>
              <w:top w:val="nil"/>
              <w:left w:val="nil"/>
              <w:bottom w:val="nil"/>
              <w:right w:val="nil"/>
            </w:tcBorders>
            <w:shd w:val="clear" w:color="auto" w:fill="auto"/>
            <w:noWrap/>
            <w:vAlign w:val="center"/>
          </w:tcPr>
          <w:p w14:paraId="4E1F4BA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9" w:type="dxa"/>
            <w:tcBorders>
              <w:top w:val="nil"/>
              <w:left w:val="nil"/>
              <w:bottom w:val="nil"/>
              <w:right w:val="nil"/>
            </w:tcBorders>
            <w:shd w:val="clear" w:color="auto" w:fill="auto"/>
            <w:noWrap/>
            <w:vAlign w:val="center"/>
          </w:tcPr>
          <w:p w14:paraId="685095A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11" w:type="dxa"/>
            <w:tcBorders>
              <w:top w:val="nil"/>
              <w:left w:val="nil"/>
              <w:bottom w:val="nil"/>
              <w:right w:val="nil"/>
            </w:tcBorders>
            <w:shd w:val="clear" w:color="auto" w:fill="auto"/>
            <w:noWrap/>
            <w:vAlign w:val="center"/>
          </w:tcPr>
          <w:p w14:paraId="00346C7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352" w:type="dxa"/>
            <w:tcBorders>
              <w:top w:val="nil"/>
              <w:left w:val="nil"/>
              <w:bottom w:val="nil"/>
              <w:right w:val="nil"/>
            </w:tcBorders>
            <w:shd w:val="clear" w:color="auto" w:fill="auto"/>
            <w:noWrap/>
            <w:vAlign w:val="center"/>
          </w:tcPr>
          <w:p w14:paraId="4F23E82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85" w:type="dxa"/>
            <w:tcBorders>
              <w:top w:val="nil"/>
              <w:left w:val="nil"/>
              <w:bottom w:val="nil"/>
              <w:right w:val="nil"/>
            </w:tcBorders>
            <w:shd w:val="clear" w:color="auto" w:fill="auto"/>
            <w:noWrap/>
            <w:vAlign w:val="center"/>
          </w:tcPr>
          <w:p w14:paraId="47BD73E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8" w:type="dxa"/>
            <w:tcBorders>
              <w:top w:val="nil"/>
              <w:left w:val="nil"/>
              <w:bottom w:val="nil"/>
              <w:right w:val="nil"/>
            </w:tcBorders>
            <w:shd w:val="clear" w:color="auto" w:fill="auto"/>
            <w:noWrap/>
            <w:vAlign w:val="center"/>
          </w:tcPr>
          <w:p w14:paraId="0BF6E7F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62" w:type="dxa"/>
            <w:gridSpan w:val="2"/>
            <w:tcBorders>
              <w:top w:val="nil"/>
              <w:left w:val="nil"/>
              <w:bottom w:val="nil"/>
              <w:right w:val="nil"/>
            </w:tcBorders>
            <w:shd w:val="clear" w:color="auto" w:fill="auto"/>
            <w:noWrap/>
            <w:vAlign w:val="center"/>
          </w:tcPr>
          <w:p w14:paraId="29028A26">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0EEF0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3860" w:type="dxa"/>
            <w:gridSpan w:val="12"/>
            <w:tcBorders>
              <w:top w:val="nil"/>
              <w:left w:val="nil"/>
              <w:bottom w:val="nil"/>
              <w:right w:val="nil"/>
            </w:tcBorders>
            <w:shd w:val="clear" w:color="auto" w:fill="auto"/>
            <w:noWrap/>
            <w:vAlign w:val="bottom"/>
          </w:tcPr>
          <w:p w14:paraId="40121253">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部门：湘潭县城市管理和综合执法局                                                                                           金额单位：万元</w:t>
            </w:r>
          </w:p>
        </w:tc>
      </w:tr>
      <w:tr w14:paraId="5388A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74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AE6F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61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2038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37BC5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CC3D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24A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4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2D0C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0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B26A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AA4E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5B59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27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6A9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DD94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C428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8" w:hRule="atLeast"/>
        </w:trPr>
        <w:tc>
          <w:tcPr>
            <w:tcW w:w="13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C54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6971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CF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AE4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1C8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6DD77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38D9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A73F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82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1A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381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93BC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3CC7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BFC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C1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6AF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82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3E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200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65F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B6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4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5A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58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0E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054D1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2A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w:t>
            </w: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D0B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FA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BA5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85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2B1A8">
            <w:pPr>
              <w:keepNext w:val="0"/>
              <w:keepLines w:val="0"/>
              <w:suppressLineNumbers w:val="0"/>
              <w:spacing w:before="0" w:beforeAutospacing="0" w:after="0" w:afterAutospacing="0"/>
              <w:ind w:left="0" w:right="0"/>
              <w:jc w:val="righ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2.00</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98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w:t>
            </w:r>
          </w:p>
        </w:tc>
        <w:tc>
          <w:tcPr>
            <w:tcW w:w="1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8F5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E0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7180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63A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3AD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FE19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7" w:hRule="atLeast"/>
        </w:trPr>
        <w:tc>
          <w:tcPr>
            <w:tcW w:w="13860" w:type="dxa"/>
            <w:gridSpan w:val="12"/>
            <w:tcBorders>
              <w:top w:val="nil"/>
              <w:left w:val="nil"/>
              <w:bottom w:val="nil"/>
              <w:right w:val="nil"/>
            </w:tcBorders>
            <w:shd w:val="clear" w:color="auto" w:fill="auto"/>
            <w:vAlign w:val="center"/>
          </w:tcPr>
          <w:p w14:paraId="01924D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17FE61B">
      <w:pPr>
        <w:widowControl/>
        <w:jc w:val="center"/>
        <w:rPr>
          <w:rFonts w:hint="eastAsia" w:ascii="Times New Roman" w:hAnsi="Times New Roman" w:eastAsia="方正小标宋_GBK" w:cs="Times New Roman"/>
          <w:color w:val="000000"/>
          <w:kern w:val="0"/>
          <w:sz w:val="36"/>
          <w:szCs w:val="36"/>
        </w:rPr>
      </w:pPr>
    </w:p>
    <w:p w14:paraId="731FD64C">
      <w:pPr>
        <w:pStyle w:val="9"/>
        <w:rPr>
          <w:rFonts w:hint="eastAsia" w:ascii="Times New Roman" w:hAnsi="Times New Roman" w:eastAsia="方正小标宋_GBK" w:cs="Times New Roman"/>
          <w:color w:val="000000"/>
          <w:kern w:val="0"/>
          <w:sz w:val="36"/>
          <w:szCs w:val="36"/>
        </w:rPr>
      </w:pPr>
    </w:p>
    <w:p w14:paraId="6759152C">
      <w:pPr>
        <w:pStyle w:val="5"/>
        <w:rPr>
          <w:rFonts w:hint="eastAsia" w:ascii="Times New Roman" w:hAnsi="Times New Roman" w:eastAsia="方正小标宋_GBK" w:cs="Times New Roman"/>
          <w:color w:val="000000"/>
          <w:kern w:val="0"/>
          <w:sz w:val="36"/>
          <w:szCs w:val="36"/>
        </w:rPr>
      </w:pPr>
    </w:p>
    <w:p w14:paraId="0522557C">
      <w:pPr>
        <w:rPr>
          <w:rFonts w:hint="eastAsia" w:ascii="Times New Roman" w:hAnsi="Times New Roman" w:eastAsia="方正小标宋_GBK" w:cs="Times New Roman"/>
          <w:color w:val="000000"/>
          <w:kern w:val="0"/>
          <w:sz w:val="36"/>
          <w:szCs w:val="36"/>
        </w:rPr>
        <w:sectPr>
          <w:pgSz w:w="16838" w:h="11906" w:orient="landscape"/>
          <w:pgMar w:top="1587" w:right="1417" w:bottom="1587" w:left="1417" w:header="851" w:footer="992" w:gutter="0"/>
          <w:cols w:space="0" w:num="1"/>
          <w:rtlGutter w:val="0"/>
          <w:docGrid w:type="lines" w:linePitch="323" w:charSpace="0"/>
        </w:sectPr>
      </w:pPr>
    </w:p>
    <w:p w14:paraId="7EE3AA98">
      <w:pPr>
        <w:pStyle w:val="15"/>
        <w:jc w:val="center"/>
        <w:rPr>
          <w:rFonts w:hint="eastAsia" w:ascii="方正小标宋_GBK" w:hAnsi="方正小标宋_GBK" w:eastAsia="方正小标宋_GBK" w:cs="方正小标宋_GBK"/>
          <w:sz w:val="72"/>
          <w:szCs w:val="72"/>
        </w:rPr>
      </w:pPr>
    </w:p>
    <w:p w14:paraId="46430910">
      <w:pPr>
        <w:pStyle w:val="15"/>
        <w:jc w:val="center"/>
        <w:rPr>
          <w:rFonts w:hint="eastAsia" w:ascii="方正小标宋_GBK" w:hAnsi="方正小标宋_GBK" w:eastAsia="方正小标宋_GBK" w:cs="方正小标宋_GBK"/>
          <w:sz w:val="72"/>
          <w:szCs w:val="72"/>
        </w:rPr>
      </w:pPr>
    </w:p>
    <w:p w14:paraId="656F5CC0">
      <w:pPr>
        <w:pStyle w:val="15"/>
        <w:jc w:val="center"/>
        <w:rPr>
          <w:rFonts w:hint="eastAsia" w:ascii="方正小标宋_GBK" w:hAnsi="方正小标宋_GBK" w:eastAsia="方正小标宋_GBK" w:cs="方正小标宋_GBK"/>
          <w:sz w:val="72"/>
          <w:szCs w:val="72"/>
        </w:rPr>
      </w:pPr>
    </w:p>
    <w:p w14:paraId="35DEDED3">
      <w:pPr>
        <w:pStyle w:val="15"/>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第三部分</w:t>
      </w:r>
    </w:p>
    <w:p w14:paraId="3B75292C">
      <w:pPr>
        <w:pStyle w:val="15"/>
        <w:jc w:val="center"/>
        <w:rPr>
          <w:rFonts w:hint="eastAsia" w:ascii="方正小标宋_GBK" w:hAnsi="方正小标宋_GBK" w:eastAsia="方正小标宋_GBK" w:cs="方正小标宋_GBK"/>
          <w:sz w:val="70"/>
          <w:szCs w:val="70"/>
        </w:rPr>
      </w:pPr>
    </w:p>
    <w:p w14:paraId="0B8A1971">
      <w:pPr>
        <w:pStyle w:val="15"/>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年度部门决算情况说明</w:t>
      </w:r>
    </w:p>
    <w:p w14:paraId="3ECCA10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BD0333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CD68FA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0000FF"/>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11,163.72</w:t>
      </w:r>
      <w:r>
        <w:rPr>
          <w:rFonts w:hint="eastAsia" w:ascii="Times New Roman" w:hAnsi="Times New Roman" w:eastAsia="仿宋_GB2312"/>
          <w:sz w:val="32"/>
          <w:szCs w:val="32"/>
        </w:rPr>
        <w:t>万元（收入总计含年初结转和结余资金</w:t>
      </w:r>
      <w:r>
        <w:rPr>
          <w:rFonts w:hint="eastAsia" w:ascii="Times New Roman" w:hAnsi="Times New Roman" w:eastAsia="仿宋_GB2312"/>
          <w:sz w:val="32"/>
          <w:szCs w:val="32"/>
          <w:lang w:val="en-US" w:eastAsia="zh-CN"/>
        </w:rPr>
        <w:t>220.85</w:t>
      </w:r>
      <w:r>
        <w:rPr>
          <w:rFonts w:hint="eastAsia" w:ascii="Times New Roman" w:hAnsi="Times New Roman" w:eastAsia="仿宋_GB2312"/>
          <w:sz w:val="32"/>
          <w:szCs w:val="32"/>
        </w:rPr>
        <w:t>万元；支出总计含年末结转和结余资金</w:t>
      </w:r>
      <w:r>
        <w:rPr>
          <w:rFonts w:hint="eastAsia" w:ascii="Times New Roman" w:hAnsi="Times New Roman" w:eastAsia="仿宋_GB2312"/>
          <w:sz w:val="32"/>
          <w:szCs w:val="32"/>
          <w:lang w:val="en-US" w:eastAsia="zh-CN"/>
        </w:rPr>
        <w:t>183.33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w:t>
      </w:r>
      <w:r>
        <w:rPr>
          <w:rFonts w:hint="eastAsia" w:ascii="仿宋" w:hAnsi="仿宋" w:eastAsia="仿宋" w:cs="仿宋"/>
          <w:sz w:val="32"/>
          <w:szCs w:val="32"/>
        </w:rPr>
        <w:t>相比，</w:t>
      </w:r>
      <w:r>
        <w:rPr>
          <w:rFonts w:hint="eastAsia" w:ascii="仿宋" w:hAnsi="仿宋" w:eastAsia="仿宋" w:cs="仿宋"/>
          <w:sz w:val="32"/>
          <w:szCs w:val="32"/>
          <w:lang w:eastAsia="zh-CN"/>
        </w:rPr>
        <w:t>增加</w:t>
      </w:r>
      <w:r>
        <w:rPr>
          <w:rFonts w:hint="eastAsia" w:ascii="Times New Roman" w:hAnsi="Times New Roman" w:eastAsia="仿宋_GB2312"/>
          <w:sz w:val="32"/>
          <w:szCs w:val="32"/>
          <w:lang w:val="en-US" w:eastAsia="zh-CN"/>
        </w:rPr>
        <w:t>488.42万</w:t>
      </w:r>
      <w:r>
        <w:rPr>
          <w:rFonts w:hint="eastAsia" w:ascii="Times New Roman" w:hAnsi="Times New Roman" w:eastAsia="仿宋_GB2312"/>
          <w:sz w:val="32"/>
          <w:szCs w:val="32"/>
        </w:rPr>
        <w:t>元，</w:t>
      </w:r>
      <w:r>
        <w:rPr>
          <w:rFonts w:hint="eastAsia" w:ascii="Times New Roman" w:hAnsi="Times New Roman" w:eastAsia="仿宋_GB2312"/>
          <w:sz w:val="32"/>
          <w:szCs w:val="32"/>
          <w:lang w:eastAsia="zh-CN"/>
        </w:rPr>
        <w:t>增长</w:t>
      </w:r>
      <w:r>
        <w:rPr>
          <w:rFonts w:hint="eastAsia" w:ascii="Times New Roman" w:hAnsi="Times New Roman" w:eastAsia="仿宋_GB2312"/>
          <w:sz w:val="32"/>
          <w:szCs w:val="32"/>
          <w:lang w:val="en-US" w:eastAsia="zh-CN"/>
        </w:rPr>
        <w:t>4.58</w:t>
      </w:r>
      <w:r>
        <w:rPr>
          <w:rFonts w:hint="eastAsia" w:ascii="Times New Roman" w:hAnsi="Times New Roman" w:eastAsia="仿宋_GB2312"/>
          <w:sz w:val="32"/>
          <w:szCs w:val="32"/>
        </w:rPr>
        <w:t>%，主要是燃气事务中心</w:t>
      </w:r>
      <w:r>
        <w:rPr>
          <w:rFonts w:hint="eastAsia" w:ascii="Times New Roman" w:hAnsi="Times New Roman" w:eastAsia="仿宋_GB2312"/>
          <w:sz w:val="32"/>
          <w:szCs w:val="32"/>
          <w:lang w:val="en-US" w:eastAsia="zh-CN"/>
        </w:rPr>
        <w:t>职能划转至我局，人员经费增加以及部分</w:t>
      </w:r>
      <w:r>
        <w:rPr>
          <w:rFonts w:hint="eastAsia" w:ascii="华文仿宋" w:hAnsi="华文仿宋" w:eastAsia="华文仿宋" w:cs="华文仿宋"/>
          <w:color w:val="000000"/>
          <w:kern w:val="0"/>
          <w:sz w:val="32"/>
          <w:szCs w:val="32"/>
        </w:rPr>
        <w:t>项目经</w:t>
      </w:r>
      <w:r>
        <w:rPr>
          <w:rFonts w:hint="eastAsia" w:ascii="Times New Roman" w:hAnsi="Times New Roman" w:eastAsia="仿宋_GB2312"/>
          <w:sz w:val="32"/>
          <w:szCs w:val="32"/>
          <w:lang w:val="en-US" w:eastAsia="zh-CN"/>
        </w:rPr>
        <w:t>费增加。</w:t>
      </w:r>
    </w:p>
    <w:p w14:paraId="1053E3E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71C7680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年度收入合计10,942.87万元，其中：财政拨款收入10,258.07万元，占</w:t>
      </w:r>
      <w:r>
        <w:rPr>
          <w:rFonts w:hint="eastAsia" w:ascii="Times New Roman" w:hAnsi="Times New Roman" w:eastAsia="仿宋_GB2312"/>
          <w:sz w:val="32"/>
          <w:szCs w:val="32"/>
          <w:lang w:val="en-US" w:eastAsia="zh-CN"/>
        </w:rPr>
        <w:t>93.74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%；其他收入684.80万元，占</w:t>
      </w:r>
      <w:r>
        <w:rPr>
          <w:rFonts w:hint="eastAsia" w:ascii="Times New Roman" w:hAnsi="Times New Roman" w:eastAsia="仿宋_GB2312"/>
          <w:sz w:val="32"/>
          <w:szCs w:val="32"/>
          <w:lang w:val="en-US" w:eastAsia="zh-CN"/>
        </w:rPr>
        <w:t>6.26</w:t>
      </w:r>
      <w:r>
        <w:rPr>
          <w:rFonts w:hint="eastAsia" w:ascii="Times New Roman" w:hAnsi="Times New Roman" w:eastAsia="仿宋_GB2312"/>
          <w:sz w:val="32"/>
          <w:szCs w:val="32"/>
        </w:rPr>
        <w:t>%。</w:t>
      </w:r>
    </w:p>
    <w:p w14:paraId="510AA2C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4CF05F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20</w:t>
      </w:r>
      <w:r>
        <w:rPr>
          <w:rFonts w:hint="eastAsia" w:ascii="Times New Roman" w:hAnsi="Times New Roman" w:eastAsia="仿宋_GB2312"/>
          <w:color w:val="auto"/>
          <w:sz w:val="32"/>
          <w:szCs w:val="32"/>
          <w:lang w:val="en-US" w:eastAsia="zh-CN"/>
        </w:rPr>
        <w:t>24</w:t>
      </w:r>
      <w:r>
        <w:rPr>
          <w:rFonts w:hint="eastAsia" w:ascii="Times New Roman" w:hAnsi="Times New Roman" w:eastAsia="仿宋_GB2312"/>
          <w:color w:val="auto"/>
          <w:sz w:val="32"/>
          <w:szCs w:val="32"/>
        </w:rPr>
        <w:t>年度支出合计10,980.38万元，其中：基本支出2,326.90万元，占</w:t>
      </w:r>
      <w:r>
        <w:rPr>
          <w:rFonts w:hint="eastAsia" w:ascii="Times New Roman" w:hAnsi="Times New Roman" w:eastAsia="仿宋_GB2312"/>
          <w:color w:val="auto"/>
          <w:sz w:val="32"/>
          <w:szCs w:val="32"/>
          <w:lang w:val="en-US" w:eastAsia="zh-CN"/>
        </w:rPr>
        <w:t>21.19</w:t>
      </w:r>
      <w:r>
        <w:rPr>
          <w:rFonts w:hint="eastAsia" w:ascii="Times New Roman" w:hAnsi="Times New Roman" w:eastAsia="仿宋_GB2312"/>
          <w:color w:val="auto"/>
          <w:sz w:val="32"/>
          <w:szCs w:val="32"/>
        </w:rPr>
        <w:t>%；项目支出8,653.4</w:t>
      </w:r>
      <w:r>
        <w:rPr>
          <w:rFonts w:hint="eastAsia" w:ascii="Times New Roman" w:hAnsi="Times New Roman" w:eastAsia="仿宋_GB2312"/>
          <w:color w:val="auto"/>
          <w:sz w:val="32"/>
          <w:szCs w:val="32"/>
          <w:lang w:val="en-US" w:eastAsia="zh-CN"/>
        </w:rPr>
        <w:t>8</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78.81%</w:t>
      </w:r>
      <w:r>
        <w:rPr>
          <w:rFonts w:hint="eastAsia" w:ascii="Times New Roman" w:hAnsi="Times New Roman" w:eastAsia="仿宋_GB2312"/>
          <w:color w:val="auto"/>
          <w:sz w:val="32"/>
          <w:szCs w:val="32"/>
        </w:rPr>
        <w:t>；上缴上级支出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%；经营支出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%；对附属单位补助支出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4025E1F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5A310A3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年度财政拨款收、支总计10,258.07万元，与上年相比，增加</w:t>
      </w:r>
      <w:r>
        <w:rPr>
          <w:rFonts w:hint="eastAsia" w:ascii="Times New Roman" w:hAnsi="Times New Roman" w:eastAsia="仿宋_GB2312"/>
          <w:sz w:val="32"/>
          <w:szCs w:val="32"/>
          <w:lang w:val="en-US" w:eastAsia="zh-CN"/>
        </w:rPr>
        <w:t>25.74</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增长</w:t>
      </w:r>
      <w:r>
        <w:rPr>
          <w:rFonts w:hint="eastAsia" w:ascii="Times New Roman" w:hAnsi="Times New Roman" w:eastAsia="仿宋_GB2312"/>
          <w:sz w:val="32"/>
          <w:szCs w:val="32"/>
          <w:lang w:val="en-US" w:eastAsia="zh-CN"/>
        </w:rPr>
        <w:t>0.25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支付部分往年度应付未付款。</w:t>
      </w:r>
    </w:p>
    <w:p w14:paraId="4D1D3C9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4865166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28C50EC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年度财政拨款支出10,258.07万元，占本年支出合计的</w:t>
      </w:r>
      <w:r>
        <w:rPr>
          <w:rFonts w:hint="eastAsia" w:ascii="Times New Roman" w:hAnsi="Times New Roman" w:eastAsia="仿宋_GB2312"/>
          <w:sz w:val="32"/>
          <w:szCs w:val="32"/>
          <w:lang w:val="en-US" w:eastAsia="zh-CN"/>
        </w:rPr>
        <w:t>93.42</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25.74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0.25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支付部分往年度应付未付款。</w:t>
      </w:r>
    </w:p>
    <w:p w14:paraId="41289D2E">
      <w:pPr>
        <w:pStyle w:val="15"/>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AB1E74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年度财政拨款支出10,258.07万元，主要用于以下方面：</w:t>
      </w:r>
      <w:r>
        <w:rPr>
          <w:rFonts w:hint="eastAsia" w:ascii="Times New Roman" w:hAnsi="Times New Roman" w:eastAsia="仿宋_GB2312"/>
          <w:sz w:val="32"/>
          <w:szCs w:val="32"/>
          <w:lang w:eastAsia="zh-CN"/>
        </w:rPr>
        <w:t>一般公共服务（类）支出</w:t>
      </w:r>
      <w:r>
        <w:rPr>
          <w:rFonts w:hint="eastAsia" w:ascii="Times New Roman" w:hAnsi="Times New Roman" w:eastAsia="仿宋_GB2312"/>
          <w:sz w:val="32"/>
          <w:szCs w:val="32"/>
          <w:lang w:val="en-US" w:eastAsia="zh-CN"/>
        </w:rPr>
        <w:t>10.99万元，占0.10%；</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203.63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1.99</w:t>
      </w:r>
      <w:r>
        <w:rPr>
          <w:rFonts w:hint="eastAsia" w:ascii="Times New Roman" w:hAnsi="Times New Roman" w:eastAsia="仿宋_GB2312"/>
          <w:sz w:val="32"/>
          <w:szCs w:val="32"/>
        </w:rPr>
        <w:t>%；卫生健康支出（类）支出</w:t>
      </w:r>
      <w:r>
        <w:rPr>
          <w:rFonts w:hint="eastAsia" w:ascii="Times New Roman" w:hAnsi="Times New Roman" w:eastAsia="仿宋_GB2312"/>
          <w:sz w:val="32"/>
          <w:szCs w:val="32"/>
          <w:lang w:val="en-US" w:eastAsia="zh-CN"/>
        </w:rPr>
        <w:t>102.39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%；城乡社区（类）支出</w:t>
      </w:r>
      <w:r>
        <w:rPr>
          <w:rFonts w:hint="eastAsia" w:ascii="Times New Roman" w:hAnsi="Times New Roman" w:eastAsia="仿宋_GB2312"/>
          <w:sz w:val="32"/>
          <w:szCs w:val="32"/>
          <w:lang w:val="en-US" w:eastAsia="zh-CN"/>
        </w:rPr>
        <w:t>9,734.75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94.90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农林水（类）支出</w:t>
      </w:r>
      <w:r>
        <w:rPr>
          <w:rFonts w:hint="eastAsia" w:ascii="Times New Roman" w:hAnsi="Times New Roman" w:eastAsia="仿宋_GB2312"/>
          <w:sz w:val="32"/>
          <w:szCs w:val="32"/>
          <w:lang w:val="en-US" w:eastAsia="zh-CN"/>
        </w:rPr>
        <w:t>12万元，占0.12%；</w:t>
      </w:r>
      <w:r>
        <w:rPr>
          <w:rFonts w:hint="eastAsia" w:ascii="Times New Roman" w:hAnsi="Times New Roman" w:eastAsia="仿宋_GB2312"/>
          <w:sz w:val="32"/>
          <w:szCs w:val="32"/>
          <w:lang w:eastAsia="zh-CN"/>
        </w:rPr>
        <w:t>交通运输（类）支出</w:t>
      </w:r>
      <w:r>
        <w:rPr>
          <w:rFonts w:hint="eastAsia" w:ascii="Times New Roman" w:hAnsi="Times New Roman" w:eastAsia="仿宋_GB2312"/>
          <w:sz w:val="32"/>
          <w:szCs w:val="32"/>
          <w:lang w:val="en-US" w:eastAsia="zh-CN"/>
        </w:rPr>
        <w:t>39.29万元，占0.38%；</w:t>
      </w:r>
      <w:r>
        <w:rPr>
          <w:rFonts w:hint="eastAsia" w:ascii="Times New Roman" w:hAnsi="Times New Roman" w:eastAsia="仿宋_GB2312"/>
          <w:sz w:val="32"/>
          <w:szCs w:val="32"/>
        </w:rPr>
        <w:t>住房保障支出（类）支出</w:t>
      </w:r>
      <w:r>
        <w:rPr>
          <w:rFonts w:hint="eastAsia" w:ascii="Times New Roman" w:hAnsi="Times New Roman" w:eastAsia="仿宋_GB2312"/>
          <w:sz w:val="32"/>
          <w:szCs w:val="32"/>
          <w:lang w:val="en-US" w:eastAsia="zh-CN"/>
        </w:rPr>
        <w:t>155.02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1.51</w:t>
      </w:r>
      <w:r>
        <w:rPr>
          <w:rFonts w:hint="eastAsia" w:ascii="Times New Roman" w:hAnsi="Times New Roman" w:eastAsia="仿宋_GB2312"/>
          <w:sz w:val="32"/>
          <w:szCs w:val="32"/>
        </w:rPr>
        <w:t>%。</w:t>
      </w:r>
    </w:p>
    <w:p w14:paraId="2DDED5CF">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A84F9F5">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年度财政拨款支出年初预算数为9</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208.97万元，支出决算数为10,258.07万元，完成年初预算的</w:t>
      </w:r>
      <w:r>
        <w:rPr>
          <w:rFonts w:hint="eastAsia" w:ascii="Times New Roman" w:hAnsi="Times New Roman" w:eastAsia="仿宋_GB2312"/>
          <w:sz w:val="32"/>
          <w:szCs w:val="32"/>
          <w:lang w:val="en-US" w:eastAsia="zh-CN"/>
        </w:rPr>
        <w:t>111.39</w:t>
      </w:r>
      <w:r>
        <w:rPr>
          <w:rFonts w:hint="eastAsia" w:ascii="Times New Roman" w:hAnsi="Times New Roman" w:eastAsia="仿宋_GB2312"/>
          <w:sz w:val="32"/>
          <w:szCs w:val="32"/>
        </w:rPr>
        <w:t>%，其中：</w:t>
      </w:r>
    </w:p>
    <w:p w14:paraId="3F90722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1.一般公共服务</w:t>
      </w:r>
      <w:r>
        <w:rPr>
          <w:rFonts w:hint="eastAsia" w:ascii="Times New Roman" w:hAnsi="Times New Roman" w:eastAsia="仿宋_GB2312"/>
          <w:sz w:val="32"/>
          <w:szCs w:val="32"/>
          <w:lang w:eastAsia="zh-CN"/>
        </w:rPr>
        <w:t>（类）</w:t>
      </w:r>
      <w:r>
        <w:rPr>
          <w:rFonts w:hint="eastAsia" w:ascii="Times New Roman" w:hAnsi="Times New Roman" w:eastAsia="仿宋_GB2312"/>
          <w:sz w:val="32"/>
          <w:szCs w:val="32"/>
          <w:lang w:val="en-US" w:eastAsia="zh-CN"/>
        </w:rPr>
        <w:t>信访事务</w:t>
      </w:r>
      <w:r>
        <w:rPr>
          <w:rFonts w:hint="eastAsia" w:ascii="Times New Roman" w:hAnsi="Times New Roman" w:eastAsia="仿宋_GB2312"/>
          <w:sz w:val="32"/>
          <w:szCs w:val="32"/>
          <w:lang w:eastAsia="zh-CN"/>
        </w:rPr>
        <w:t>（款）信访业务（项）。</w:t>
      </w:r>
    </w:p>
    <w:p w14:paraId="1388C93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10.99</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1706B58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社会保障和就业（类）行政事业单位养老支出（款）机关事业单位基本养老保险缴费支出（项）。</w:t>
      </w:r>
    </w:p>
    <w:p w14:paraId="5F7280C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172.27</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180.30</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104.66</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lang w:eastAsia="zh-CN"/>
        </w:rPr>
        <w:t>使用上年结转结余资金。</w:t>
      </w:r>
    </w:p>
    <w:p w14:paraId="1F6F5E5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社会保障和就业（类）行政事业单位养老支出（款）机关事业单位职业年金缴费支出（项）。</w:t>
      </w:r>
    </w:p>
    <w:p w14:paraId="5098E4A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16.80</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4C6966E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社会保障和就业（类）行政事业单位养老支出（款）对机关事业单位职业年金的补助（项）。</w:t>
      </w:r>
    </w:p>
    <w:p w14:paraId="51E8D3E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6.53</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由于预算数为0，无法计算百分比，决算数大于年初预算数的主要原因是：年中追加退休人员职业年金记实指标。</w:t>
      </w:r>
    </w:p>
    <w:p w14:paraId="3CC7E8D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lang w:eastAsia="zh-CN"/>
        </w:rPr>
        <w:t>卫生健康支出（类）行政事业单位医疗（款）行政单位医疗（项）。</w:t>
      </w:r>
    </w:p>
    <w:p w14:paraId="79F7D4D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99.62</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102.39</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102.78</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：使用上年结转结余指标。</w:t>
      </w:r>
    </w:p>
    <w:p w14:paraId="5D7E4EC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lang w:eastAsia="zh-CN"/>
        </w:rPr>
        <w:t>城乡社区（类）城乡社区管理事务（款）行政运行（项）。</w:t>
      </w:r>
    </w:p>
    <w:p w14:paraId="22F3EA4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1,488.25</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1,663.91</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111.80</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：人员增减变动以及年中追加指标</w:t>
      </w:r>
      <w:r>
        <w:rPr>
          <w:rFonts w:hint="eastAsia" w:ascii="Times New Roman" w:hAnsi="Times New Roman" w:eastAsia="仿宋_GB2312"/>
          <w:sz w:val="32"/>
          <w:szCs w:val="32"/>
          <w:lang w:eastAsia="zh-CN"/>
        </w:rPr>
        <w:t>。</w:t>
      </w:r>
    </w:p>
    <w:p w14:paraId="09A2541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 7.</w:t>
      </w:r>
      <w:r>
        <w:rPr>
          <w:rFonts w:hint="eastAsia" w:ascii="Times New Roman" w:hAnsi="Times New Roman" w:eastAsia="仿宋_GB2312"/>
          <w:sz w:val="32"/>
          <w:szCs w:val="32"/>
          <w:lang w:eastAsia="zh-CN"/>
        </w:rPr>
        <w:t>城乡社区（类）城乡社区管理事务（款）一般行政管理事务（项）。</w:t>
      </w:r>
    </w:p>
    <w:p w14:paraId="115BB48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962.50</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w:t>
      </w:r>
      <w:r>
        <w:rPr>
          <w:rFonts w:hint="eastAsia" w:ascii="Times New Roman" w:hAnsi="Times New Roman" w:eastAsia="仿宋_GB2312"/>
          <w:sz w:val="32"/>
          <w:szCs w:val="32"/>
          <w:lang w:eastAsia="zh-CN"/>
        </w:rPr>
        <w:t>使用上年结转结余资金。</w:t>
      </w:r>
    </w:p>
    <w:p w14:paraId="1E48F14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 8.</w:t>
      </w:r>
      <w:r>
        <w:rPr>
          <w:rFonts w:hint="eastAsia" w:ascii="Times New Roman" w:hAnsi="Times New Roman" w:eastAsia="仿宋_GB2312"/>
          <w:sz w:val="32"/>
          <w:szCs w:val="32"/>
          <w:lang w:eastAsia="zh-CN"/>
        </w:rPr>
        <w:t>城乡社区（类）城乡社区管理事务（款）城管执法（项）。</w:t>
      </w:r>
    </w:p>
    <w:p w14:paraId="002BE01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8.36</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w:t>
      </w:r>
      <w:r>
        <w:rPr>
          <w:rFonts w:hint="eastAsia" w:ascii="Times New Roman" w:hAnsi="Times New Roman" w:eastAsia="仿宋_GB2312"/>
          <w:sz w:val="32"/>
          <w:szCs w:val="32"/>
          <w:lang w:eastAsia="zh-CN"/>
        </w:rPr>
        <w:t>使用上年结转结余资金。</w:t>
      </w:r>
    </w:p>
    <w:p w14:paraId="3DD87EF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9. </w:t>
      </w:r>
      <w:r>
        <w:rPr>
          <w:rFonts w:hint="eastAsia" w:ascii="Times New Roman" w:hAnsi="Times New Roman" w:eastAsia="仿宋_GB2312"/>
          <w:sz w:val="32"/>
          <w:szCs w:val="32"/>
          <w:lang w:eastAsia="zh-CN"/>
        </w:rPr>
        <w:t>城乡社区（类）城乡社区管理事务（款）其他城乡社区管理事务（项）。</w:t>
      </w:r>
    </w:p>
    <w:p w14:paraId="4D6B965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325</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375.03</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115.39</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lang w:eastAsia="zh-CN"/>
        </w:rPr>
        <w:t>使用上年结转结余资金。</w:t>
      </w:r>
    </w:p>
    <w:p w14:paraId="3A39948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10. </w:t>
      </w:r>
      <w:r>
        <w:rPr>
          <w:rFonts w:hint="eastAsia" w:ascii="Times New Roman" w:hAnsi="Times New Roman" w:eastAsia="仿宋_GB2312"/>
          <w:sz w:val="32"/>
          <w:szCs w:val="32"/>
          <w:lang w:eastAsia="zh-CN"/>
        </w:rPr>
        <w:t>城乡社区（类）城乡社区公共设施（款）其他城乡社区公共设施（项）。</w:t>
      </w:r>
    </w:p>
    <w:p w14:paraId="172D2CC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1,092.09</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1,050.08</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96.15</w:t>
      </w:r>
      <w:r>
        <w:rPr>
          <w:rFonts w:hint="eastAsia" w:ascii="Times New Roman" w:hAnsi="Times New Roman" w:eastAsia="仿宋_GB2312"/>
          <w:sz w:val="32"/>
          <w:szCs w:val="32"/>
          <w:lang w:eastAsia="zh-CN"/>
        </w:rPr>
        <w:t>%，决算数小于年初预算数的主要原因是</w:t>
      </w:r>
      <w:r>
        <w:rPr>
          <w:rFonts w:hint="eastAsia" w:ascii="Times New Roman" w:hAnsi="Times New Roman" w:eastAsia="仿宋_GB2312"/>
          <w:sz w:val="32"/>
          <w:szCs w:val="32"/>
          <w:lang w:val="en-US" w:eastAsia="zh-CN"/>
        </w:rPr>
        <w:t>：年末有应付款项</w:t>
      </w:r>
      <w:r>
        <w:rPr>
          <w:rFonts w:hint="eastAsia" w:ascii="Times New Roman" w:hAnsi="Times New Roman" w:eastAsia="仿宋_GB2312"/>
          <w:sz w:val="32"/>
          <w:szCs w:val="32"/>
          <w:lang w:eastAsia="zh-CN"/>
        </w:rPr>
        <w:t>。</w:t>
      </w:r>
    </w:p>
    <w:p w14:paraId="63D6D46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lang w:eastAsia="zh-CN"/>
        </w:rPr>
        <w:t>城乡社区（类）城乡社区环境卫生（款）城乡社区环境卫生（项）。</w:t>
      </w:r>
    </w:p>
    <w:p w14:paraId="7D9108C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5,866.30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5,611.79</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95.66%，</w:t>
      </w:r>
      <w:r>
        <w:rPr>
          <w:rFonts w:hint="eastAsia" w:ascii="Times New Roman" w:hAnsi="Times New Roman" w:eastAsia="仿宋_GB2312"/>
          <w:sz w:val="32"/>
          <w:szCs w:val="32"/>
          <w:lang w:eastAsia="zh-CN"/>
        </w:rPr>
        <w:t>决算数小于年初预算数的主要原因是</w:t>
      </w:r>
      <w:r>
        <w:rPr>
          <w:rFonts w:hint="eastAsia" w:ascii="Times New Roman" w:hAnsi="Times New Roman" w:eastAsia="仿宋_GB2312"/>
          <w:sz w:val="32"/>
          <w:szCs w:val="32"/>
          <w:lang w:val="en-US" w:eastAsia="zh-CN"/>
        </w:rPr>
        <w:t>：年末有应付款项</w:t>
      </w:r>
      <w:r>
        <w:rPr>
          <w:rFonts w:hint="eastAsia" w:ascii="Times New Roman" w:hAnsi="Times New Roman" w:eastAsia="仿宋_GB2312"/>
          <w:sz w:val="32"/>
          <w:szCs w:val="32"/>
          <w:lang w:eastAsia="zh-CN"/>
        </w:rPr>
        <w:t>。</w:t>
      </w:r>
    </w:p>
    <w:p w14:paraId="7DC997A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lang w:eastAsia="zh-CN"/>
        </w:rPr>
        <w:t>城乡社区（类）其他城乡社区支出（款）其他城乡社区支出（项）。</w:t>
      </w:r>
    </w:p>
    <w:p w14:paraId="5978967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63.08</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由于预算数为0，无法计算百分比，决算数大于年初预算数的主要原因是：年中追加安全隐患整治等项目资金。</w:t>
      </w:r>
    </w:p>
    <w:p w14:paraId="259B0C0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13. 农林水</w:t>
      </w:r>
      <w:r>
        <w:rPr>
          <w:rFonts w:hint="eastAsia" w:ascii="Times New Roman" w:hAnsi="Times New Roman" w:eastAsia="仿宋_GB2312"/>
          <w:sz w:val="32"/>
          <w:szCs w:val="32"/>
          <w:lang w:eastAsia="zh-CN"/>
        </w:rPr>
        <w:t>（类）农业农村（款）病虫害控制（项）。</w:t>
      </w:r>
    </w:p>
    <w:p w14:paraId="0BDDACC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lang w:eastAsia="zh-CN"/>
        </w:rPr>
        <w:t>%。</w:t>
      </w:r>
    </w:p>
    <w:p w14:paraId="579E267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14. 交通运输支出</w:t>
      </w:r>
      <w:r>
        <w:rPr>
          <w:rFonts w:hint="eastAsia" w:ascii="Times New Roman" w:hAnsi="Times New Roman" w:eastAsia="仿宋_GB2312"/>
          <w:sz w:val="32"/>
          <w:szCs w:val="32"/>
          <w:lang w:eastAsia="zh-CN"/>
        </w:rPr>
        <w:t>（类）公路水路运输（款）公路建设（项）。</w:t>
      </w:r>
    </w:p>
    <w:p w14:paraId="1C8B5B9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39.29</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lang w:val="en-US" w:eastAsia="zh-CN"/>
        </w:rPr>
        <w:t>由于预算数为0，无法计算百分比，</w:t>
      </w:r>
      <w:r>
        <w:rPr>
          <w:rFonts w:hint="eastAsia" w:ascii="Times New Roman" w:hAnsi="Times New Roman" w:eastAsia="仿宋_GB2312"/>
          <w:sz w:val="32"/>
          <w:szCs w:val="32"/>
          <w:lang w:eastAsia="zh-CN"/>
        </w:rPr>
        <w:t>决算数大于年初预算数的主要原因是</w:t>
      </w:r>
      <w:r>
        <w:rPr>
          <w:rFonts w:hint="eastAsia" w:ascii="Times New Roman" w:hAnsi="Times New Roman" w:eastAsia="仿宋_GB2312"/>
          <w:sz w:val="32"/>
          <w:szCs w:val="32"/>
          <w:lang w:val="en-US" w:eastAsia="zh-CN"/>
        </w:rPr>
        <w:t>：年中追加路面修复项目资金。</w:t>
      </w:r>
    </w:p>
    <w:p w14:paraId="7BF2BC8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lang w:eastAsia="zh-CN"/>
        </w:rPr>
        <w:t>住房保障支出（类）住房改革支出（款）住房公积金（项）。</w:t>
      </w:r>
    </w:p>
    <w:p w14:paraId="5AA2392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年初预算为</w:t>
      </w:r>
      <w:r>
        <w:rPr>
          <w:rFonts w:hint="eastAsia" w:ascii="Times New Roman" w:hAnsi="Times New Roman" w:eastAsia="仿宋_GB2312"/>
          <w:sz w:val="32"/>
          <w:szCs w:val="32"/>
          <w:lang w:val="en-US" w:eastAsia="zh-CN"/>
        </w:rPr>
        <w:t>153.44</w:t>
      </w:r>
      <w:r>
        <w:rPr>
          <w:rFonts w:hint="eastAsia" w:ascii="Times New Roman" w:hAnsi="Times New Roman" w:eastAsia="仿宋_GB2312"/>
          <w:sz w:val="32"/>
          <w:szCs w:val="32"/>
          <w:lang w:eastAsia="zh-CN"/>
        </w:rPr>
        <w:t>万元，支出决算为</w:t>
      </w:r>
      <w:r>
        <w:rPr>
          <w:rFonts w:hint="eastAsia" w:ascii="Times New Roman" w:hAnsi="Times New Roman" w:eastAsia="仿宋_GB2312"/>
          <w:sz w:val="32"/>
          <w:szCs w:val="32"/>
          <w:lang w:val="en-US" w:eastAsia="zh-CN"/>
        </w:rPr>
        <w:t>155.02</w:t>
      </w:r>
      <w:r>
        <w:rPr>
          <w:rFonts w:hint="eastAsia" w:ascii="Times New Roman" w:hAnsi="Times New Roman" w:eastAsia="仿宋_GB2312"/>
          <w:sz w:val="32"/>
          <w:szCs w:val="32"/>
          <w:lang w:eastAsia="zh-CN"/>
        </w:rPr>
        <w:t>万元，完成年初预算的</w:t>
      </w:r>
      <w:r>
        <w:rPr>
          <w:rFonts w:hint="eastAsia" w:ascii="Times New Roman" w:hAnsi="Times New Roman" w:eastAsia="仿宋_GB2312"/>
          <w:sz w:val="32"/>
          <w:szCs w:val="32"/>
          <w:lang w:val="en-US" w:eastAsia="zh-CN"/>
        </w:rPr>
        <w:t>101.03</w:t>
      </w:r>
      <w:r>
        <w:rPr>
          <w:rFonts w:hint="eastAsia" w:ascii="Times New Roman" w:hAnsi="Times New Roman" w:eastAsia="仿宋_GB2312"/>
          <w:sz w:val="32"/>
          <w:szCs w:val="32"/>
          <w:lang w:eastAsia="zh-CN"/>
        </w:rPr>
        <w:t>%，决算数大于年初预算数的主要原因是</w:t>
      </w:r>
      <w:r>
        <w:rPr>
          <w:rFonts w:hint="eastAsia" w:ascii="Times New Roman" w:hAnsi="Times New Roman" w:eastAsia="仿宋_GB2312"/>
          <w:sz w:val="32"/>
          <w:szCs w:val="32"/>
          <w:lang w:val="en-US" w:eastAsia="zh-CN"/>
        </w:rPr>
        <w:t>：使用上年结转</w:t>
      </w:r>
      <w:r>
        <w:rPr>
          <w:rFonts w:hint="eastAsia" w:ascii="Times New Roman" w:hAnsi="Times New Roman" w:eastAsia="仿宋_GB2312"/>
          <w:sz w:val="32"/>
          <w:szCs w:val="32"/>
          <w:lang w:eastAsia="zh-CN"/>
        </w:rPr>
        <w:t>结余</w:t>
      </w:r>
      <w:r>
        <w:rPr>
          <w:rFonts w:hint="eastAsia" w:ascii="Times New Roman" w:hAnsi="Times New Roman" w:eastAsia="仿宋_GB2312"/>
          <w:sz w:val="32"/>
          <w:szCs w:val="32"/>
          <w:lang w:val="en-US" w:eastAsia="zh-CN"/>
        </w:rPr>
        <w:t>资金。</w:t>
      </w:r>
    </w:p>
    <w:p w14:paraId="0AD3053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29E6503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年度财政拨款基本支出2,155.38万元，其中：</w:t>
      </w:r>
    </w:p>
    <w:p w14:paraId="08E3FE6C">
      <w:pPr>
        <w:pStyle w:val="15"/>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b/>
          <w:bCs/>
          <w:sz w:val="32"/>
          <w:szCs w:val="32"/>
        </w:rPr>
        <w:t>人员经费</w:t>
      </w:r>
      <w:r>
        <w:rPr>
          <w:rFonts w:hint="eastAsia" w:ascii="Times New Roman" w:hAnsi="Times New Roman" w:eastAsia="仿宋_GB2312"/>
          <w:b w:val="0"/>
          <w:bCs w:val="0"/>
          <w:sz w:val="32"/>
          <w:szCs w:val="32"/>
        </w:rPr>
        <w:t>1,915.60</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88.88</w:t>
      </w:r>
      <w:r>
        <w:rPr>
          <w:rFonts w:hint="eastAsia" w:ascii="Times New Roman" w:hAnsi="Times New Roman" w:eastAsia="仿宋_GB2312"/>
          <w:sz w:val="32"/>
          <w:szCs w:val="32"/>
        </w:rPr>
        <w:t>%,主要包括基</w:t>
      </w:r>
      <w:r>
        <w:rPr>
          <w:rFonts w:hint="eastAsia" w:ascii="Times New Roman" w:hAnsi="Times New Roman" w:eastAsia="仿宋_GB2312"/>
          <w:sz w:val="32"/>
          <w:szCs w:val="32"/>
          <w:highlight w:val="none"/>
          <w:lang w:val="en-US" w:eastAsia="zh-CN"/>
        </w:rPr>
        <w:t>本工资、津贴补贴、奖金、伙食补助费、绩效工资、机关事业单位基本养老保险缴费、职业年金缴费、职工基本医疗保险缴费、公务员医疗补助缴费、其他社会保障缴费、住房公积金、其他工资福利支出等。</w:t>
      </w:r>
    </w:p>
    <w:p w14:paraId="005C13F8">
      <w:pPr>
        <w:pStyle w:val="15"/>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b w:val="0"/>
          <w:bCs w:val="0"/>
          <w:sz w:val="32"/>
          <w:szCs w:val="32"/>
        </w:rPr>
        <w:t>239.78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11.12</w:t>
      </w:r>
      <w:r>
        <w:rPr>
          <w:rFonts w:hint="eastAsia" w:ascii="Times New Roman" w:hAnsi="Times New Roman" w:eastAsia="仿宋_GB2312"/>
          <w:sz w:val="32"/>
          <w:szCs w:val="32"/>
        </w:rPr>
        <w:t>%，主要包括办公费、印刷费、咨询费、水费、电费、邮电费、维修（护）费、</w:t>
      </w:r>
      <w:r>
        <w:rPr>
          <w:rFonts w:hint="eastAsia" w:ascii="Times New Roman" w:hAnsi="Times New Roman" w:eastAsia="仿宋_GB2312"/>
          <w:sz w:val="32"/>
          <w:szCs w:val="32"/>
          <w:lang w:eastAsia="zh-CN"/>
        </w:rPr>
        <w:t>租赁费、</w:t>
      </w:r>
      <w:r>
        <w:rPr>
          <w:rFonts w:hint="eastAsia" w:ascii="Times New Roman" w:hAnsi="Times New Roman" w:eastAsia="仿宋_GB2312"/>
          <w:sz w:val="32"/>
          <w:szCs w:val="32"/>
        </w:rPr>
        <w:t>培训费、劳务费、工会经费、公务用车运行维护费、其他交通费用、其他商品和服务支出</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w:t>
      </w:r>
    </w:p>
    <w:p w14:paraId="0CBAEF1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4EA875DC">
      <w:pPr>
        <w:pStyle w:val="15"/>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220E25E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三公”经费财政拨款支出预算为6.80万元，支出决算为3.73万元，完成预算的54.85%，决算数小于预算数的主要原因是单位按照中央八项规定，坚持厉行节约，反对铺张浪费，与上年相比增加1.22万元，增长48.61%，增长的主要原因是公务用车运行维护费支出较上年增加。其中：</w:t>
      </w:r>
    </w:p>
    <w:p w14:paraId="54ABFA0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因公出国（境）费支出预算为0万元，支出决算为0万元，由于预算数为0，无法计算百分比，决算数与预算数增减无变化，与上年相比增减无变化。</w:t>
      </w:r>
    </w:p>
    <w:p w14:paraId="1B6037C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公务接待费支出预算为2万元，支出决算为0万元，完成预算的0%，决算数小于预算数的主要原因是厉行节约，与上年相比减少0.14万元，减少100%，减少的主要原因是严控公务接待支出，今年未发生此费用。</w:t>
      </w:r>
    </w:p>
    <w:p w14:paraId="78CA47F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公务用车购置费支出预算为0万元，支出决算为0万元，由于预算数为0，无法计算百分比，决算数与预算数增减无变化，与上年相比增减无变化。</w:t>
      </w:r>
    </w:p>
    <w:p w14:paraId="7F4E6CC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公务用车运行维护费支出预算为4.80万元，支出决算为3.73万元，完成预算的77.71%，决算数小于预算数的主要原因是厉行节约，严格控制公务用车运行维护费用，与上年相比增加1.22万元，增长48.61%，增长的主要原因是车辆老旧导致公务车维修费稍有增加。</w:t>
      </w:r>
    </w:p>
    <w:p w14:paraId="0CD88DD0">
      <w:pPr>
        <w:pStyle w:val="15"/>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2292C9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2024年度“三公”经费财政拨款支出决算中，公务接待费支出决算0万元，占0%，因公出国（境）费支出决算0万元，占0%，公务用车购置费及运行维护费支出决算3.73万元，占100%。其中：</w:t>
      </w:r>
    </w:p>
    <w:p w14:paraId="3DE96B8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1、因公出国（境）费支出决算为0万元，全年安排因公出国（境）团组0个，累计0人次，本年无支出。</w:t>
      </w:r>
    </w:p>
    <w:p w14:paraId="039C39E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2、公务接待费支出决算为0万元，全年共接待来访团组0个、来宾0人次，本年无公务接待支出。</w:t>
      </w:r>
    </w:p>
    <w:p w14:paraId="30D02F4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3、公务用车购置费及运行维护费支出决算为3.73万元，其中：公务用车购置费0万元，</w:t>
      </w:r>
      <w:r>
        <w:rPr>
          <w:rFonts w:hint="eastAsia" w:ascii="Times New Roman" w:hAnsi="Times New Roman" w:eastAsia="仿宋_GB2312" w:cs="仿宋_GB2312"/>
          <w:sz w:val="32"/>
          <w:szCs w:val="32"/>
        </w:rPr>
        <w:t>单位本级更新公务用车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sz w:val="32"/>
          <w:szCs w:val="32"/>
          <w:lang w:eastAsia="zh-CN"/>
        </w:rPr>
        <w:t>，</w:t>
      </w:r>
      <w:r>
        <w:rPr>
          <w:rFonts w:hint="eastAsia" w:ascii="Times New Roman" w:hAnsi="Times New Roman" w:eastAsia="仿宋_GB2312"/>
          <w:sz w:val="32"/>
          <w:szCs w:val="32"/>
          <w:highlight w:val="none"/>
          <w:lang w:val="en-US" w:eastAsia="zh-CN"/>
        </w:rPr>
        <w:t>公务用车运行维护费3.73万元，主要是维修费、保险费支出，截至2024年12月31日，我单位开支财政拨款的公务用车保有量为1辆。</w:t>
      </w:r>
    </w:p>
    <w:p w14:paraId="1B5185F9">
      <w:pPr>
        <w:pStyle w:val="15"/>
        <w:keepNext w:val="0"/>
        <w:keepLines w:val="0"/>
        <w:pageBreakBefore w:val="0"/>
        <w:widowControl w:val="0"/>
        <w:kinsoku/>
        <w:wordWrap/>
        <w:overflowPunct/>
        <w:topLinePunct w:val="0"/>
        <w:bidi w:val="0"/>
        <w:spacing w:line="600" w:lineRule="exact"/>
        <w:ind w:firstLine="643" w:firstLineChars="200"/>
        <w:textAlignment w:val="auto"/>
        <w:rPr>
          <w:rFonts w:hint="eastAsia" w:hAnsi="黑体"/>
          <w:b/>
          <w:sz w:val="32"/>
          <w:szCs w:val="32"/>
          <w:lang w:val="en-US" w:eastAsia="zh-CN"/>
        </w:rPr>
      </w:pPr>
      <w:r>
        <w:rPr>
          <w:rFonts w:hint="eastAsia" w:hAnsi="黑体"/>
          <w:b/>
          <w:sz w:val="32"/>
          <w:szCs w:val="32"/>
          <w:lang w:val="en-US" w:eastAsia="zh-CN"/>
        </w:rPr>
        <w:t>八、政府性基金预算收入支出决算情况</w:t>
      </w:r>
    </w:p>
    <w:p w14:paraId="02E78FF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本单位</w:t>
      </w:r>
      <w:r>
        <w:rPr>
          <w:rFonts w:hint="eastAsia" w:ascii="Times New Roman" w:hAnsi="Times New Roman" w:eastAsia="仿宋_GB2312"/>
          <w:sz w:val="32"/>
          <w:szCs w:val="32"/>
          <w:highlight w:val="none"/>
          <w:lang w:val="en-US" w:eastAsia="zh-CN"/>
        </w:rPr>
        <w:t>2024年度</w:t>
      </w:r>
      <w:r>
        <w:rPr>
          <w:rFonts w:hint="eastAsia" w:ascii="Times New Roman" w:hAnsi="Times New Roman" w:eastAsia="仿宋_GB2312"/>
          <w:sz w:val="32"/>
          <w:szCs w:val="32"/>
          <w:highlight w:val="none"/>
        </w:rPr>
        <w:t>没有政府性基金收入，也没有使用政府性基金安排的支出，并已公开空表。</w:t>
      </w:r>
    </w:p>
    <w:p w14:paraId="5C0A3FA4">
      <w:pPr>
        <w:pStyle w:val="15"/>
        <w:keepNext w:val="0"/>
        <w:keepLines w:val="0"/>
        <w:pageBreakBefore w:val="0"/>
        <w:widowControl w:val="0"/>
        <w:kinsoku/>
        <w:wordWrap/>
        <w:overflowPunct/>
        <w:topLinePunct w:val="0"/>
        <w:bidi w:val="0"/>
        <w:spacing w:line="600" w:lineRule="exact"/>
        <w:ind w:firstLine="643" w:firstLineChars="200"/>
        <w:textAlignment w:val="auto"/>
        <w:rPr>
          <w:rFonts w:ascii="仿宋" w:hAnsi="仿宋" w:eastAsia="仿宋" w:cs="仿宋"/>
          <w:sz w:val="28"/>
          <w:szCs w:val="28"/>
        </w:rPr>
      </w:pPr>
      <w:r>
        <w:rPr>
          <w:rFonts w:hint="eastAsia" w:hAnsi="黑体"/>
          <w:b/>
          <w:sz w:val="32"/>
          <w:szCs w:val="32"/>
        </w:rPr>
        <w:t>九、国有资本经营预算财政拨款支出决算情况</w:t>
      </w:r>
    </w:p>
    <w:p w14:paraId="42E73A3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本单位2024年度没有国有资本经营预算财政拨款支出，并已公开空表。</w:t>
      </w:r>
    </w:p>
    <w:p w14:paraId="6C375DB6">
      <w:pPr>
        <w:pStyle w:val="15"/>
        <w:keepNext w:val="0"/>
        <w:keepLines w:val="0"/>
        <w:pageBreakBefore w:val="0"/>
        <w:widowControl w:val="0"/>
        <w:kinsoku/>
        <w:wordWrap/>
        <w:overflowPunct/>
        <w:topLinePunct w:val="0"/>
        <w:bidi w:val="0"/>
        <w:spacing w:line="600" w:lineRule="exact"/>
        <w:ind w:firstLine="643" w:firstLineChars="200"/>
        <w:textAlignment w:val="auto"/>
        <w:rPr>
          <w:rFonts w:hint="eastAsia" w:hAnsi="黑体"/>
          <w:b/>
          <w:sz w:val="32"/>
          <w:szCs w:val="32"/>
        </w:rPr>
      </w:pPr>
      <w:r>
        <w:rPr>
          <w:rFonts w:hint="eastAsia" w:hAnsi="黑体"/>
          <w:b/>
          <w:sz w:val="32"/>
          <w:szCs w:val="32"/>
          <w:lang w:val="en-US" w:eastAsia="zh-CN"/>
        </w:rPr>
        <w:t>十</w:t>
      </w:r>
      <w:r>
        <w:rPr>
          <w:rFonts w:hint="eastAsia" w:hAnsi="黑体"/>
          <w:b/>
          <w:sz w:val="32"/>
          <w:szCs w:val="32"/>
        </w:rPr>
        <w:t>、关于机关运行经费支出说明</w:t>
      </w:r>
    </w:p>
    <w:p w14:paraId="6E5C331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本部门202</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年度机关运行经费支出</w:t>
      </w:r>
      <w:r>
        <w:rPr>
          <w:rFonts w:hint="eastAsia" w:ascii="Times New Roman" w:hAnsi="Times New Roman" w:eastAsia="仿宋_GB2312"/>
          <w:sz w:val="32"/>
          <w:szCs w:val="32"/>
          <w:highlight w:val="none"/>
          <w:lang w:val="en-US" w:eastAsia="zh-CN"/>
        </w:rPr>
        <w:t>239.78</w:t>
      </w:r>
      <w:r>
        <w:rPr>
          <w:rFonts w:hint="eastAsia" w:ascii="Times New Roman" w:hAnsi="Times New Roman" w:eastAsia="仿宋_GB2312"/>
          <w:sz w:val="32"/>
          <w:szCs w:val="32"/>
          <w:highlight w:val="none"/>
        </w:rPr>
        <w:t>万元，比</w:t>
      </w:r>
      <w:r>
        <w:rPr>
          <w:rFonts w:hint="eastAsia" w:ascii="Times New Roman" w:hAnsi="Times New Roman" w:eastAsia="仿宋_GB2312"/>
          <w:sz w:val="32"/>
          <w:szCs w:val="32"/>
          <w:highlight w:val="none"/>
          <w:lang w:eastAsia="zh-CN"/>
        </w:rPr>
        <w:t>上年决算数减少</w:t>
      </w:r>
      <w:r>
        <w:rPr>
          <w:rFonts w:hint="eastAsia" w:ascii="Times New Roman" w:hAnsi="Times New Roman" w:eastAsia="仿宋_GB2312"/>
          <w:sz w:val="32"/>
          <w:szCs w:val="32"/>
          <w:highlight w:val="none"/>
          <w:lang w:val="en-US" w:eastAsia="zh-CN"/>
        </w:rPr>
        <w:t>36.95</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val="en-US" w:eastAsia="zh-CN"/>
        </w:rPr>
        <w:t>降低13.35</w:t>
      </w:r>
      <w:r>
        <w:rPr>
          <w:rFonts w:hint="eastAsia" w:ascii="Times New Roman" w:hAnsi="Times New Roman" w:eastAsia="仿宋_GB2312"/>
          <w:sz w:val="32"/>
          <w:szCs w:val="32"/>
          <w:highlight w:val="none"/>
        </w:rPr>
        <w:t>%。主要原因是：</w:t>
      </w:r>
      <w:r>
        <w:rPr>
          <w:rFonts w:hint="eastAsia" w:ascii="Times New Roman" w:hAnsi="Times New Roman" w:eastAsia="仿宋_GB2312"/>
          <w:sz w:val="32"/>
          <w:szCs w:val="32"/>
          <w:highlight w:val="none"/>
          <w:lang w:eastAsia="zh-CN"/>
        </w:rPr>
        <w:t>严格落实过紧日子要求，日常公用支出减少</w:t>
      </w:r>
      <w:r>
        <w:rPr>
          <w:rFonts w:hint="eastAsia" w:ascii="Times New Roman" w:hAnsi="Times New Roman" w:eastAsia="仿宋_GB2312"/>
          <w:sz w:val="32"/>
          <w:szCs w:val="32"/>
          <w:highlight w:val="none"/>
        </w:rPr>
        <w:t>。</w:t>
      </w:r>
    </w:p>
    <w:p w14:paraId="6BBD981D">
      <w:pPr>
        <w:pStyle w:val="15"/>
        <w:keepNext w:val="0"/>
        <w:keepLines w:val="0"/>
        <w:pageBreakBefore w:val="0"/>
        <w:widowControl w:val="0"/>
        <w:kinsoku/>
        <w:wordWrap/>
        <w:overflowPunct/>
        <w:topLinePunct w:val="0"/>
        <w:bidi w:val="0"/>
        <w:spacing w:line="600" w:lineRule="exact"/>
        <w:ind w:firstLine="643" w:firstLineChars="200"/>
        <w:textAlignment w:val="auto"/>
        <w:rPr>
          <w:rFonts w:hint="eastAsia" w:hAnsi="黑体"/>
          <w:b/>
          <w:sz w:val="32"/>
          <w:szCs w:val="32"/>
          <w:lang w:val="en-US" w:eastAsia="zh-CN"/>
        </w:rPr>
      </w:pPr>
      <w:r>
        <w:rPr>
          <w:rFonts w:hint="eastAsia" w:hAnsi="黑体"/>
          <w:b/>
          <w:sz w:val="32"/>
          <w:szCs w:val="32"/>
          <w:lang w:val="en-US" w:eastAsia="zh-CN"/>
        </w:rPr>
        <w:t>十一、一般性支出情况说明</w:t>
      </w:r>
    </w:p>
    <w:p w14:paraId="158AB0B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202</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年本部门开支会议费</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人数</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人；开支培训费</w:t>
      </w:r>
      <w:r>
        <w:rPr>
          <w:rFonts w:hint="eastAsia" w:ascii="Times New Roman" w:hAnsi="Times New Roman" w:eastAsia="仿宋_GB2312"/>
          <w:sz w:val="32"/>
          <w:szCs w:val="32"/>
          <w:highlight w:val="none"/>
          <w:lang w:val="en-US" w:eastAsia="zh-CN"/>
        </w:rPr>
        <w:t>0.1</w:t>
      </w:r>
      <w:r>
        <w:rPr>
          <w:rFonts w:hint="eastAsia" w:ascii="Times New Roman" w:hAnsi="Times New Roman" w:eastAsia="仿宋_GB2312"/>
          <w:sz w:val="32"/>
          <w:szCs w:val="32"/>
          <w:highlight w:val="none"/>
        </w:rPr>
        <w:t>万元，用于</w:t>
      </w:r>
      <w:r>
        <w:rPr>
          <w:rFonts w:hint="eastAsia" w:ascii="Times New Roman" w:hAnsi="Times New Roman" w:eastAsia="仿宋_GB2312"/>
          <w:sz w:val="32"/>
          <w:szCs w:val="32"/>
          <w:highlight w:val="none"/>
          <w:lang w:eastAsia="zh-CN"/>
        </w:rPr>
        <w:t>老干部培训支出，人数</w:t>
      </w: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lang w:eastAsia="zh-CN"/>
        </w:rPr>
        <w:t>人，内容为老干老年大学培训</w:t>
      </w:r>
      <w:r>
        <w:rPr>
          <w:rFonts w:hint="eastAsia" w:ascii="Times New Roman" w:hAnsi="Times New Roman" w:eastAsia="仿宋_GB2312"/>
          <w:sz w:val="32"/>
          <w:szCs w:val="32"/>
          <w:highlight w:val="none"/>
          <w:lang w:val="en-US" w:eastAsia="zh-CN"/>
        </w:rPr>
        <w:t>等；本年度未</w:t>
      </w:r>
      <w:r>
        <w:rPr>
          <w:rFonts w:hint="eastAsia" w:ascii="Times New Roman" w:hAnsi="Times New Roman" w:eastAsia="仿宋_GB2312"/>
          <w:sz w:val="32"/>
          <w:szCs w:val="32"/>
          <w:highlight w:val="none"/>
        </w:rPr>
        <w:t>举办节庆、晚会、论坛、赛事活动，开支</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w:t>
      </w:r>
    </w:p>
    <w:p w14:paraId="132470A2">
      <w:pPr>
        <w:pStyle w:val="15"/>
        <w:keepNext w:val="0"/>
        <w:keepLines w:val="0"/>
        <w:pageBreakBefore w:val="0"/>
        <w:widowControl w:val="0"/>
        <w:kinsoku/>
        <w:wordWrap/>
        <w:overflowPunct/>
        <w:topLinePunct w:val="0"/>
        <w:bidi w:val="0"/>
        <w:spacing w:line="600" w:lineRule="exact"/>
        <w:ind w:firstLine="643" w:firstLineChars="200"/>
        <w:textAlignment w:val="auto"/>
        <w:rPr>
          <w:rFonts w:hint="eastAsia" w:hAnsi="黑体"/>
          <w:b/>
          <w:sz w:val="32"/>
          <w:szCs w:val="32"/>
          <w:lang w:val="en-US" w:eastAsia="zh-CN"/>
        </w:rPr>
      </w:pPr>
      <w:r>
        <w:rPr>
          <w:rFonts w:hint="eastAsia" w:hAnsi="黑体"/>
          <w:b/>
          <w:sz w:val="32"/>
          <w:szCs w:val="32"/>
          <w:lang w:val="en-US" w:eastAsia="zh-CN"/>
        </w:rPr>
        <w:t>十二、关于政府采购支出说明</w:t>
      </w:r>
    </w:p>
    <w:p w14:paraId="4B12EA0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本部门202</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年度政府采购支出总额</w:t>
      </w:r>
      <w:r>
        <w:rPr>
          <w:rFonts w:hint="eastAsia" w:ascii="Times New Roman" w:hAnsi="Times New Roman" w:eastAsia="仿宋_GB2312"/>
          <w:sz w:val="32"/>
          <w:szCs w:val="32"/>
          <w:highlight w:val="none"/>
          <w:lang w:val="en-US" w:eastAsia="zh-CN"/>
        </w:rPr>
        <w:t>5,038.04</w:t>
      </w:r>
      <w:r>
        <w:rPr>
          <w:rFonts w:hint="eastAsia" w:ascii="Times New Roman" w:hAnsi="Times New Roman" w:eastAsia="仿宋_GB2312"/>
          <w:sz w:val="32"/>
          <w:szCs w:val="32"/>
          <w:highlight w:val="none"/>
        </w:rPr>
        <w:t>万元，其中：政府采购货物支出</w:t>
      </w:r>
      <w:r>
        <w:rPr>
          <w:rFonts w:hint="eastAsia" w:ascii="Times New Roman" w:hAnsi="Times New Roman" w:eastAsia="仿宋_GB2312"/>
          <w:sz w:val="32"/>
          <w:szCs w:val="32"/>
          <w:highlight w:val="none"/>
          <w:lang w:val="en-US" w:eastAsia="zh-CN"/>
        </w:rPr>
        <w:t>74</w:t>
      </w:r>
      <w:r>
        <w:rPr>
          <w:rFonts w:hint="eastAsia" w:ascii="Times New Roman" w:hAnsi="Times New Roman" w:eastAsia="仿宋_GB2312"/>
          <w:sz w:val="32"/>
          <w:szCs w:val="32"/>
          <w:highlight w:val="none"/>
        </w:rPr>
        <w:t>万元、政府采购工程支出</w:t>
      </w:r>
      <w:r>
        <w:rPr>
          <w:rFonts w:hint="eastAsia" w:ascii="Times New Roman" w:hAnsi="Times New Roman" w:eastAsia="仿宋_GB2312"/>
          <w:sz w:val="32"/>
          <w:szCs w:val="32"/>
          <w:highlight w:val="none"/>
          <w:lang w:val="en-US" w:eastAsia="zh-CN"/>
        </w:rPr>
        <w:t>248.58</w:t>
      </w:r>
      <w:r>
        <w:rPr>
          <w:rFonts w:hint="eastAsia" w:ascii="Times New Roman" w:hAnsi="Times New Roman" w:eastAsia="仿宋_GB2312"/>
          <w:sz w:val="32"/>
          <w:szCs w:val="32"/>
          <w:highlight w:val="none"/>
        </w:rPr>
        <w:t>万元、政府采购服务支出</w:t>
      </w:r>
      <w:r>
        <w:rPr>
          <w:rFonts w:hint="eastAsia" w:ascii="Times New Roman" w:hAnsi="Times New Roman" w:eastAsia="仿宋_GB2312"/>
          <w:sz w:val="32"/>
          <w:szCs w:val="32"/>
          <w:highlight w:val="none"/>
          <w:lang w:val="en-US" w:eastAsia="zh-CN"/>
        </w:rPr>
        <w:t>4,715.46</w:t>
      </w:r>
      <w:r>
        <w:rPr>
          <w:rFonts w:hint="eastAsia" w:ascii="Times New Roman" w:hAnsi="Times New Roman" w:eastAsia="仿宋_GB2312"/>
          <w:sz w:val="32"/>
          <w:szCs w:val="32"/>
          <w:highlight w:val="none"/>
        </w:rPr>
        <w:t>万元。授予中小企业合同金额</w:t>
      </w:r>
      <w:r>
        <w:rPr>
          <w:rFonts w:hint="eastAsia" w:ascii="Times New Roman" w:hAnsi="Times New Roman" w:eastAsia="仿宋_GB2312"/>
          <w:sz w:val="32"/>
          <w:szCs w:val="32"/>
          <w:highlight w:val="none"/>
          <w:lang w:val="en-US" w:eastAsia="zh-CN"/>
        </w:rPr>
        <w:t>5,038.04</w:t>
      </w:r>
      <w:r>
        <w:rPr>
          <w:rFonts w:hint="eastAsia" w:ascii="Times New Roman" w:hAnsi="Times New Roman" w:eastAsia="仿宋_GB2312"/>
          <w:sz w:val="32"/>
          <w:szCs w:val="32"/>
          <w:highlight w:val="none"/>
        </w:rPr>
        <w:t>万元，占政府采购支出总额的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%，其中：授予小微企业合同金额</w:t>
      </w:r>
      <w:r>
        <w:rPr>
          <w:rFonts w:hint="eastAsia" w:ascii="Times New Roman" w:hAnsi="Times New Roman" w:eastAsia="仿宋_GB2312"/>
          <w:sz w:val="32"/>
          <w:szCs w:val="32"/>
          <w:highlight w:val="none"/>
          <w:lang w:val="en-US" w:eastAsia="zh-CN"/>
        </w:rPr>
        <w:t>599</w:t>
      </w:r>
      <w:r>
        <w:rPr>
          <w:rFonts w:hint="eastAsia" w:ascii="Times New Roman" w:hAnsi="Times New Roman" w:eastAsia="仿宋_GB2312"/>
          <w:sz w:val="32"/>
          <w:szCs w:val="32"/>
          <w:highlight w:val="none"/>
        </w:rPr>
        <w:t>万元，占</w:t>
      </w:r>
      <w:r>
        <w:rPr>
          <w:rFonts w:hint="eastAsia" w:ascii="Times New Roman" w:hAnsi="Times New Roman" w:eastAsia="仿宋_GB2312"/>
          <w:sz w:val="32"/>
          <w:szCs w:val="32"/>
          <w:highlight w:val="none"/>
          <w:lang w:eastAsia="zh-CN"/>
        </w:rPr>
        <w:t>授予中小企业合同金额</w:t>
      </w:r>
      <w:r>
        <w:rPr>
          <w:rFonts w:hint="eastAsia" w:ascii="Times New Roman" w:hAnsi="Times New Roman" w:eastAsia="仿宋_GB2312"/>
          <w:sz w:val="32"/>
          <w:szCs w:val="32"/>
          <w:highlight w:val="none"/>
        </w:rPr>
        <w:t>的</w:t>
      </w:r>
      <w:r>
        <w:rPr>
          <w:rFonts w:hint="eastAsia" w:ascii="Times New Roman" w:hAnsi="Times New Roman" w:eastAsia="仿宋_GB2312"/>
          <w:sz w:val="32"/>
          <w:szCs w:val="32"/>
          <w:highlight w:val="none"/>
          <w:lang w:val="en-US" w:eastAsia="zh-CN"/>
        </w:rPr>
        <w:t>11.89</w:t>
      </w:r>
      <w:r>
        <w:rPr>
          <w:rFonts w:hint="eastAsia" w:ascii="Times New Roman" w:hAnsi="Times New Roman" w:eastAsia="仿宋_GB2312"/>
          <w:sz w:val="32"/>
          <w:szCs w:val="32"/>
          <w:highlight w:val="none"/>
        </w:rPr>
        <w:t>%。货物采购授予中小企业合同金额占货物支出金额的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%，工程采购授予中小企业合同金额占工程支出金额的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%，服务采购授予中小企业合同金额占服务支出金额的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w:t>
      </w:r>
    </w:p>
    <w:p w14:paraId="7FB4AF58">
      <w:pPr>
        <w:pStyle w:val="15"/>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三</w:t>
      </w:r>
      <w:r>
        <w:rPr>
          <w:rFonts w:hint="eastAsia" w:ascii="黑体" w:hAnsi="黑体" w:eastAsia="黑体" w:cs="黑体"/>
          <w:b w:val="0"/>
          <w:bCs/>
          <w:color w:val="auto"/>
          <w:sz w:val="32"/>
          <w:szCs w:val="32"/>
        </w:rPr>
        <w:t>、关于国有资产占用情况说明</w:t>
      </w:r>
    </w:p>
    <w:p w14:paraId="7663227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截至202</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年12月31日，</w:t>
      </w:r>
      <w:r>
        <w:rPr>
          <w:rFonts w:hint="eastAsia" w:ascii="Times New Roman" w:hAnsi="Times New Roman" w:eastAsia="仿宋_GB2312"/>
          <w:sz w:val="32"/>
          <w:szCs w:val="32"/>
          <w:highlight w:val="none"/>
          <w:lang w:eastAsia="zh-CN"/>
        </w:rPr>
        <w:t>部门（单位）</w:t>
      </w:r>
      <w:r>
        <w:rPr>
          <w:rFonts w:hint="eastAsia" w:ascii="Times New Roman" w:hAnsi="Times New Roman" w:eastAsia="仿宋_GB2312"/>
          <w:sz w:val="32"/>
          <w:szCs w:val="32"/>
          <w:highlight w:val="none"/>
        </w:rPr>
        <w:t>共有车辆</w:t>
      </w:r>
      <w:r>
        <w:rPr>
          <w:rFonts w:hint="eastAsia" w:ascii="Times New Roman" w:hAnsi="Times New Roman" w:eastAsia="仿宋_GB2312"/>
          <w:sz w:val="32"/>
          <w:szCs w:val="32"/>
          <w:highlight w:val="none"/>
          <w:lang w:val="en-US" w:eastAsia="zh-CN"/>
        </w:rPr>
        <w:t>56</w:t>
      </w:r>
      <w:r>
        <w:rPr>
          <w:rFonts w:hint="eastAsia" w:ascii="Times New Roman" w:hAnsi="Times New Roman" w:eastAsia="仿宋_GB2312"/>
          <w:sz w:val="32"/>
          <w:szCs w:val="32"/>
          <w:highlight w:val="none"/>
        </w:rPr>
        <w:t>辆，其中</w:t>
      </w:r>
      <w:r>
        <w:rPr>
          <w:rFonts w:hint="eastAsia" w:ascii="Times New Roman" w:hAnsi="Times New Roman" w:eastAsia="仿宋_GB2312"/>
          <w:sz w:val="32"/>
          <w:szCs w:val="32"/>
          <w:highlight w:val="none"/>
          <w:lang w:eastAsia="zh-CN"/>
        </w:rPr>
        <w:t>，副部（省）级及以上领导用车</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辆</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主要</w:t>
      </w:r>
      <w:r>
        <w:rPr>
          <w:rFonts w:hint="eastAsia" w:ascii="Times New Roman" w:hAnsi="Times New Roman" w:eastAsia="仿宋_GB2312"/>
          <w:sz w:val="32"/>
          <w:szCs w:val="32"/>
          <w:highlight w:val="none"/>
          <w:lang w:eastAsia="zh-CN"/>
        </w:rPr>
        <w:t>负责人</w:t>
      </w:r>
      <w:r>
        <w:rPr>
          <w:rFonts w:hint="eastAsia" w:ascii="Times New Roman" w:hAnsi="Times New Roman" w:eastAsia="仿宋_GB2312"/>
          <w:sz w:val="32"/>
          <w:szCs w:val="32"/>
          <w:highlight w:val="none"/>
        </w:rPr>
        <w:t>用车</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辆</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机要通信用车</w:t>
      </w: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rPr>
        <w:t>辆、应急保障用车</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辆、执法执勤用车</w:t>
      </w: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rPr>
        <w:t>辆、特种专业技术用车</w:t>
      </w:r>
      <w:r>
        <w:rPr>
          <w:rFonts w:hint="eastAsia" w:ascii="Times New Roman" w:hAnsi="Times New Roman" w:eastAsia="仿宋_GB2312"/>
          <w:sz w:val="32"/>
          <w:szCs w:val="32"/>
          <w:highlight w:val="none"/>
          <w:lang w:val="en-US" w:eastAsia="zh-CN"/>
        </w:rPr>
        <w:t>19</w:t>
      </w:r>
      <w:r>
        <w:rPr>
          <w:rFonts w:hint="eastAsia" w:ascii="Times New Roman" w:hAnsi="Times New Roman" w:eastAsia="仿宋_GB2312"/>
          <w:sz w:val="32"/>
          <w:szCs w:val="32"/>
          <w:highlight w:val="none"/>
        </w:rPr>
        <w:t>辆、</w:t>
      </w:r>
      <w:r>
        <w:rPr>
          <w:rFonts w:hint="eastAsia" w:ascii="Times New Roman" w:hAnsi="Times New Roman" w:eastAsia="仿宋_GB2312"/>
          <w:sz w:val="32"/>
          <w:szCs w:val="32"/>
          <w:highlight w:val="none"/>
          <w:lang w:eastAsia="zh-CN"/>
        </w:rPr>
        <w:t>离退休干部服务用车</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辆、其他用车</w:t>
      </w:r>
      <w:r>
        <w:rPr>
          <w:rFonts w:hint="eastAsia" w:ascii="Times New Roman" w:hAnsi="Times New Roman" w:eastAsia="仿宋_GB2312"/>
          <w:sz w:val="32"/>
          <w:szCs w:val="32"/>
          <w:highlight w:val="none"/>
          <w:lang w:val="en-US" w:eastAsia="zh-CN"/>
        </w:rPr>
        <w:t>33</w:t>
      </w:r>
      <w:r>
        <w:rPr>
          <w:rFonts w:hint="eastAsia" w:ascii="Times New Roman" w:hAnsi="Times New Roman" w:eastAsia="仿宋_GB2312"/>
          <w:sz w:val="32"/>
          <w:szCs w:val="32"/>
          <w:highlight w:val="none"/>
        </w:rPr>
        <w:t>辆，其他用车主要是</w:t>
      </w:r>
      <w:r>
        <w:rPr>
          <w:rFonts w:hint="eastAsia" w:ascii="Times New Roman" w:hAnsi="Times New Roman" w:eastAsia="仿宋_GB2312"/>
          <w:sz w:val="32"/>
          <w:szCs w:val="32"/>
          <w:highlight w:val="none"/>
          <w:lang w:eastAsia="zh-CN"/>
        </w:rPr>
        <w:t>包含公务用车</w:t>
      </w:r>
      <w:r>
        <w:rPr>
          <w:rFonts w:hint="eastAsia" w:ascii="Times New Roman" w:hAnsi="Times New Roman" w:eastAsia="仿宋_GB2312"/>
          <w:sz w:val="32"/>
          <w:szCs w:val="32"/>
          <w:highlight w:val="none"/>
          <w:lang w:val="en-US" w:eastAsia="zh-CN"/>
        </w:rPr>
        <w:t>1台、</w:t>
      </w:r>
      <w:r>
        <w:rPr>
          <w:rFonts w:hint="eastAsia" w:ascii="Times New Roman" w:hAnsi="Times New Roman" w:eastAsia="仿宋_GB2312"/>
          <w:sz w:val="32"/>
          <w:szCs w:val="32"/>
          <w:highlight w:val="none"/>
          <w:lang w:eastAsia="zh-CN"/>
        </w:rPr>
        <w:t>工具车和环卫车辆</w:t>
      </w:r>
      <w:r>
        <w:rPr>
          <w:rFonts w:hint="eastAsia" w:ascii="Times New Roman" w:hAnsi="Times New Roman" w:eastAsia="仿宋_GB2312"/>
          <w:sz w:val="32"/>
          <w:szCs w:val="32"/>
          <w:highlight w:val="none"/>
        </w:rPr>
        <w:t>；单位价值100万元以上设备</w:t>
      </w:r>
      <w:r>
        <w:rPr>
          <w:rFonts w:hint="eastAsia" w:ascii="Times New Roman" w:hAnsi="Times New Roman" w:eastAsia="仿宋_GB2312"/>
          <w:sz w:val="32"/>
          <w:szCs w:val="32"/>
          <w:highlight w:val="none"/>
          <w:lang w:eastAsia="zh-CN"/>
        </w:rPr>
        <w:t>（不含车辆）</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台（套）。</w:t>
      </w:r>
    </w:p>
    <w:p w14:paraId="5F864419">
      <w:pPr>
        <w:pStyle w:val="15"/>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四</w:t>
      </w:r>
      <w:r>
        <w:rPr>
          <w:rFonts w:hint="eastAsia" w:ascii="黑体" w:hAnsi="黑体" w:eastAsia="黑体" w:cs="黑体"/>
          <w:b w:val="0"/>
          <w:bCs/>
          <w:color w:val="auto"/>
          <w:sz w:val="32"/>
          <w:szCs w:val="32"/>
        </w:rPr>
        <w:t>、关于202</w:t>
      </w:r>
      <w:r>
        <w:rPr>
          <w:rFonts w:hint="eastAsia" w:hAnsi="黑体" w:cs="黑体"/>
          <w:b w:val="0"/>
          <w:bCs/>
          <w:color w:val="auto"/>
          <w:sz w:val="32"/>
          <w:szCs w:val="32"/>
          <w:lang w:val="en-US" w:eastAsia="zh-CN"/>
        </w:rPr>
        <w:t>4</w:t>
      </w:r>
      <w:r>
        <w:rPr>
          <w:rFonts w:hint="eastAsia" w:ascii="黑体" w:hAnsi="黑体" w:eastAsia="黑体" w:cs="黑体"/>
          <w:b w:val="0"/>
          <w:bCs/>
          <w:color w:val="auto"/>
          <w:sz w:val="32"/>
          <w:szCs w:val="32"/>
        </w:rPr>
        <w:t>年度</w:t>
      </w:r>
      <w:r>
        <w:rPr>
          <w:rFonts w:hint="eastAsia" w:ascii="黑体" w:hAnsi="黑体" w:eastAsia="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156B37E">
      <w:pPr>
        <w:pStyle w:val="15"/>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50ED168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rPr>
        <w:t>202</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年我局以绩效目标实现为向导，进一步加强制度建设，提升自评质量，预算绩效管理取得成效。一是抓好绩效目标编制，及时报送绩效目标</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二是深入开展财政支出绩效评价，对专项资金实施绩效自评和项目核查，在此基础上形成自评报告。</w:t>
      </w:r>
      <w:r>
        <w:rPr>
          <w:rFonts w:hint="eastAsia" w:ascii="Times New Roman" w:hAnsi="Times New Roman" w:eastAsia="仿宋_GB2312"/>
          <w:sz w:val="32"/>
          <w:szCs w:val="32"/>
          <w:highlight w:val="none"/>
          <w:lang w:val="en-US" w:eastAsia="zh-CN"/>
        </w:rPr>
        <w:t>2024年度我单位重点绩效评价项目为</w:t>
      </w:r>
      <w:r>
        <w:rPr>
          <w:rFonts w:hint="eastAsia" w:ascii="Times New Roman" w:hAnsi="Times New Roman" w:eastAsia="仿宋_GB2312"/>
          <w:sz w:val="32"/>
          <w:szCs w:val="32"/>
          <w:highlight w:val="none"/>
        </w:rPr>
        <w:t>上马垃圾场后续处理项目</w:t>
      </w:r>
      <w:r>
        <w:rPr>
          <w:rFonts w:hint="eastAsia" w:ascii="Times New Roman" w:hAnsi="Times New Roman" w:eastAsia="仿宋_GB2312"/>
          <w:sz w:val="32"/>
          <w:szCs w:val="32"/>
          <w:highlight w:val="none"/>
          <w:lang w:eastAsia="zh-CN"/>
        </w:rPr>
        <w:t>。</w:t>
      </w:r>
    </w:p>
    <w:p w14:paraId="2B2F810C">
      <w:pPr>
        <w:pStyle w:val="15"/>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（二）部门整体支出绩效情况</w:t>
      </w:r>
    </w:p>
    <w:p w14:paraId="2EA36E9E">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t>2024年度部门决算总支出10,980.38万元，其中基本支出2,326.90万元，项目支出8,653.48万元。本单位能严格预算管理，充分按绩效管理各项措施和支出，用好财政支出的每一分钱，严格“三公”经费的支出和管理，没有超预算支出。从整体评价情况来看，我局在预算执行、预算管理及职责履行等方面执行情况较好，保障了正常运转及各项业务工作的正常开展，产生了较好的社会效益，较好地完成了年初设定的部门整体支出各项绩效指标。</w:t>
      </w:r>
    </w:p>
    <w:p w14:paraId="293EF269">
      <w:pPr>
        <w:pStyle w:val="15"/>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251AA887">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t>我局承担着环卫清扫保洁、园林绿化维护、市政基础设施维护、农贸市场保洁及秩序维护、城管执法、城市照明设施等多项职能职责，专项资金种类繁多，涉及面广，且由于临时交办的专项任务等原因，经费预算在年初预算的基础上，存在部分项目超支的情况，预算控制有待加强。</w:t>
      </w:r>
    </w:p>
    <w:p w14:paraId="42AD0F91">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0BE7B0F9">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6ADD8DB3">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7C6A08B4">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1A9BF849">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17BF0104">
      <w:pPr>
        <w:pStyle w:val="15"/>
        <w:keepNext w:val="0"/>
        <w:keepLines w:val="0"/>
        <w:pageBreakBefore w:val="0"/>
        <w:widowControl w:val="0"/>
        <w:kinsoku/>
        <w:wordWrap/>
        <w:overflowPunct/>
        <w:topLinePunct w:val="0"/>
        <w:bidi w:val="0"/>
        <w:spacing w:line="600" w:lineRule="exact"/>
        <w:jc w:val="center"/>
        <w:textAlignment w:val="auto"/>
        <w:rPr>
          <w:sz w:val="72"/>
          <w:szCs w:val="72"/>
        </w:rPr>
      </w:pPr>
    </w:p>
    <w:p w14:paraId="36646C77">
      <w:pPr>
        <w:pStyle w:val="15"/>
        <w:jc w:val="both"/>
        <w:rPr>
          <w:rFonts w:hint="eastAsia" w:ascii="方正小标宋_GBK" w:hAnsi="方正小标宋_GBK" w:eastAsia="方正小标宋_GBK" w:cs="方正小标宋_GBK"/>
          <w:sz w:val="72"/>
          <w:szCs w:val="72"/>
        </w:rPr>
      </w:pPr>
    </w:p>
    <w:p w14:paraId="5B8E4DC0">
      <w:pPr>
        <w:pStyle w:val="15"/>
        <w:jc w:val="both"/>
        <w:rPr>
          <w:rFonts w:hint="eastAsia" w:ascii="方正小标宋_GBK" w:hAnsi="方正小标宋_GBK" w:eastAsia="方正小标宋_GBK" w:cs="方正小标宋_GBK"/>
          <w:sz w:val="72"/>
          <w:szCs w:val="72"/>
        </w:rPr>
      </w:pPr>
    </w:p>
    <w:p w14:paraId="209977F4">
      <w:pPr>
        <w:pStyle w:val="15"/>
        <w:jc w:val="both"/>
        <w:rPr>
          <w:rFonts w:hint="eastAsia" w:ascii="方正小标宋_GBK" w:hAnsi="方正小标宋_GBK" w:eastAsia="方正小标宋_GBK" w:cs="方正小标宋_GBK"/>
          <w:sz w:val="72"/>
          <w:szCs w:val="72"/>
        </w:rPr>
      </w:pPr>
    </w:p>
    <w:p w14:paraId="53CE9BA4">
      <w:pPr>
        <w:pStyle w:val="15"/>
        <w:jc w:val="center"/>
        <w:rPr>
          <w:rFonts w:hint="eastAsia" w:ascii="方正小标宋_GBK" w:hAnsi="方正小标宋_GBK" w:eastAsia="方正小标宋_GBK" w:cs="方正小标宋_GBK"/>
          <w:sz w:val="72"/>
          <w:szCs w:val="72"/>
        </w:rPr>
      </w:pPr>
    </w:p>
    <w:p w14:paraId="19F75E11">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618DC37">
      <w:pPr>
        <w:jc w:val="center"/>
        <w:rPr>
          <w:rFonts w:hint="eastAsia" w:ascii="方正小标宋_GBK" w:hAnsi="方正小标宋_GBK" w:eastAsia="方正小标宋_GBK" w:cs="方正小标宋_GBK"/>
          <w:color w:val="000000"/>
          <w:kern w:val="0"/>
          <w:sz w:val="70"/>
          <w:szCs w:val="70"/>
        </w:rPr>
      </w:pPr>
    </w:p>
    <w:p w14:paraId="5EA8B074">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953EB55">
      <w:pPr>
        <w:keepNext w:val="0"/>
        <w:keepLines w:val="0"/>
        <w:pageBreakBefore w:val="0"/>
        <w:widowControl w:val="0"/>
        <w:kinsoku/>
        <w:wordWrap/>
        <w:overflowPunct/>
        <w:topLinePunct w:val="0"/>
        <w:bidi w:val="0"/>
        <w:snapToGrid w:val="0"/>
        <w:spacing w:line="600" w:lineRule="exact"/>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方正小标宋_GBK" w:hAnsi="方正小标宋_GBK" w:eastAsia="方正小标宋_GBK" w:cs="方正小标宋_GBK"/>
          <w:color w:val="000000"/>
          <w:kern w:val="0"/>
          <w:sz w:val="70"/>
          <w:szCs w:val="70"/>
        </w:rPr>
        <w:br w:type="page"/>
      </w:r>
      <w:r>
        <w:rPr>
          <w:rFonts w:hint="eastAsia" w:ascii="方正小标宋_GBK" w:hAnsi="方正小标宋_GBK" w:eastAsia="方正小标宋_GBK" w:cs="方正小标宋_GBK"/>
          <w:color w:val="000000"/>
          <w:kern w:val="0"/>
          <w:sz w:val="70"/>
          <w:szCs w:val="70"/>
          <w:lang w:val="en-US" w:eastAsia="zh-CN"/>
        </w:rPr>
        <w:t xml:space="preserve">  </w:t>
      </w:r>
      <w:r>
        <w:rPr>
          <w:rFonts w:hint="eastAsia" w:ascii="Times New Roman" w:hAnsi="Times New Roman" w:eastAsia="仿宋_GB2312" w:cs="黑体"/>
          <w:color w:val="000000"/>
          <w:kern w:val="0"/>
          <w:sz w:val="32"/>
          <w:szCs w:val="32"/>
          <w:highlight w:val="none"/>
          <w:lang w:val="en-US" w:eastAsia="zh-CN" w:bidi="ar-SA"/>
        </w:rPr>
        <w:t>（一）机关运行经费：是指各部门的公用经费，包括办公及印刷费、邮电费、差旅费、会议费、福利费、日常维修费、专用设备及信息网络、办公用房水电费、办公用房物业管理费、公务用车运行维护费以及其他费用。</w:t>
      </w:r>
    </w:p>
    <w:p w14:paraId="2B5CC387">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52493B5">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t>（三）基本支出：是指为保障机构正常运转、完成日常工作任务而发生的人员支出和公用支出。</w:t>
      </w:r>
    </w:p>
    <w:p w14:paraId="0AF82703">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t>（四）项目支出：是指在基本支出之外为完成特定行政任务和事业发展目标所发生的支出。</w:t>
      </w:r>
    </w:p>
    <w:p w14:paraId="1FFADAC8">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p>
    <w:p w14:paraId="2D73B994">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p>
    <w:p w14:paraId="156B4ACC">
      <w:pPr>
        <w:keepNext w:val="0"/>
        <w:keepLines w:val="0"/>
        <w:pageBreakBefore w:val="0"/>
        <w:widowControl w:val="0"/>
        <w:kinsoku/>
        <w:wordWrap/>
        <w:overflowPunct/>
        <w:topLinePunct w:val="0"/>
        <w:bidi w:val="0"/>
        <w:snapToGrid w:val="0"/>
        <w:spacing w:line="600" w:lineRule="exact"/>
        <w:ind w:firstLine="640" w:firstLineChars="200"/>
        <w:textAlignment w:val="auto"/>
        <w:rPr>
          <w:rFonts w:hint="eastAsia" w:ascii="Times New Roman" w:hAnsi="Times New Roman" w:eastAsia="仿宋_GB2312" w:cs="黑体"/>
          <w:color w:val="000000"/>
          <w:kern w:val="0"/>
          <w:sz w:val="32"/>
          <w:szCs w:val="32"/>
          <w:highlight w:val="none"/>
          <w:lang w:val="en-US" w:eastAsia="zh-CN" w:bidi="ar-SA"/>
        </w:rPr>
      </w:pPr>
      <w:r>
        <w:rPr>
          <w:rFonts w:hint="eastAsia" w:ascii="Times New Roman" w:hAnsi="Times New Roman" w:eastAsia="仿宋_GB2312" w:cs="黑体"/>
          <w:color w:val="000000"/>
          <w:kern w:val="0"/>
          <w:sz w:val="32"/>
          <w:szCs w:val="32"/>
          <w:highlight w:val="none"/>
          <w:lang w:val="en-US" w:eastAsia="zh-CN" w:bidi="ar-SA"/>
        </w:rPr>
        <w:br w:type="page"/>
      </w:r>
    </w:p>
    <w:p w14:paraId="70633C8F">
      <w:pPr>
        <w:pStyle w:val="15"/>
        <w:jc w:val="both"/>
        <w:rPr>
          <w:rFonts w:hint="eastAsia" w:ascii="方正小标宋_GBK" w:hAnsi="方正小标宋_GBK" w:eastAsia="方正小标宋_GBK" w:cs="方正小标宋_GBK"/>
          <w:sz w:val="72"/>
          <w:szCs w:val="72"/>
        </w:rPr>
      </w:pPr>
    </w:p>
    <w:p w14:paraId="228C8257">
      <w:pPr>
        <w:pStyle w:val="15"/>
        <w:jc w:val="both"/>
        <w:rPr>
          <w:rFonts w:hint="eastAsia" w:ascii="方正小标宋_GBK" w:hAnsi="方正小标宋_GBK" w:eastAsia="方正小标宋_GBK" w:cs="方正小标宋_GBK"/>
          <w:sz w:val="72"/>
          <w:szCs w:val="72"/>
        </w:rPr>
      </w:pPr>
    </w:p>
    <w:p w14:paraId="6B704FE2">
      <w:pPr>
        <w:pStyle w:val="15"/>
        <w:jc w:val="center"/>
        <w:rPr>
          <w:rFonts w:hint="eastAsia" w:ascii="方正小标宋_GBK" w:hAnsi="方正小标宋_GBK" w:eastAsia="方正小标宋_GBK" w:cs="方正小标宋_GBK"/>
          <w:sz w:val="72"/>
          <w:szCs w:val="72"/>
        </w:rPr>
      </w:pPr>
    </w:p>
    <w:p w14:paraId="139B714E">
      <w:pPr>
        <w:pStyle w:val="15"/>
        <w:jc w:val="center"/>
        <w:rPr>
          <w:rFonts w:hint="eastAsia" w:ascii="方正小标宋_GBK" w:hAnsi="方正小标宋_GBK" w:eastAsia="方正小标宋_GBK" w:cs="方正小标宋_GBK"/>
          <w:sz w:val="72"/>
          <w:szCs w:val="72"/>
        </w:rPr>
      </w:pPr>
    </w:p>
    <w:p w14:paraId="38FB6558">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450A6E84">
      <w:pPr>
        <w:pStyle w:val="15"/>
        <w:jc w:val="center"/>
        <w:rPr>
          <w:rFonts w:hint="eastAsia" w:ascii="方正小标宋_GBK" w:hAnsi="方正小标宋_GBK" w:eastAsia="方正小标宋_GBK" w:cs="方正小标宋_GBK"/>
          <w:sz w:val="70"/>
          <w:szCs w:val="70"/>
        </w:rPr>
      </w:pPr>
    </w:p>
    <w:p w14:paraId="37D96A4B">
      <w:pPr>
        <w:pStyle w:val="15"/>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940D00D">
      <w:pPr>
        <w:rPr>
          <w:sz w:val="72"/>
          <w:szCs w:val="72"/>
        </w:rPr>
      </w:pPr>
      <w:r>
        <w:rPr>
          <w:sz w:val="72"/>
          <w:szCs w:val="72"/>
        </w:rPr>
        <w:br w:type="page"/>
      </w:r>
    </w:p>
    <w:p w14:paraId="06A9619F">
      <w:pPr>
        <w:pStyle w:val="15"/>
        <w:spacing w:line="60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湘潭县城市管理和综合执法局</w:t>
      </w:r>
      <w:r>
        <w:rPr>
          <w:rFonts w:hint="eastAsia" w:ascii="楷体" w:hAnsi="楷体" w:eastAsia="楷体" w:cs="楷体"/>
          <w:b/>
          <w:bCs/>
          <w:sz w:val="32"/>
          <w:szCs w:val="32"/>
          <w:lang w:val="en-US" w:eastAsia="zh-CN"/>
        </w:rPr>
        <w:t>2024年度</w:t>
      </w:r>
      <w:r>
        <w:rPr>
          <w:rFonts w:hint="eastAsia" w:ascii="楷体" w:hAnsi="楷体" w:eastAsia="楷体" w:cs="楷体"/>
          <w:b/>
          <w:bCs/>
          <w:sz w:val="32"/>
          <w:szCs w:val="32"/>
        </w:rPr>
        <w:t>部门整体支出绩效评价报告</w:t>
      </w:r>
      <w:r>
        <w:rPr>
          <w:rFonts w:hint="eastAsia" w:ascii="楷体" w:hAnsi="楷体" w:eastAsia="楷体" w:cs="楷体"/>
          <w:b/>
          <w:bCs/>
          <w:sz w:val="32"/>
          <w:szCs w:val="32"/>
          <w:lang w:eastAsia="zh-CN"/>
        </w:rPr>
        <w:t>。详见：</w:t>
      </w:r>
    </w:p>
    <w:p w14:paraId="45CD140E">
      <w:pPr>
        <w:pStyle w:val="9"/>
        <w:rPr>
          <w:rFonts w:hint="eastAsia"/>
          <w:lang w:eastAsia="zh-CN"/>
        </w:rPr>
      </w:pPr>
    </w:p>
    <w:p w14:paraId="6292E32C">
      <w:pPr>
        <w:pStyle w:val="9"/>
        <w:rPr>
          <w:rFonts w:hint="eastAsia"/>
          <w:sz w:val="32"/>
          <w:szCs w:val="32"/>
          <w:lang w:eastAsia="zh-CN"/>
        </w:rPr>
      </w:pPr>
      <w:r>
        <w:rPr>
          <w:rFonts w:hint="eastAsia"/>
          <w:sz w:val="32"/>
          <w:szCs w:val="32"/>
          <w:lang w:eastAsia="zh-CN"/>
        </w:rPr>
        <w:t>http://www.xtx.gov.cn/9040/9053/9061/content_1375102.html</w:t>
      </w:r>
    </w:p>
    <w:sectPr>
      <w:pgSz w:w="11906" w:h="16838"/>
      <w:pgMar w:top="1417" w:right="1587" w:bottom="1417" w:left="1587"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21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xNzZjYTA1NjMxYTFiZGJmNWVjNzVjMGQwYjNkYzMifQ=="/>
  </w:docVars>
  <w:rsids>
    <w:rsidRoot w:val="00172A27"/>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61AEA"/>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2A6766"/>
    <w:rsid w:val="02A66735"/>
    <w:rsid w:val="02CC178B"/>
    <w:rsid w:val="02DA1F3A"/>
    <w:rsid w:val="03472531"/>
    <w:rsid w:val="035E5B8C"/>
    <w:rsid w:val="03653EFA"/>
    <w:rsid w:val="03B10EED"/>
    <w:rsid w:val="03D972CA"/>
    <w:rsid w:val="04977E1D"/>
    <w:rsid w:val="04C9670A"/>
    <w:rsid w:val="04D84BA6"/>
    <w:rsid w:val="05107E95"/>
    <w:rsid w:val="051931EE"/>
    <w:rsid w:val="05AA02EA"/>
    <w:rsid w:val="05B547BC"/>
    <w:rsid w:val="0615249B"/>
    <w:rsid w:val="062B5387"/>
    <w:rsid w:val="06DC7C3B"/>
    <w:rsid w:val="06FE3C8A"/>
    <w:rsid w:val="072126D6"/>
    <w:rsid w:val="074D3623"/>
    <w:rsid w:val="07542753"/>
    <w:rsid w:val="089E7EE4"/>
    <w:rsid w:val="08E04B71"/>
    <w:rsid w:val="0937305E"/>
    <w:rsid w:val="09F90D0D"/>
    <w:rsid w:val="0A3925DE"/>
    <w:rsid w:val="0A93686C"/>
    <w:rsid w:val="0AB85D4E"/>
    <w:rsid w:val="0AE55920"/>
    <w:rsid w:val="0B077F8D"/>
    <w:rsid w:val="0B16798B"/>
    <w:rsid w:val="0B904CD3"/>
    <w:rsid w:val="0B9F3D21"/>
    <w:rsid w:val="0C426F08"/>
    <w:rsid w:val="0CB51223"/>
    <w:rsid w:val="0D077DD0"/>
    <w:rsid w:val="0DE42CE1"/>
    <w:rsid w:val="0DFA6DEB"/>
    <w:rsid w:val="0EC913E2"/>
    <w:rsid w:val="0EE04D7C"/>
    <w:rsid w:val="0FAC45A5"/>
    <w:rsid w:val="0FC42E8F"/>
    <w:rsid w:val="107514F4"/>
    <w:rsid w:val="114C52EE"/>
    <w:rsid w:val="116A6B7F"/>
    <w:rsid w:val="11BC387F"/>
    <w:rsid w:val="11FE72EC"/>
    <w:rsid w:val="12354559"/>
    <w:rsid w:val="129051EB"/>
    <w:rsid w:val="12AB75AE"/>
    <w:rsid w:val="12D44BF8"/>
    <w:rsid w:val="13337749"/>
    <w:rsid w:val="135D4BEE"/>
    <w:rsid w:val="13EB273A"/>
    <w:rsid w:val="140A66FC"/>
    <w:rsid w:val="14123C2A"/>
    <w:rsid w:val="141310F7"/>
    <w:rsid w:val="1413317C"/>
    <w:rsid w:val="14856E2A"/>
    <w:rsid w:val="167023C1"/>
    <w:rsid w:val="16AB13CB"/>
    <w:rsid w:val="17103D25"/>
    <w:rsid w:val="180C0990"/>
    <w:rsid w:val="181066D2"/>
    <w:rsid w:val="1890336F"/>
    <w:rsid w:val="19526F10"/>
    <w:rsid w:val="199D3F96"/>
    <w:rsid w:val="19B6743E"/>
    <w:rsid w:val="19C05ED6"/>
    <w:rsid w:val="19CA7222"/>
    <w:rsid w:val="1A11197A"/>
    <w:rsid w:val="1A2521DD"/>
    <w:rsid w:val="1A442B13"/>
    <w:rsid w:val="1A6E0065"/>
    <w:rsid w:val="1A930EF5"/>
    <w:rsid w:val="1AC6751C"/>
    <w:rsid w:val="1B1C03B2"/>
    <w:rsid w:val="1B91125F"/>
    <w:rsid w:val="1BAD248A"/>
    <w:rsid w:val="1BBD4A55"/>
    <w:rsid w:val="1BC0396B"/>
    <w:rsid w:val="1BFF26CF"/>
    <w:rsid w:val="1C0025BA"/>
    <w:rsid w:val="1CDA40D8"/>
    <w:rsid w:val="1D0B7B55"/>
    <w:rsid w:val="1D5D57EA"/>
    <w:rsid w:val="1D97DEFF"/>
    <w:rsid w:val="1DA67191"/>
    <w:rsid w:val="1DDE39C5"/>
    <w:rsid w:val="1DFF72E5"/>
    <w:rsid w:val="1E1B192D"/>
    <w:rsid w:val="1EEA2788"/>
    <w:rsid w:val="1EFC6F07"/>
    <w:rsid w:val="1F2A525B"/>
    <w:rsid w:val="1F332CA6"/>
    <w:rsid w:val="1F7A2683"/>
    <w:rsid w:val="1FD55B0C"/>
    <w:rsid w:val="1FDC1FA3"/>
    <w:rsid w:val="1FE87F35"/>
    <w:rsid w:val="20765B4C"/>
    <w:rsid w:val="2084257A"/>
    <w:rsid w:val="215B0293"/>
    <w:rsid w:val="216E5E94"/>
    <w:rsid w:val="21872D7C"/>
    <w:rsid w:val="21CE1FE0"/>
    <w:rsid w:val="21F30AB1"/>
    <w:rsid w:val="22C86F8D"/>
    <w:rsid w:val="22CD6F6E"/>
    <w:rsid w:val="23495CBC"/>
    <w:rsid w:val="246B10FD"/>
    <w:rsid w:val="252C50FA"/>
    <w:rsid w:val="25453733"/>
    <w:rsid w:val="25537F6E"/>
    <w:rsid w:val="261455E0"/>
    <w:rsid w:val="263F16B0"/>
    <w:rsid w:val="26F23447"/>
    <w:rsid w:val="2767173F"/>
    <w:rsid w:val="28094EEC"/>
    <w:rsid w:val="281144FC"/>
    <w:rsid w:val="285007BB"/>
    <w:rsid w:val="28700AC7"/>
    <w:rsid w:val="28922570"/>
    <w:rsid w:val="28BA377F"/>
    <w:rsid w:val="2A2A1619"/>
    <w:rsid w:val="2A465B5C"/>
    <w:rsid w:val="2AA50EFC"/>
    <w:rsid w:val="2B30453E"/>
    <w:rsid w:val="2B5841C1"/>
    <w:rsid w:val="2BBD3699"/>
    <w:rsid w:val="2BEB6DE3"/>
    <w:rsid w:val="2C721DD4"/>
    <w:rsid w:val="2C771A65"/>
    <w:rsid w:val="2C9306EA"/>
    <w:rsid w:val="2CAC08A7"/>
    <w:rsid w:val="2CBE448E"/>
    <w:rsid w:val="2DB63420"/>
    <w:rsid w:val="2DBF74DA"/>
    <w:rsid w:val="2DE477E0"/>
    <w:rsid w:val="2DEC5691"/>
    <w:rsid w:val="2DF84103"/>
    <w:rsid w:val="2E064867"/>
    <w:rsid w:val="2E565BE6"/>
    <w:rsid w:val="2E5F5866"/>
    <w:rsid w:val="2F665E23"/>
    <w:rsid w:val="2FDF85B8"/>
    <w:rsid w:val="2FFFEE04"/>
    <w:rsid w:val="308B3CC1"/>
    <w:rsid w:val="31BC1F63"/>
    <w:rsid w:val="31D64091"/>
    <w:rsid w:val="31E4412E"/>
    <w:rsid w:val="31F918F3"/>
    <w:rsid w:val="3209008F"/>
    <w:rsid w:val="323A4620"/>
    <w:rsid w:val="32676A97"/>
    <w:rsid w:val="32BE2D9B"/>
    <w:rsid w:val="32C71C2C"/>
    <w:rsid w:val="32FC7B27"/>
    <w:rsid w:val="330428CD"/>
    <w:rsid w:val="331C5AD4"/>
    <w:rsid w:val="333B4DFF"/>
    <w:rsid w:val="33F22CD8"/>
    <w:rsid w:val="342157D0"/>
    <w:rsid w:val="349B3370"/>
    <w:rsid w:val="34B72695"/>
    <w:rsid w:val="34DF85B0"/>
    <w:rsid w:val="351F3659"/>
    <w:rsid w:val="35304312"/>
    <w:rsid w:val="35492DCC"/>
    <w:rsid w:val="35A554CC"/>
    <w:rsid w:val="365732C7"/>
    <w:rsid w:val="36EB2D53"/>
    <w:rsid w:val="37184804"/>
    <w:rsid w:val="37FA03AE"/>
    <w:rsid w:val="38BB18EB"/>
    <w:rsid w:val="38F90969"/>
    <w:rsid w:val="3914724D"/>
    <w:rsid w:val="398C6B31"/>
    <w:rsid w:val="39B73B6A"/>
    <w:rsid w:val="39FE23D7"/>
    <w:rsid w:val="3A036F3F"/>
    <w:rsid w:val="3A135A5B"/>
    <w:rsid w:val="3B1E4879"/>
    <w:rsid w:val="3B512F70"/>
    <w:rsid w:val="3B6B3A9C"/>
    <w:rsid w:val="3B78489C"/>
    <w:rsid w:val="3B8F36BC"/>
    <w:rsid w:val="3C2E0626"/>
    <w:rsid w:val="3C5820C7"/>
    <w:rsid w:val="3C700C3E"/>
    <w:rsid w:val="3CCD2CF9"/>
    <w:rsid w:val="3D0575D8"/>
    <w:rsid w:val="3F2034B0"/>
    <w:rsid w:val="3F2F6B8F"/>
    <w:rsid w:val="3F355D40"/>
    <w:rsid w:val="3FA878CF"/>
    <w:rsid w:val="3FD61700"/>
    <w:rsid w:val="3FDB2873"/>
    <w:rsid w:val="4037219F"/>
    <w:rsid w:val="40D86BD2"/>
    <w:rsid w:val="40E816EB"/>
    <w:rsid w:val="410431E5"/>
    <w:rsid w:val="414C1738"/>
    <w:rsid w:val="416C40CA"/>
    <w:rsid w:val="41DF37D3"/>
    <w:rsid w:val="420E6F2F"/>
    <w:rsid w:val="4258464E"/>
    <w:rsid w:val="426B25D4"/>
    <w:rsid w:val="4292190E"/>
    <w:rsid w:val="42D96731"/>
    <w:rsid w:val="436326A5"/>
    <w:rsid w:val="44BD6AC2"/>
    <w:rsid w:val="46337A14"/>
    <w:rsid w:val="4716784A"/>
    <w:rsid w:val="473531B0"/>
    <w:rsid w:val="47826129"/>
    <w:rsid w:val="47D27105"/>
    <w:rsid w:val="48C362FC"/>
    <w:rsid w:val="491A265E"/>
    <w:rsid w:val="491FF225"/>
    <w:rsid w:val="49296D45"/>
    <w:rsid w:val="499C7517"/>
    <w:rsid w:val="49F511D8"/>
    <w:rsid w:val="4A176B9D"/>
    <w:rsid w:val="4A192915"/>
    <w:rsid w:val="4A225C6E"/>
    <w:rsid w:val="4A275658"/>
    <w:rsid w:val="4A6415D7"/>
    <w:rsid w:val="4A6E2070"/>
    <w:rsid w:val="4B6F4162"/>
    <w:rsid w:val="4BF076A6"/>
    <w:rsid w:val="4C4A5008"/>
    <w:rsid w:val="4CB10C20"/>
    <w:rsid w:val="4CCC1EC1"/>
    <w:rsid w:val="4D6F2A5E"/>
    <w:rsid w:val="4D9C6910"/>
    <w:rsid w:val="4DBE0454"/>
    <w:rsid w:val="4E047D31"/>
    <w:rsid w:val="4E10402F"/>
    <w:rsid w:val="4E113D5D"/>
    <w:rsid w:val="4E143B1F"/>
    <w:rsid w:val="4E1C4782"/>
    <w:rsid w:val="4E241889"/>
    <w:rsid w:val="4E2F2707"/>
    <w:rsid w:val="4E345F70"/>
    <w:rsid w:val="4EA34EA3"/>
    <w:rsid w:val="4EE80B08"/>
    <w:rsid w:val="4EED7AC4"/>
    <w:rsid w:val="4F2A29AD"/>
    <w:rsid w:val="4FE61BD1"/>
    <w:rsid w:val="4FFD214C"/>
    <w:rsid w:val="50CC248F"/>
    <w:rsid w:val="50FB4B23"/>
    <w:rsid w:val="51714DE5"/>
    <w:rsid w:val="51B700AA"/>
    <w:rsid w:val="524F6925"/>
    <w:rsid w:val="526602D5"/>
    <w:rsid w:val="52B256B5"/>
    <w:rsid w:val="52CD6993"/>
    <w:rsid w:val="52ED493F"/>
    <w:rsid w:val="52F901B7"/>
    <w:rsid w:val="537D2D3B"/>
    <w:rsid w:val="53C9715A"/>
    <w:rsid w:val="53FE0149"/>
    <w:rsid w:val="54521413"/>
    <w:rsid w:val="54817A35"/>
    <w:rsid w:val="548B22E4"/>
    <w:rsid w:val="5490662A"/>
    <w:rsid w:val="54A51975"/>
    <w:rsid w:val="551E7032"/>
    <w:rsid w:val="55795AF9"/>
    <w:rsid w:val="55CD0AB8"/>
    <w:rsid w:val="566A6777"/>
    <w:rsid w:val="5679072B"/>
    <w:rsid w:val="570A1F63"/>
    <w:rsid w:val="5777D4F5"/>
    <w:rsid w:val="57AB06F3"/>
    <w:rsid w:val="58171AA2"/>
    <w:rsid w:val="582804CB"/>
    <w:rsid w:val="58382B00"/>
    <w:rsid w:val="58580AAD"/>
    <w:rsid w:val="58596B7D"/>
    <w:rsid w:val="58C24B9F"/>
    <w:rsid w:val="58D02D39"/>
    <w:rsid w:val="59DD8326"/>
    <w:rsid w:val="5A9005AA"/>
    <w:rsid w:val="5AAC3332"/>
    <w:rsid w:val="5B290C15"/>
    <w:rsid w:val="5B48305A"/>
    <w:rsid w:val="5B7420A1"/>
    <w:rsid w:val="5BCC3570"/>
    <w:rsid w:val="5C3C4CF7"/>
    <w:rsid w:val="5C720BA1"/>
    <w:rsid w:val="5C9771B3"/>
    <w:rsid w:val="5CEB6393"/>
    <w:rsid w:val="5DC36C7B"/>
    <w:rsid w:val="5DCE1718"/>
    <w:rsid w:val="5DEF592A"/>
    <w:rsid w:val="5DF94AE0"/>
    <w:rsid w:val="5DFF0350"/>
    <w:rsid w:val="5E4A533B"/>
    <w:rsid w:val="5E5E52E9"/>
    <w:rsid w:val="5E7B72A3"/>
    <w:rsid w:val="5E9B01A4"/>
    <w:rsid w:val="5F08322C"/>
    <w:rsid w:val="5F0A350F"/>
    <w:rsid w:val="5F166FCB"/>
    <w:rsid w:val="5FC6BB1E"/>
    <w:rsid w:val="5FED5F7E"/>
    <w:rsid w:val="5FF720F1"/>
    <w:rsid w:val="603A5230"/>
    <w:rsid w:val="60706893"/>
    <w:rsid w:val="60A32AE1"/>
    <w:rsid w:val="60C05441"/>
    <w:rsid w:val="611539DF"/>
    <w:rsid w:val="614121A9"/>
    <w:rsid w:val="616458C7"/>
    <w:rsid w:val="62233AD9"/>
    <w:rsid w:val="62FA7330"/>
    <w:rsid w:val="63276A8B"/>
    <w:rsid w:val="63677F3E"/>
    <w:rsid w:val="63F83144"/>
    <w:rsid w:val="641E3933"/>
    <w:rsid w:val="64262125"/>
    <w:rsid w:val="64394D3E"/>
    <w:rsid w:val="64721148"/>
    <w:rsid w:val="648A1040"/>
    <w:rsid w:val="64B259E8"/>
    <w:rsid w:val="64F5123F"/>
    <w:rsid w:val="66065FEC"/>
    <w:rsid w:val="663303D2"/>
    <w:rsid w:val="66545717"/>
    <w:rsid w:val="67050051"/>
    <w:rsid w:val="674A015A"/>
    <w:rsid w:val="6750050A"/>
    <w:rsid w:val="6783434D"/>
    <w:rsid w:val="67BA708E"/>
    <w:rsid w:val="67BC2E06"/>
    <w:rsid w:val="67C46AEF"/>
    <w:rsid w:val="67FF5C0B"/>
    <w:rsid w:val="681E586F"/>
    <w:rsid w:val="6832131A"/>
    <w:rsid w:val="68D221B5"/>
    <w:rsid w:val="695157D0"/>
    <w:rsid w:val="69C45FA2"/>
    <w:rsid w:val="6A042842"/>
    <w:rsid w:val="6A1C5DDE"/>
    <w:rsid w:val="6ADE513A"/>
    <w:rsid w:val="6B3233DF"/>
    <w:rsid w:val="6B421874"/>
    <w:rsid w:val="6B587F9A"/>
    <w:rsid w:val="6B6B09A3"/>
    <w:rsid w:val="6B9876E6"/>
    <w:rsid w:val="6D062604"/>
    <w:rsid w:val="6D2D365A"/>
    <w:rsid w:val="6E5829BA"/>
    <w:rsid w:val="6E6E472E"/>
    <w:rsid w:val="6E8421A4"/>
    <w:rsid w:val="6ECA6E08"/>
    <w:rsid w:val="6EDA6F7E"/>
    <w:rsid w:val="6EFC0924"/>
    <w:rsid w:val="6F062BB9"/>
    <w:rsid w:val="6F1E7F02"/>
    <w:rsid w:val="6F1F53E4"/>
    <w:rsid w:val="6F494250"/>
    <w:rsid w:val="6F5E26E0"/>
    <w:rsid w:val="6FB33DBA"/>
    <w:rsid w:val="6FB74722"/>
    <w:rsid w:val="6FDE777C"/>
    <w:rsid w:val="6FEF8B7E"/>
    <w:rsid w:val="708D3BB3"/>
    <w:rsid w:val="70C66AA3"/>
    <w:rsid w:val="70F35357"/>
    <w:rsid w:val="711E068D"/>
    <w:rsid w:val="718F2BFF"/>
    <w:rsid w:val="71A6591B"/>
    <w:rsid w:val="71C54FAD"/>
    <w:rsid w:val="724E4FA2"/>
    <w:rsid w:val="73467A28"/>
    <w:rsid w:val="73682094"/>
    <w:rsid w:val="737D59BA"/>
    <w:rsid w:val="73E536E4"/>
    <w:rsid w:val="73F91AAA"/>
    <w:rsid w:val="74382C68"/>
    <w:rsid w:val="758807CB"/>
    <w:rsid w:val="75986D4F"/>
    <w:rsid w:val="75D67789"/>
    <w:rsid w:val="76D637B8"/>
    <w:rsid w:val="77505319"/>
    <w:rsid w:val="77C37683"/>
    <w:rsid w:val="77E319EB"/>
    <w:rsid w:val="77F40705"/>
    <w:rsid w:val="77F80F29"/>
    <w:rsid w:val="78462D44"/>
    <w:rsid w:val="78857244"/>
    <w:rsid w:val="78C77FCD"/>
    <w:rsid w:val="79594531"/>
    <w:rsid w:val="796E7DFE"/>
    <w:rsid w:val="79B17BC5"/>
    <w:rsid w:val="79BC0732"/>
    <w:rsid w:val="79D35595"/>
    <w:rsid w:val="79FF515B"/>
    <w:rsid w:val="7A0A00D8"/>
    <w:rsid w:val="7A122D74"/>
    <w:rsid w:val="7A21462F"/>
    <w:rsid w:val="7ADF7854"/>
    <w:rsid w:val="7AFD7566"/>
    <w:rsid w:val="7B6475E5"/>
    <w:rsid w:val="7B7E5B2F"/>
    <w:rsid w:val="7B8437E3"/>
    <w:rsid w:val="7B8F5D0B"/>
    <w:rsid w:val="7BDF310F"/>
    <w:rsid w:val="7C344E5C"/>
    <w:rsid w:val="7C413482"/>
    <w:rsid w:val="7C75312C"/>
    <w:rsid w:val="7C8A32C0"/>
    <w:rsid w:val="7C985370"/>
    <w:rsid w:val="7CAB4D9F"/>
    <w:rsid w:val="7CE54755"/>
    <w:rsid w:val="7D6B2EAC"/>
    <w:rsid w:val="7E103EF8"/>
    <w:rsid w:val="7E1F2EE5"/>
    <w:rsid w:val="7E71755F"/>
    <w:rsid w:val="7E9E1962"/>
    <w:rsid w:val="7E9F11B4"/>
    <w:rsid w:val="7F37EC1E"/>
    <w:rsid w:val="7F6851CA"/>
    <w:rsid w:val="7F7DCD9D"/>
    <w:rsid w:val="7F970A6F"/>
    <w:rsid w:val="7FB1091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paragraph" w:styleId="3">
    <w:name w:val="Normal Indent"/>
    <w:basedOn w:val="1"/>
    <w:qFormat/>
    <w:uiPriority w:val="0"/>
    <w:pPr>
      <w:ind w:firstLine="420" w:firstLineChars="200"/>
    </w:pPr>
    <w:rPr>
      <w:rFonts w:ascii="Calibri" w:hAnsi="Calibri"/>
    </w:r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7"/>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6"/>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3209</Words>
  <Characters>4472</Characters>
  <Lines>1</Lines>
  <Paragraphs>1</Paragraphs>
  <TotalTime>42</TotalTime>
  <ScaleCrop>false</ScaleCrop>
  <LinksUpToDate>false</LinksUpToDate>
  <CharactersWithSpaces>4783</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心向光芒</cp:lastModifiedBy>
  <cp:lastPrinted>2025-09-23T07:59:00Z</cp:lastPrinted>
  <dcterms:modified xsi:type="dcterms:W3CDTF">2025-09-23T08:17:59Z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D37EE75E7EE3411E8721E2F690FDF3B1_13</vt:lpwstr>
  </property>
  <property fmtid="{D5CDD505-2E9C-101B-9397-08002B2CF9AE}" pid="4" name="KSOTemplateDocerSaveRecord">
    <vt:lpwstr>eyJoZGlkIjoiMzdmYjJjNmY0ODBiMzBlZWY5ZjNlZDcyYmZkYmE1YzUiLCJ1c2VySWQiOiI1MTY2NDg1NzEifQ==</vt:lpwstr>
  </property>
</Properties>
</file>