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E3FDB9">
      <w:pPr>
        <w:widowControl/>
        <w:spacing w:beforeLines="20" w:afterLines="10" w:line="540" w:lineRule="atLeast"/>
        <w:ind w:right="1280"/>
        <w:rPr>
          <w:rFonts w:ascii="仿宋" w:hAnsi="仿宋" w:eastAsia="仿宋" w:cs="仿宋"/>
          <w:color w:val="FF0000"/>
          <w:sz w:val="32"/>
          <w:szCs w:val="32"/>
        </w:rPr>
      </w:pPr>
    </w:p>
    <w:p w14:paraId="504EA0B6">
      <w:pPr>
        <w:widowControl/>
        <w:spacing w:beforeLines="20" w:afterLines="10" w:line="540" w:lineRule="atLeast"/>
        <w:ind w:right="1280"/>
        <w:rPr>
          <w:rFonts w:ascii="仿宋" w:hAnsi="仿宋" w:eastAsia="仿宋" w:cs="仿宋"/>
          <w:color w:val="FF0000"/>
          <w:sz w:val="32"/>
          <w:szCs w:val="32"/>
        </w:rPr>
      </w:pPr>
    </w:p>
    <w:p w14:paraId="4F33501A">
      <w:pPr>
        <w:widowControl/>
        <w:spacing w:beforeLines="20" w:afterLines="10" w:line="540" w:lineRule="atLeast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潭环审(湘潭县)〔2025〕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28</w:t>
      </w:r>
      <w:r>
        <w:rPr>
          <w:rFonts w:hint="eastAsia" w:ascii="仿宋" w:hAnsi="仿宋" w:eastAsia="仿宋" w:cs="仿宋"/>
          <w:sz w:val="32"/>
          <w:szCs w:val="32"/>
        </w:rPr>
        <w:t>号</w:t>
      </w:r>
    </w:p>
    <w:p w14:paraId="3CFA3DDE">
      <w:pPr>
        <w:widowControl/>
        <w:spacing w:line="540" w:lineRule="atLeast"/>
        <w:jc w:val="right"/>
        <w:rPr>
          <w:rFonts w:ascii="仿宋" w:hAnsi="仿宋" w:eastAsia="仿宋" w:cs="仿宋"/>
          <w:color w:val="FF0000"/>
          <w:sz w:val="52"/>
          <w:szCs w:val="52"/>
        </w:rPr>
      </w:pPr>
    </w:p>
    <w:p w14:paraId="42D56369">
      <w:pPr>
        <w:spacing w:line="520" w:lineRule="exact"/>
        <w:ind w:right="-42" w:rightChars="-20"/>
        <w:jc w:val="both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关于《</w:t>
      </w:r>
      <w:bookmarkStart w:id="0" w:name="OLE_LINK6"/>
      <w:bookmarkStart w:id="1" w:name="OLE_LINK7"/>
      <w:bookmarkStart w:id="2" w:name="OLE_LINK10"/>
      <w:r>
        <w:rPr>
          <w:rFonts w:hint="eastAsia" w:ascii="宋体" w:hAnsi="宋体"/>
          <w:b/>
          <w:bCs/>
          <w:sz w:val="44"/>
          <w:szCs w:val="44"/>
        </w:rPr>
        <w:t>湘潭海鑫金属节能制品有限公司年产风扇、风罩3000台套、年处理高铁连接板8000</w:t>
      </w:r>
    </w:p>
    <w:p w14:paraId="31A009E9">
      <w:pPr>
        <w:spacing w:line="520" w:lineRule="exact"/>
        <w:ind w:right="-42" w:rightChars="-20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件建设项目</w:t>
      </w:r>
      <w:bookmarkEnd w:id="0"/>
      <w:bookmarkEnd w:id="1"/>
      <w:bookmarkEnd w:id="2"/>
      <w:r>
        <w:rPr>
          <w:rFonts w:hint="eastAsia" w:ascii="宋体" w:hAnsi="宋体"/>
          <w:b/>
          <w:bCs/>
          <w:sz w:val="44"/>
          <w:szCs w:val="44"/>
        </w:rPr>
        <w:t>环境影响报告表》的审批意见</w:t>
      </w:r>
    </w:p>
    <w:p w14:paraId="0A769680">
      <w:pPr>
        <w:pStyle w:val="2"/>
      </w:pPr>
    </w:p>
    <w:p w14:paraId="1162D75E">
      <w:pPr>
        <w:spacing w:line="480" w:lineRule="exact"/>
        <w:ind w:right="-42" w:rightChars="-20"/>
        <w:jc w:val="center"/>
        <w:rPr>
          <w:rFonts w:ascii="仿宋" w:hAnsi="仿宋" w:eastAsia="仿宋"/>
          <w:color w:val="FF0000"/>
          <w:sz w:val="10"/>
          <w:szCs w:val="10"/>
        </w:rPr>
      </w:pPr>
    </w:p>
    <w:p w14:paraId="64BC8834">
      <w:pPr>
        <w:spacing w:line="480" w:lineRule="exact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湘潭海鑫金属节能制品有限公司：</w:t>
      </w:r>
    </w:p>
    <w:p w14:paraId="36A493C6">
      <w:pPr>
        <w:spacing w:line="48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你单位由湖南华泽环保科技有限公司编制的《湘潭海鑫金属节能制品有限公司</w:t>
      </w:r>
      <w:bookmarkStart w:id="3" w:name="OLE_LINK9"/>
      <w:bookmarkStart w:id="4" w:name="OLE_LINK8"/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年产风扇、风罩3000台套、年处理高铁连接板8000件建设项目</w:t>
      </w:r>
      <w:bookmarkEnd w:id="3"/>
      <w:bookmarkEnd w:id="4"/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环境影响报告表》(以下简称报告表)及相关材料已收悉。经研究，批复如下：</w:t>
      </w:r>
    </w:p>
    <w:p w14:paraId="68E69209">
      <w:pPr>
        <w:spacing w:line="480" w:lineRule="exact"/>
        <w:ind w:firstLine="640" w:firstLineChars="200"/>
        <w:rPr>
          <w:rFonts w:ascii="仿宋" w:hAnsi="仿宋" w:eastAsia="仿宋" w:cs="仿宋"/>
          <w:color w:val="FF0000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一、湘潭海鑫金属节能制品有限</w:t>
      </w:r>
      <w:r>
        <w:rPr>
          <w:rFonts w:hint="eastAsia" w:ascii="仿宋" w:hAnsi="仿宋" w:eastAsia="仿宋" w:cs="仿宋"/>
          <w:sz w:val="32"/>
          <w:szCs w:val="32"/>
        </w:rPr>
        <w:t>公司(前身为湘潭县强盛金属节能制品有限责任公司)位于湘潭天易经开区芸香路2号，原“年产2.2万吨精品钢材及深加工项目、新增喷漆房建设项目”分别通过环评审批和验收（审批文号：2010〔322〕号、潭县环审子〔2019〕39号）。现公司拟投资450万元，选址于湘潭县</w:t>
      </w:r>
      <w:bookmarkStart w:id="5" w:name="OLE_LINK92"/>
      <w:bookmarkStart w:id="6" w:name="OLE_LINK12"/>
      <w:bookmarkStart w:id="7" w:name="OLE_LINK13"/>
      <w:r>
        <w:rPr>
          <w:rFonts w:hint="eastAsia" w:ascii="仿宋" w:hAnsi="仿宋" w:eastAsia="仿宋" w:cs="仿宋"/>
          <w:sz w:val="32"/>
          <w:szCs w:val="32"/>
        </w:rPr>
        <w:t>易俗河镇</w:t>
      </w:r>
      <w:bookmarkEnd w:id="5"/>
      <w:bookmarkEnd w:id="6"/>
      <w:bookmarkEnd w:id="7"/>
      <w:r>
        <w:rPr>
          <w:rFonts w:hint="eastAsia" w:ascii="仿宋" w:hAnsi="仿宋" w:eastAsia="仿宋" w:cs="仿宋"/>
          <w:sz w:val="32"/>
          <w:szCs w:val="32"/>
        </w:rPr>
        <w:t>飞龙村龙大组，租赁湖南涟湘河食品有限公司现有厂房，建设年产风扇、风罩3000台套、年处理高铁连接板8000件建设项目。项目总占地面积</w:t>
      </w:r>
      <w:r>
        <w:rPr>
          <w:rFonts w:ascii="仿宋" w:hAnsi="仿宋" w:eastAsia="仿宋" w:cs="仿宋"/>
          <w:sz w:val="32"/>
          <w:szCs w:val="32"/>
        </w:rPr>
        <w:t>6667</w:t>
      </w:r>
      <w:r>
        <w:rPr>
          <w:rFonts w:hint="eastAsia" w:ascii="仿宋" w:hAnsi="仿宋" w:eastAsia="仿宋" w:cs="仿宋"/>
          <w:sz w:val="32"/>
          <w:szCs w:val="32"/>
        </w:rPr>
        <w:t>m</w:t>
      </w:r>
      <w:r>
        <w:rPr>
          <w:rFonts w:hint="eastAsia" w:ascii="仿宋" w:hAnsi="仿宋" w:eastAsia="仿宋" w:cs="仿宋"/>
          <w:sz w:val="32"/>
          <w:szCs w:val="32"/>
          <w:vertAlign w:val="superscript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，建筑面积5118m</w:t>
      </w:r>
      <w:r>
        <w:rPr>
          <w:rFonts w:hint="eastAsia" w:ascii="仿宋" w:hAnsi="仿宋" w:eastAsia="仿宋" w:cs="仿宋"/>
          <w:sz w:val="32"/>
          <w:szCs w:val="32"/>
          <w:vertAlign w:val="superscript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。主要建设内容包括：生产车间、办公区、仓库等配套环保工程。主要产品方案及规模包括：风扇、风罩3000台套/a、高铁连接板8000件/a。主要生产设备包括：激光切割机1台、钢板剪板机1台、钢板折弯机1台、自动小型钢板滚圆机1台、钢板气体保护焊机4台、喷漆房5套、烤炉3台、打孔机1台、空气压缩机2台、气动打磨机5台等设备。主要原辅材料及能源消耗包括：高铁连接板8000件、丙烯酸酯类树脂涂料2.82t/a、醇酸树脂涂料1.851t/a、稀释剂1.049t/a固化剂0.262t/a、环氧富锌底漆0.574t/a、清洗剂0.5t/a、钢材50t/a、螺栓1t/a、焊条1.5t/a、活性炭9.49t/a、机油0.1t/a、水270t/a电4万kw.h/a等。高铁连接板主要生产工艺流程包括：打孔、打磨、清洗、软化定型、喷漆、烘烤、检验、包装；风扇、风罩主要生产工艺包括：下料切割、折弯卷板、焊接组装、打磨、喷漆、晾干、检验、包装等。</w:t>
      </w:r>
    </w:p>
    <w:p w14:paraId="33982816">
      <w:pPr>
        <w:spacing w:line="480" w:lineRule="exact"/>
        <w:ind w:firstLine="640" w:firstLineChars="200"/>
        <w:rPr>
          <w:rFonts w:ascii="仿宋" w:hAnsi="仿宋" w:eastAsia="仿宋" w:cs="仿宋"/>
          <w:color w:val="FF000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该项目符合国家相关产业政策，根据易俗河镇人民政府意见及环评结论，经现场勘察并集体研究，从环境保护的角度分析，同意项目按报告表中所列内容进行建设。</w:t>
      </w:r>
    </w:p>
    <w:p w14:paraId="186F0FE4"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二、在项目营运期间，建设单位必须认真落实环评报告表中提出的各项环保要求，落实环保“三同时”措施，确保各项污染</w:t>
      </w:r>
      <w:bookmarkStart w:id="20" w:name="_GoBack"/>
      <w:bookmarkEnd w:id="20"/>
      <w:r>
        <w:rPr>
          <w:rFonts w:hint="eastAsia" w:ascii="仿宋" w:hAnsi="仿宋" w:eastAsia="仿宋" w:cs="仿宋"/>
          <w:sz w:val="32"/>
          <w:szCs w:val="32"/>
        </w:rPr>
        <w:t>物稳定达标排放，并须着重做好以下工作：</w:t>
      </w:r>
    </w:p>
    <w:p w14:paraId="20EA66B7">
      <w:pPr>
        <w:pStyle w:val="24"/>
        <w:autoSpaceDE/>
        <w:autoSpaceDN/>
        <w:spacing w:line="4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1、废气污染防治工作。设置单独焊接、打磨专区，切割、焊接和打磨工序产生的粉尘采取移动式粉尘净化器处理后，确保达到《大气污染物综合排放标准》（GB16297-1996）表2中无组织排放监控浓度限值要求。</w:t>
      </w:r>
      <w:bookmarkStart w:id="8" w:name="OLE_LINK15"/>
      <w:bookmarkStart w:id="9" w:name="OLE_LINK14"/>
      <w:r>
        <w:rPr>
          <w:rFonts w:hint="eastAsia" w:ascii="仿宋" w:hAnsi="仿宋" w:eastAsia="仿宋" w:cs="仿宋"/>
          <w:color w:val="auto"/>
          <w:sz w:val="32"/>
          <w:szCs w:val="32"/>
        </w:rPr>
        <w:t>酒精擦拭</w:t>
      </w:r>
      <w:bookmarkEnd w:id="8"/>
      <w:bookmarkEnd w:id="9"/>
      <w:r>
        <w:rPr>
          <w:rFonts w:hint="eastAsia" w:ascii="仿宋" w:hAnsi="仿宋" w:eastAsia="仿宋" w:cs="仿宋"/>
          <w:color w:val="auto"/>
          <w:sz w:val="32"/>
          <w:szCs w:val="32"/>
        </w:rPr>
        <w:t>、喷漆、晾干工序在密闭喷漆房内进行，喷漆工序产生的漆雾采用“水帘除尘+干式过滤”处理后与酒精擦拭、晾干、烤漆工序产生的废气一同经负压收集后，</w:t>
      </w:r>
      <w:bookmarkStart w:id="10" w:name="OLE_LINK31"/>
      <w:bookmarkStart w:id="11" w:name="OLE_LINK32"/>
      <w:r>
        <w:rPr>
          <w:rFonts w:hint="eastAsia" w:ascii="仿宋" w:hAnsi="仿宋" w:eastAsia="仿宋" w:cs="仿宋"/>
          <w:color w:val="auto"/>
          <w:sz w:val="32"/>
          <w:szCs w:val="32"/>
        </w:rPr>
        <w:t>采用“</w:t>
      </w:r>
      <w:bookmarkStart w:id="12" w:name="OLE_LINK94"/>
      <w:bookmarkStart w:id="13" w:name="OLE_LINK93"/>
      <w:r>
        <w:rPr>
          <w:rFonts w:ascii="仿宋" w:hAnsi="仿宋" w:eastAsia="仿宋" w:cs="仿宋"/>
          <w:color w:val="auto"/>
          <w:sz w:val="32"/>
          <w:szCs w:val="32"/>
        </w:rPr>
        <w:t>活性</w:t>
      </w:r>
      <w:bookmarkStart w:id="14" w:name="OLE_LINK20"/>
      <w:bookmarkStart w:id="15" w:name="OLE_LINK21"/>
      <w:r>
        <w:rPr>
          <w:rFonts w:ascii="仿宋" w:hAnsi="仿宋" w:eastAsia="仿宋" w:cs="仿宋"/>
          <w:color w:val="auto"/>
          <w:sz w:val="32"/>
          <w:szCs w:val="32"/>
        </w:rPr>
        <w:t>炭吸附</w:t>
      </w:r>
      <w:bookmarkEnd w:id="14"/>
      <w:bookmarkEnd w:id="15"/>
      <w:r>
        <w:rPr>
          <w:rFonts w:hint="eastAsia" w:ascii="仿宋" w:hAnsi="仿宋" w:eastAsia="仿宋" w:cs="仿宋"/>
          <w:color w:val="auto"/>
          <w:sz w:val="32"/>
          <w:szCs w:val="32"/>
        </w:rPr>
        <w:t>+催化燃烧装置</w:t>
      </w:r>
      <w:bookmarkEnd w:id="12"/>
      <w:bookmarkEnd w:id="13"/>
      <w:r>
        <w:rPr>
          <w:rFonts w:hint="eastAsia" w:ascii="仿宋" w:hAnsi="仿宋" w:eastAsia="仿宋" w:cs="仿宋"/>
          <w:color w:val="auto"/>
          <w:sz w:val="32"/>
          <w:szCs w:val="32"/>
        </w:rPr>
        <w:t>”</w:t>
      </w:r>
      <w:r>
        <w:rPr>
          <w:rFonts w:ascii="仿宋" w:hAnsi="仿宋" w:eastAsia="仿宋" w:cs="仿宋"/>
          <w:color w:val="auto"/>
          <w:sz w:val="32"/>
          <w:szCs w:val="32"/>
        </w:rPr>
        <w:t>处理</w:t>
      </w:r>
      <w:bookmarkEnd w:id="10"/>
      <w:bookmarkEnd w:id="11"/>
      <w:bookmarkStart w:id="16" w:name="OLE_LINK18"/>
      <w:bookmarkStart w:id="17" w:name="OLE_LINK19"/>
      <w:r>
        <w:rPr>
          <w:rFonts w:hint="eastAsia" w:ascii="仿宋" w:hAnsi="仿宋" w:eastAsia="仿宋" w:cs="仿宋"/>
          <w:color w:val="auto"/>
          <w:sz w:val="32"/>
          <w:szCs w:val="32"/>
        </w:rPr>
        <w:t>；调漆和车间内有机废气经负压收集后，采用二级活性炭吸附处理；均</w:t>
      </w:r>
      <w:r>
        <w:rPr>
          <w:rFonts w:hint="eastAsia" w:ascii="仿宋" w:hAnsi="仿宋" w:eastAsia="仿宋" w:cs="仿宋"/>
          <w:sz w:val="32"/>
          <w:szCs w:val="32"/>
        </w:rPr>
        <w:t>通过一根15米高排气筒（DA001）高空排放，有机废气排放确保达到湖南省地方标准《表面涂装(汽车制造及维修)挥发性有机物、镍排放标准》（DB43/1356-2017）表1挥发性有机物排放浓度限值要求，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臭气浓度达到《</w:t>
      </w:r>
      <w:r>
        <w:rPr>
          <w:rFonts w:hint="eastAsia" w:ascii="仿宋" w:hAnsi="仿宋" w:eastAsia="仿宋" w:cs="仿宋"/>
          <w:sz w:val="32"/>
          <w:szCs w:val="32"/>
        </w:rPr>
        <w:t>恶臭污染物排放标准》（GB14554-93）表2中相关标准限值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,</w:t>
      </w:r>
      <w:r>
        <w:rPr>
          <w:rFonts w:hint="eastAsia" w:ascii="Times New Roman" w:hAnsi="Times New Roman" w:eastAsia="仿宋"/>
          <w:color w:val="auto"/>
          <w:sz w:val="32"/>
          <w:szCs w:val="32"/>
        </w:rPr>
        <w:t>二氧化硫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、氮氧化物、颗粒物排放浓度确保达到《湖南省工业炉窑大气污染综合治理实施方案》（湘环发〔2020〕6号）中排放限值，烟气黑度达到《工业炉窑大气污染物排放标准》（GB9078-1996）表2其它炉窑排放浓度限值。</w:t>
      </w:r>
      <w:r>
        <w:rPr>
          <w:rFonts w:hint="eastAsia" w:ascii="仿宋" w:hAnsi="仿宋" w:eastAsia="仿宋" w:cs="仿宋"/>
          <w:sz w:val="32"/>
          <w:szCs w:val="32"/>
        </w:rPr>
        <w:t>厂界VOCs无组织排放达到湖南省地方标准《表面涂装（汽车制造及维修）挥发性有机物、镍排放标准》（DB43/1356-2017）表3中排放浓度限值，恶臭无组织达到《恶臭污染物排放标准》（GB14554-93）表1中二级标准限值，甲苯、二甲苯、颗粒物、二氧化硫、氮氧化物无组织达到《大气污染物综合排放标准》（GB16297-1996）无组织排放监控浓度限值。厂区内VOCs无组织排放达到《挥发性有机物无组织排放控制标准》（GB37822-2019）附录A中限值要求。</w:t>
      </w:r>
      <w:bookmarkEnd w:id="16"/>
      <w:bookmarkEnd w:id="17"/>
    </w:p>
    <w:p w14:paraId="467C13CA">
      <w:pPr>
        <w:pStyle w:val="24"/>
        <w:autoSpaceDE/>
        <w:autoSpaceDN/>
        <w:spacing w:line="48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2、废水污染防治工作。按照“雨污分流”的原则建设厂区内排水管网。</w:t>
      </w:r>
      <w:bookmarkStart w:id="18" w:name="OLE_LINK23"/>
      <w:bookmarkStart w:id="19" w:name="OLE_LINK24"/>
      <w:r>
        <w:rPr>
          <w:rFonts w:hint="eastAsia" w:ascii="仿宋" w:hAnsi="仿宋" w:eastAsia="仿宋" w:cs="仿宋"/>
          <w:color w:val="auto"/>
          <w:sz w:val="32"/>
          <w:szCs w:val="32"/>
        </w:rPr>
        <w:t>除漆雾水帘废水</w:t>
      </w:r>
      <w:bookmarkEnd w:id="18"/>
      <w:bookmarkEnd w:id="19"/>
      <w:r>
        <w:rPr>
          <w:rFonts w:hint="eastAsia" w:ascii="仿宋" w:hAnsi="仿宋" w:eastAsia="仿宋" w:cs="仿宋"/>
          <w:color w:val="auto"/>
          <w:sz w:val="32"/>
          <w:szCs w:val="32"/>
        </w:rPr>
        <w:t>采用专用容器盛装并妥善暂存，交由资质单位处理，不得外排。生活污水经隔油、化粪池处理后用于周边农林灌溉。</w:t>
      </w:r>
    </w:p>
    <w:p w14:paraId="1A0D39D4">
      <w:pPr>
        <w:pStyle w:val="24"/>
        <w:autoSpaceDE/>
        <w:autoSpaceDN/>
        <w:spacing w:line="480" w:lineRule="exact"/>
        <w:ind w:firstLine="640" w:firstLineChars="200"/>
        <w:rPr>
          <w:rFonts w:ascii="仿宋" w:hAnsi="仿宋" w:eastAsia="仿宋" w:cs="仿宋"/>
          <w:color w:val="FF000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3、噪声污染防治工作。优化厂区内设备布局，选用低噪声设备，并采取隔音、降噪和减震等措施，确保厂界噪声达到《工业企业厂界环境噪声排放标准》（GB12348-2008）中2类标准。</w:t>
      </w:r>
    </w:p>
    <w:p w14:paraId="2ECC8DEC">
      <w:pPr>
        <w:pStyle w:val="24"/>
        <w:autoSpaceDE/>
        <w:autoSpaceDN/>
        <w:spacing w:line="48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4、固体废物污染防治工作。项目生产过程中产生的废金属边角料、废焊丝（焊渣）、废橡胶边角料、不合格产品等一般固废分类收集后，外售回收单位综合利用。清洗剂桶、油漆桶、稀释剂桶、固化剂桶、漆渣、废活性炭、废过滤棉、除漆雾水帘废水、废催化剂、含油抹布手套等危险废物，须按照《危险废物贮存污染控制标准》（GB/18597-2023）要求进行收集贮存后，交由资质单位进行处理并报县分局备案，危废暂存间须按相关要求设置并建立相关台账，规范设立标识标牌等；生活垃圾分类收集后，定期交由环卫部门妥善处理。</w:t>
      </w:r>
    </w:p>
    <w:p w14:paraId="58826691"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、环境风险防范工作。严格履行建设单位环保主体责任，提高清洁生产水平，加强生产和环保管理，安排环保专员负责环保设施运转维护。建立健全污染事故应急处理和定期监测制度，落实事故风险防范措施，切实防范各类环境风险事故。</w:t>
      </w:r>
    </w:p>
    <w:p w14:paraId="5DF0F807">
      <w:pPr>
        <w:pStyle w:val="19"/>
        <w:shd w:val="clear" w:color="auto" w:fill="FFFFFF"/>
        <w:spacing w:before="0" w:beforeAutospacing="0" w:after="0" w:afterAutospacing="0" w:line="480" w:lineRule="exact"/>
        <w:ind w:firstLine="640" w:firstLineChars="20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三、根据湘潭市生态环境局总量部门核定，该项目实施后，主要污染物年排放总量为：NO</w:t>
      </w:r>
      <w:r>
        <w:rPr>
          <w:rFonts w:hint="eastAsia" w:ascii="仿宋" w:hAnsi="仿宋" w:eastAsia="仿宋" w:cs="仿宋"/>
          <w:sz w:val="32"/>
          <w:szCs w:val="32"/>
          <w:vertAlign w:val="subscript"/>
        </w:rPr>
        <w:t>X</w:t>
      </w:r>
      <w:r>
        <w:rPr>
          <w:rFonts w:hint="eastAsia" w:ascii="仿宋" w:hAnsi="仿宋" w:eastAsia="仿宋" w:cs="仿宋"/>
          <w:sz w:val="32"/>
          <w:szCs w:val="32"/>
        </w:rPr>
        <w:t>≤0.0032t/a、VOCs≤0.475t/a。</w:t>
      </w:r>
    </w:p>
    <w:p w14:paraId="3A8E274E"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  <w:shd w:val="clear" w:color="050000" w:fill="auto"/>
        </w:rPr>
      </w:pPr>
      <w:r>
        <w:rPr>
          <w:rFonts w:hint="eastAsia" w:ascii="仿宋" w:hAnsi="仿宋" w:eastAsia="仿宋" w:cs="仿宋"/>
          <w:sz w:val="32"/>
          <w:szCs w:val="32"/>
          <w:shd w:val="clear" w:color="050000" w:fill="auto"/>
        </w:rPr>
        <w:t>四、</w:t>
      </w:r>
      <w:r>
        <w:rPr>
          <w:rFonts w:hint="eastAsia" w:ascii="仿宋" w:hAnsi="仿宋" w:eastAsia="仿宋" w:cs="仿宋"/>
          <w:sz w:val="32"/>
          <w:szCs w:val="32"/>
        </w:rPr>
        <w:t>项目启动生产设施或实际排污之前，须取得排污许可手续，并按照规定依法开展竣工环境保护验收工作。</w:t>
      </w:r>
    </w:p>
    <w:p w14:paraId="34FDDE3D"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  <w:shd w:val="clear" w:color="050000" w:fill="auto"/>
        </w:rPr>
      </w:pPr>
      <w:r>
        <w:rPr>
          <w:rFonts w:hint="eastAsia" w:ascii="仿宋" w:hAnsi="仿宋" w:eastAsia="仿宋" w:cs="仿宋"/>
          <w:sz w:val="32"/>
          <w:szCs w:val="32"/>
          <w:shd w:val="clear" w:color="050000" w:fill="auto"/>
        </w:rPr>
        <w:t>五</w:t>
      </w:r>
      <w:r>
        <w:rPr>
          <w:rFonts w:hint="eastAsia" w:ascii="仿宋" w:hAnsi="仿宋" w:eastAsia="仿宋" w:cs="仿宋"/>
          <w:sz w:val="32"/>
          <w:szCs w:val="32"/>
        </w:rPr>
        <w:t>、项目建设的性质、规模、地点、采用的生产工艺或者防治污染、防止生态破坏的措施发生重大变动的，建设单位应当重新报批建设项目环境影响评价文件。建设项目的环境影响评价文件自批准之日起超过5年，才开工建设的，其环境影响评价文件应当报原审批部门重新审核。</w:t>
      </w:r>
    </w:p>
    <w:p w14:paraId="2125783C">
      <w:pPr>
        <w:pStyle w:val="15"/>
        <w:tabs>
          <w:tab w:val="clear" w:pos="4153"/>
          <w:tab w:val="clear" w:pos="8306"/>
        </w:tabs>
        <w:spacing w:line="480" w:lineRule="exact"/>
        <w:rPr>
          <w:rFonts w:ascii="仿宋" w:hAnsi="仿宋" w:eastAsia="仿宋" w:cs="仿宋"/>
          <w:color w:val="FF0000"/>
          <w:sz w:val="32"/>
          <w:szCs w:val="32"/>
        </w:rPr>
      </w:pPr>
    </w:p>
    <w:p w14:paraId="6E6A8669">
      <w:pPr>
        <w:pStyle w:val="15"/>
        <w:tabs>
          <w:tab w:val="clear" w:pos="4153"/>
          <w:tab w:val="clear" w:pos="8306"/>
        </w:tabs>
        <w:spacing w:line="480" w:lineRule="exact"/>
        <w:rPr>
          <w:rFonts w:ascii="仿宋" w:hAnsi="仿宋" w:eastAsia="仿宋" w:cs="仿宋"/>
          <w:color w:val="FF0000"/>
          <w:sz w:val="32"/>
          <w:szCs w:val="32"/>
        </w:rPr>
      </w:pPr>
    </w:p>
    <w:p w14:paraId="00969E6E">
      <w:pPr>
        <w:pStyle w:val="15"/>
        <w:tabs>
          <w:tab w:val="clear" w:pos="4153"/>
          <w:tab w:val="clear" w:pos="8306"/>
        </w:tabs>
        <w:spacing w:line="480" w:lineRule="exact"/>
        <w:rPr>
          <w:rFonts w:ascii="仿宋" w:hAnsi="仿宋" w:eastAsia="仿宋" w:cs="仿宋"/>
          <w:sz w:val="32"/>
          <w:szCs w:val="32"/>
        </w:rPr>
      </w:pPr>
    </w:p>
    <w:p w14:paraId="7810B6BE">
      <w:pPr>
        <w:pStyle w:val="15"/>
        <w:tabs>
          <w:tab w:val="clear" w:pos="4153"/>
          <w:tab w:val="clear" w:pos="8306"/>
        </w:tabs>
        <w:spacing w:line="480" w:lineRule="exact"/>
        <w:rPr>
          <w:rFonts w:ascii="仿宋" w:hAnsi="仿宋" w:eastAsia="仿宋" w:cs="仿宋"/>
          <w:sz w:val="32"/>
          <w:szCs w:val="32"/>
        </w:rPr>
      </w:pPr>
    </w:p>
    <w:p w14:paraId="5BD962E0">
      <w:pPr>
        <w:pStyle w:val="15"/>
        <w:tabs>
          <w:tab w:val="clear" w:pos="4153"/>
          <w:tab w:val="clear" w:pos="8306"/>
        </w:tabs>
        <w:spacing w:line="480" w:lineRule="exact"/>
        <w:rPr>
          <w:rFonts w:ascii="仿宋" w:hAnsi="仿宋" w:eastAsia="仿宋" w:cs="仿宋"/>
          <w:sz w:val="32"/>
          <w:szCs w:val="32"/>
        </w:rPr>
      </w:pPr>
    </w:p>
    <w:p w14:paraId="1642CB83">
      <w:pPr>
        <w:spacing w:line="480" w:lineRule="exact"/>
        <w:ind w:right="640" w:firstLine="5280" w:firstLineChars="1650"/>
        <w:rPr>
          <w:rFonts w:ascii="仿宋" w:hAnsi="仿宋" w:eastAsia="仿宋" w:cs="仿宋"/>
          <w:kern w:val="1"/>
          <w:sz w:val="32"/>
          <w:szCs w:val="32"/>
        </w:rPr>
      </w:pPr>
      <w:r>
        <w:rPr>
          <w:rFonts w:hint="eastAsia" w:ascii="仿宋" w:hAnsi="仿宋" w:eastAsia="仿宋" w:cs="仿宋"/>
          <w:kern w:val="1"/>
          <w:sz w:val="32"/>
          <w:szCs w:val="32"/>
        </w:rPr>
        <w:t xml:space="preserve">  （盖 章）</w:t>
      </w:r>
    </w:p>
    <w:p w14:paraId="641D96B5">
      <w:pPr>
        <w:spacing w:line="480" w:lineRule="exact"/>
        <w:ind w:right="640"/>
        <w:jc w:val="center"/>
        <w:rPr>
          <w:rFonts w:ascii="仿宋" w:hAnsi="仿宋" w:eastAsia="仿宋" w:cs="仿宋"/>
          <w:kern w:val="1"/>
          <w:sz w:val="32"/>
          <w:szCs w:val="32"/>
        </w:rPr>
      </w:pPr>
      <w:r>
        <w:rPr>
          <w:rFonts w:hint="eastAsia" w:ascii="仿宋" w:hAnsi="仿宋" w:eastAsia="仿宋" w:cs="仿宋"/>
          <w:kern w:val="1"/>
          <w:sz w:val="32"/>
          <w:szCs w:val="32"/>
        </w:rPr>
        <w:t xml:space="preserve">                            2025年8月26日</w:t>
      </w:r>
    </w:p>
    <w:sectPr>
      <w:footerReference r:id="rId6" w:type="first"/>
      <w:headerReference r:id="rId3" w:type="default"/>
      <w:footerReference r:id="rId4" w:type="default"/>
      <w:footerReference r:id="rId5" w:type="even"/>
      <w:pgSz w:w="11906" w:h="16838"/>
      <w:pgMar w:top="1644" w:right="1474" w:bottom="1474" w:left="1531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822A00">
    <w:pPr>
      <w:pStyle w:val="15"/>
      <w:tabs>
        <w:tab w:val="clear" w:pos="4153"/>
        <w:tab w:val="clear" w:pos="8306"/>
      </w:tabs>
      <w:jc w:val="both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8051FC">
    <w:pPr>
      <w:pStyle w:val="15"/>
      <w:framePr w:wrap="around" w:vAnchor="text" w:hAnchor="margin" w:xAlign="center" w:y="1"/>
      <w:tabs>
        <w:tab w:val="clear" w:pos="4153"/>
        <w:tab w:val="clear" w:pos="8306"/>
      </w:tabs>
    </w:pPr>
    <w:r>
      <w:fldChar w:fldCharType="begin"/>
    </w:r>
    <w:r>
      <w:rPr>
        <w:rStyle w:val="23"/>
      </w:rPr>
      <w:instrText xml:space="preserve">PAGE  </w:instrText>
    </w:r>
    <w:r>
      <w:fldChar w:fldCharType="end"/>
    </w:r>
  </w:p>
  <w:p w14:paraId="1B25CACF">
    <w:pPr>
      <w:pStyle w:val="15"/>
      <w:tabs>
        <w:tab w:val="clear" w:pos="4153"/>
        <w:tab w:val="clear" w:pos="8306"/>
      </w:tabs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AB281D">
    <w:pPr>
      <w:pStyle w:val="15"/>
      <w:tabs>
        <w:tab w:val="clear" w:pos="4153"/>
        <w:tab w:val="clear" w:pos="8306"/>
      </w:tabs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B6DAEA">
    <w:pPr>
      <w:pStyle w:val="17"/>
      <w:pBdr>
        <w:bottom w:val="none" w:color="auto" w:sz="0" w:space="0"/>
      </w:pBdr>
      <w:tabs>
        <w:tab w:val="clear" w:pos="4153"/>
        <w:tab w:val="clear" w:pos="8306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isplayHorizontalDrawingGridEvery w:val="0"/>
  <w:displayVerticalDrawingGridEvery w:val="2"/>
  <w:characterSpacingControl w:val="compressPunctuation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450D2"/>
    <w:rsid w:val="000126F3"/>
    <w:rsid w:val="0007591E"/>
    <w:rsid w:val="000855E2"/>
    <w:rsid w:val="000B0D4C"/>
    <w:rsid w:val="000D39BE"/>
    <w:rsid w:val="000D4168"/>
    <w:rsid w:val="0010432D"/>
    <w:rsid w:val="00116B92"/>
    <w:rsid w:val="00123C4C"/>
    <w:rsid w:val="00131415"/>
    <w:rsid w:val="00175428"/>
    <w:rsid w:val="001B38D1"/>
    <w:rsid w:val="001B7998"/>
    <w:rsid w:val="00207163"/>
    <w:rsid w:val="00222290"/>
    <w:rsid w:val="002B0F3E"/>
    <w:rsid w:val="002D091F"/>
    <w:rsid w:val="003406C2"/>
    <w:rsid w:val="003427AA"/>
    <w:rsid w:val="00362047"/>
    <w:rsid w:val="004056CA"/>
    <w:rsid w:val="00407566"/>
    <w:rsid w:val="00431CED"/>
    <w:rsid w:val="0043381D"/>
    <w:rsid w:val="0043447E"/>
    <w:rsid w:val="00443669"/>
    <w:rsid w:val="00476412"/>
    <w:rsid w:val="00483738"/>
    <w:rsid w:val="00485466"/>
    <w:rsid w:val="004B19D3"/>
    <w:rsid w:val="004B6E83"/>
    <w:rsid w:val="005E4301"/>
    <w:rsid w:val="00601BFD"/>
    <w:rsid w:val="00627BAF"/>
    <w:rsid w:val="00635300"/>
    <w:rsid w:val="0067502C"/>
    <w:rsid w:val="0069300B"/>
    <w:rsid w:val="006B6021"/>
    <w:rsid w:val="006B6876"/>
    <w:rsid w:val="006C232D"/>
    <w:rsid w:val="00703904"/>
    <w:rsid w:val="00714753"/>
    <w:rsid w:val="00737945"/>
    <w:rsid w:val="008450D2"/>
    <w:rsid w:val="00864E8E"/>
    <w:rsid w:val="00897AD4"/>
    <w:rsid w:val="008A0136"/>
    <w:rsid w:val="008A5CA3"/>
    <w:rsid w:val="008A7152"/>
    <w:rsid w:val="00900688"/>
    <w:rsid w:val="009221AC"/>
    <w:rsid w:val="009409FC"/>
    <w:rsid w:val="00946E96"/>
    <w:rsid w:val="00961D76"/>
    <w:rsid w:val="0096460B"/>
    <w:rsid w:val="009A5E98"/>
    <w:rsid w:val="009D3EAF"/>
    <w:rsid w:val="009F6B2E"/>
    <w:rsid w:val="00A10122"/>
    <w:rsid w:val="00A33B42"/>
    <w:rsid w:val="00A85CBA"/>
    <w:rsid w:val="00AF2887"/>
    <w:rsid w:val="00AF75D9"/>
    <w:rsid w:val="00B32B57"/>
    <w:rsid w:val="00B67C13"/>
    <w:rsid w:val="00B67CBB"/>
    <w:rsid w:val="00BB3804"/>
    <w:rsid w:val="00BD5FA0"/>
    <w:rsid w:val="00C061E5"/>
    <w:rsid w:val="00C27BB3"/>
    <w:rsid w:val="00C327F7"/>
    <w:rsid w:val="00C3575B"/>
    <w:rsid w:val="00C53F50"/>
    <w:rsid w:val="00D01938"/>
    <w:rsid w:val="00D07E76"/>
    <w:rsid w:val="00D1704E"/>
    <w:rsid w:val="00D3725B"/>
    <w:rsid w:val="00DA754A"/>
    <w:rsid w:val="00DD35A4"/>
    <w:rsid w:val="00E05F3E"/>
    <w:rsid w:val="00E1723F"/>
    <w:rsid w:val="00E41443"/>
    <w:rsid w:val="00E84465"/>
    <w:rsid w:val="00EB7F41"/>
    <w:rsid w:val="00EF57A9"/>
    <w:rsid w:val="00F243BE"/>
    <w:rsid w:val="00F321F3"/>
    <w:rsid w:val="00F93391"/>
    <w:rsid w:val="00FC4006"/>
    <w:rsid w:val="00FD3907"/>
    <w:rsid w:val="00FE5F06"/>
    <w:rsid w:val="00FF343A"/>
    <w:rsid w:val="13F24102"/>
    <w:rsid w:val="24F32661"/>
    <w:rsid w:val="34260F9E"/>
    <w:rsid w:val="360B5098"/>
    <w:rsid w:val="38A308DD"/>
    <w:rsid w:val="3FB76397"/>
    <w:rsid w:val="41FA4639"/>
    <w:rsid w:val="53C573A9"/>
    <w:rsid w:val="70051865"/>
    <w:rsid w:val="72EE6C9D"/>
    <w:rsid w:val="773F4EBA"/>
    <w:rsid w:val="7B526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文字"/>
    <w:basedOn w:val="3"/>
    <w:next w:val="1"/>
    <w:qFormat/>
    <w:uiPriority w:val="0"/>
    <w:pPr>
      <w:snapToGrid w:val="0"/>
      <w:spacing w:line="480" w:lineRule="exact"/>
      <w:ind w:firstLine="200" w:firstLineChars="200"/>
    </w:pPr>
    <w:rPr>
      <w:sz w:val="24"/>
      <w:szCs w:val="24"/>
    </w:rPr>
  </w:style>
  <w:style w:type="paragraph" w:customStyle="1" w:styleId="3">
    <w:name w:val="正文缩进1"/>
    <w:basedOn w:val="1"/>
    <w:qFormat/>
    <w:uiPriority w:val="0"/>
    <w:pPr>
      <w:spacing w:line="0" w:lineRule="atLeast"/>
      <w:ind w:firstLine="420"/>
    </w:pPr>
    <w:rPr>
      <w:szCs w:val="20"/>
    </w:rPr>
  </w:style>
  <w:style w:type="paragraph" w:styleId="4">
    <w:name w:val="Normal Indent"/>
    <w:qFormat/>
    <w:uiPriority w:val="0"/>
    <w:pPr>
      <w:widowControl w:val="0"/>
      <w:spacing w:line="0" w:lineRule="atLeast"/>
      <w:ind w:firstLine="42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8">
    <w:name w:val="默认段落字体1"/>
    <w:semiHidden/>
    <w:qFormat/>
    <w:uiPriority w:val="0"/>
  </w:style>
  <w:style w:type="table" w:customStyle="1" w:styleId="9">
    <w:name w:val="普通表格1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正文文本1"/>
    <w:qFormat/>
    <w:uiPriority w:val="0"/>
    <w:pPr>
      <w:widowControl w:val="0"/>
      <w:spacing w:line="460" w:lineRule="exact"/>
      <w:jc w:val="center"/>
    </w:pPr>
    <w:rPr>
      <w:rFonts w:ascii="宋体" w:hAnsi="Calibri" w:eastAsia="宋体" w:cs="Times New Roman"/>
      <w:spacing w:val="6"/>
      <w:kern w:val="2"/>
      <w:sz w:val="28"/>
      <w:lang w:val="en-US" w:eastAsia="zh-CN" w:bidi="ar-SA"/>
    </w:rPr>
  </w:style>
  <w:style w:type="paragraph" w:customStyle="1" w:styleId="11">
    <w:name w:val="xl27"/>
    <w:qFormat/>
    <w:uiPriority w:val="0"/>
    <w:pPr>
      <w:pBdr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Calibri" w:hAnsi="Calibri" w:eastAsia="Arial Unicode MS" w:cs="Times New Roman"/>
      <w:sz w:val="21"/>
      <w:szCs w:val="21"/>
      <w:lang w:val="en-US" w:eastAsia="zh-CN" w:bidi="ar-SA"/>
    </w:rPr>
  </w:style>
  <w:style w:type="paragraph" w:customStyle="1" w:styleId="12">
    <w:name w:val="正文文本缩进1"/>
    <w:qFormat/>
    <w:uiPriority w:val="0"/>
    <w:pPr>
      <w:widowControl w:val="0"/>
      <w:spacing w:after="120"/>
      <w:ind w:left="420" w:left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3">
    <w:name w:val="批注框文本1"/>
    <w:basedOn w:val="1"/>
    <w:link w:val="14"/>
    <w:qFormat/>
    <w:uiPriority w:val="0"/>
    <w:rPr>
      <w:sz w:val="18"/>
      <w:szCs w:val="18"/>
    </w:rPr>
  </w:style>
  <w:style w:type="character" w:customStyle="1" w:styleId="14">
    <w:name w:val="批注框文本 Char"/>
    <w:link w:val="13"/>
    <w:qFormat/>
    <w:uiPriority w:val="0"/>
    <w:rPr>
      <w:rFonts w:ascii="Calibri" w:hAnsi="Calibri"/>
      <w:kern w:val="2"/>
      <w:sz w:val="18"/>
      <w:szCs w:val="18"/>
    </w:rPr>
  </w:style>
  <w:style w:type="paragraph" w:customStyle="1" w:styleId="15">
    <w:name w:val="页脚1"/>
    <w:link w:val="16"/>
    <w:qFormat/>
    <w:uiPriority w:val="0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character" w:customStyle="1" w:styleId="16">
    <w:name w:val="页脚 Char"/>
    <w:link w:val="15"/>
    <w:qFormat/>
    <w:uiPriority w:val="0"/>
    <w:rPr>
      <w:rFonts w:ascii="Calibri" w:hAnsi="Calibri"/>
      <w:kern w:val="2"/>
      <w:sz w:val="18"/>
      <w:szCs w:val="18"/>
      <w:lang w:bidi="ar-SA"/>
    </w:rPr>
  </w:style>
  <w:style w:type="paragraph" w:customStyle="1" w:styleId="17">
    <w:name w:val="页眉1"/>
    <w:link w:val="18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character" w:customStyle="1" w:styleId="18">
    <w:name w:val="页眉 Char"/>
    <w:link w:val="17"/>
    <w:qFormat/>
    <w:uiPriority w:val="0"/>
    <w:rPr>
      <w:rFonts w:ascii="Calibri" w:hAnsi="Calibri"/>
      <w:kern w:val="2"/>
      <w:sz w:val="18"/>
      <w:szCs w:val="18"/>
      <w:lang w:bidi="ar-SA"/>
    </w:rPr>
  </w:style>
  <w:style w:type="paragraph" w:customStyle="1" w:styleId="19">
    <w:name w:val="普通(网站)1"/>
    <w:basedOn w:val="1"/>
    <w:link w:val="20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0">
    <w:name w:val="普通(网站) Char"/>
    <w:link w:val="19"/>
    <w:qFormat/>
    <w:uiPriority w:val="0"/>
    <w:rPr>
      <w:rFonts w:ascii="宋体" w:hAnsi="宋体"/>
      <w:sz w:val="24"/>
      <w:szCs w:val="24"/>
    </w:rPr>
  </w:style>
  <w:style w:type="paragraph" w:customStyle="1" w:styleId="21">
    <w:name w:val="正文首行缩进1"/>
    <w:qFormat/>
    <w:uiPriority w:val="0"/>
    <w:pPr>
      <w:widowControl w:val="0"/>
      <w:overflowPunct w:val="0"/>
      <w:autoSpaceDE w:val="0"/>
      <w:autoSpaceDN w:val="0"/>
      <w:spacing w:line="360" w:lineRule="auto"/>
      <w:ind w:firstLine="539"/>
      <w:jc w:val="center"/>
    </w:pPr>
    <w:rPr>
      <w:rFonts w:ascii="宋体" w:hAnsi="Calibri" w:eastAsia="宋体" w:cs="Times New Roman"/>
      <w:spacing w:val="6"/>
      <w:sz w:val="28"/>
      <w:lang w:val="en-US" w:eastAsia="zh-CN" w:bidi="ar-SA"/>
    </w:rPr>
  </w:style>
  <w:style w:type="paragraph" w:customStyle="1" w:styleId="22">
    <w:name w:val="正文首行缩进 21"/>
    <w:qFormat/>
    <w:uiPriority w:val="0"/>
    <w:pPr>
      <w:widowControl w:val="0"/>
      <w:spacing w:after="120" w:line="360" w:lineRule="auto"/>
      <w:ind w:left="200" w:leftChars="200" w:firstLine="1446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3">
    <w:name w:val="页码1"/>
    <w:qFormat/>
    <w:uiPriority w:val="0"/>
  </w:style>
  <w:style w:type="paragraph" w:customStyle="1" w:styleId="24">
    <w:name w:val="Default"/>
    <w:qFormat/>
    <w:uiPriority w:val="0"/>
    <w:pPr>
      <w:widowControl w:val="0"/>
      <w:autoSpaceDE w:val="0"/>
      <w:autoSpaceDN w:val="0"/>
      <w:ind w:firstLine="480"/>
      <w:jc w:val="both"/>
    </w:pPr>
    <w:rPr>
      <w:rFonts w:ascii="Calibri" w:hAnsi="Calibri" w:eastAsia="宋体" w:cs="Times New Roman"/>
      <w:color w:val="000000"/>
      <w:kern w:val="2"/>
      <w:sz w:val="24"/>
      <w:szCs w:val="24"/>
      <w:lang w:val="en-US" w:eastAsia="zh-CN" w:bidi="ar-SA"/>
    </w:rPr>
  </w:style>
  <w:style w:type="paragraph" w:customStyle="1" w:styleId="25">
    <w:name w:val="文本"/>
    <w:qFormat/>
    <w:uiPriority w:val="0"/>
    <w:pPr>
      <w:widowControl w:val="0"/>
      <w:autoSpaceDE w:val="0"/>
      <w:autoSpaceDN w:val="0"/>
      <w:ind w:firstLine="480"/>
      <w:jc w:val="both"/>
    </w:pPr>
    <w:rPr>
      <w:rFonts w:ascii="Calibri" w:hAnsi="Calibri" w:eastAsia="宋体" w:cs="Times New Roman"/>
      <w:kern w:val="2"/>
      <w:sz w:val="21"/>
      <w:szCs w:val="24"/>
      <w:lang w:val="zh-CN" w:eastAsia="zh-CN" w:bidi="ar-SA"/>
    </w:rPr>
  </w:style>
  <w:style w:type="paragraph" w:styleId="26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2186</Words>
  <Characters>2461</Characters>
  <Lines>18</Lines>
  <Paragraphs>5</Paragraphs>
  <TotalTime>0</TotalTime>
  <ScaleCrop>false</ScaleCrop>
  <LinksUpToDate>false</LinksUpToDate>
  <CharactersWithSpaces>2492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2025-08-27T03:21:00Z</dcterms:created>
  <dc:creator>Tang</dc:creator>
  <cp:lastModifiedBy>Tang</cp:lastModifiedBy>
  <cp:lastPrinted>2025-08-27T03:46:00Z</cp:lastPrinted>
  <dcterms:modified xsi:type="dcterms:W3CDTF">2025-08-27T03:50:14Z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eyJoZGlkIjoiZGVjMzdiZTJjZGY3NDFmYjczM2ZjNjI4ZWQ3OTE0N2QiLCJ1c2VySWQiOiIxMjk3NjkzMjgwIn0=</vt:lpwstr>
  </property>
  <property fmtid="{D5CDD505-2E9C-101B-9397-08002B2CF9AE}" pid="3" name="KSOProductBuildVer">
    <vt:lpwstr>2052-12.1.0.22529</vt:lpwstr>
  </property>
  <property fmtid="{D5CDD505-2E9C-101B-9397-08002B2CF9AE}" pid="4" name="ICV">
    <vt:lpwstr>EEE023A761BD411392ACF26FBD4EABE6_13</vt:lpwstr>
  </property>
</Properties>
</file>