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037C9">
      <w:pPr>
        <w:widowControl/>
        <w:spacing w:beforeLines="20" w:afterLines="10" w:line="540" w:lineRule="atLeast"/>
        <w:ind w:right="1280"/>
        <w:rPr>
          <w:rFonts w:ascii="仿宋" w:hAnsi="仿宋" w:eastAsia="仿宋" w:cs="仿宋"/>
          <w:color w:val="FF0000"/>
          <w:sz w:val="32"/>
          <w:szCs w:val="32"/>
        </w:rPr>
      </w:pPr>
    </w:p>
    <w:p w14:paraId="44E0C293">
      <w:pPr>
        <w:widowControl/>
        <w:spacing w:beforeLines="20" w:afterLines="10" w:line="540" w:lineRule="atLeast"/>
        <w:ind w:right="1280"/>
        <w:rPr>
          <w:rFonts w:ascii="仿宋" w:hAnsi="仿宋" w:eastAsia="仿宋" w:cs="仿宋"/>
          <w:color w:val="FF0000"/>
          <w:sz w:val="32"/>
          <w:szCs w:val="32"/>
        </w:rPr>
      </w:pPr>
    </w:p>
    <w:p w14:paraId="0723BC7F">
      <w:pPr>
        <w:widowControl/>
        <w:spacing w:beforeLines="20" w:afterLines="10" w:line="540" w:lineRule="atLeast"/>
        <w:jc w:val="right"/>
        <w:rPr>
          <w:rFonts w:ascii="仿宋" w:hAnsi="仿宋" w:eastAsia="仿宋" w:cs="仿宋"/>
          <w:sz w:val="32"/>
          <w:szCs w:val="32"/>
        </w:rPr>
      </w:pPr>
      <w:r>
        <w:rPr>
          <w:rFonts w:hint="eastAsia" w:ascii="仿宋" w:hAnsi="仿宋" w:eastAsia="仿宋" w:cs="仿宋"/>
          <w:sz w:val="32"/>
          <w:szCs w:val="32"/>
        </w:rPr>
        <w:t>潭环审(湘潭县)〔2025〕</w:t>
      </w:r>
      <w:r>
        <w:rPr>
          <w:rFonts w:hint="eastAsia" w:ascii="仿宋" w:hAnsi="仿宋" w:eastAsia="仿宋" w:cs="仿宋"/>
          <w:sz w:val="32"/>
          <w:szCs w:val="32"/>
          <w:lang w:val="en-US" w:eastAsia="zh-CN"/>
        </w:rPr>
        <w:t>26</w:t>
      </w:r>
      <w:r>
        <w:rPr>
          <w:rFonts w:hint="eastAsia" w:ascii="仿宋" w:hAnsi="仿宋" w:eastAsia="仿宋" w:cs="仿宋"/>
          <w:sz w:val="32"/>
          <w:szCs w:val="32"/>
        </w:rPr>
        <w:t>号</w:t>
      </w:r>
    </w:p>
    <w:p w14:paraId="034A772A">
      <w:pPr>
        <w:widowControl/>
        <w:spacing w:line="540" w:lineRule="atLeast"/>
        <w:jc w:val="right"/>
        <w:rPr>
          <w:rFonts w:ascii="仿宋" w:hAnsi="仿宋" w:eastAsia="仿宋" w:cs="仿宋"/>
          <w:color w:val="FF0000"/>
          <w:sz w:val="52"/>
          <w:szCs w:val="52"/>
        </w:rPr>
      </w:pPr>
    </w:p>
    <w:p w14:paraId="3109B01F">
      <w:pPr>
        <w:spacing w:line="520" w:lineRule="exact"/>
        <w:ind w:right="-42" w:rightChars="-20"/>
        <w:jc w:val="center"/>
        <w:rPr>
          <w:rFonts w:ascii="宋体" w:hAnsi="宋体"/>
          <w:b/>
          <w:bCs/>
          <w:sz w:val="44"/>
          <w:szCs w:val="44"/>
        </w:rPr>
      </w:pPr>
      <w:bookmarkStart w:id="15" w:name="_GoBack"/>
      <w:r>
        <w:rPr>
          <w:rFonts w:hint="eastAsia" w:ascii="宋体" w:hAnsi="宋体"/>
          <w:b/>
          <w:bCs/>
          <w:sz w:val="44"/>
          <w:szCs w:val="44"/>
        </w:rPr>
        <w:t>关于《湖南睿鼎科技有限公司年产1000万套锌铝合金精密压铸件及相关产品产业化项目环境影响报告表》的审批意见</w:t>
      </w:r>
    </w:p>
    <w:bookmarkEnd w:id="15"/>
    <w:p w14:paraId="33B9007E">
      <w:pPr>
        <w:spacing w:line="480" w:lineRule="exact"/>
        <w:ind w:right="-42" w:rightChars="-20"/>
        <w:jc w:val="center"/>
        <w:rPr>
          <w:rFonts w:ascii="仿宋" w:hAnsi="仿宋" w:eastAsia="仿宋"/>
          <w:color w:val="FF0000"/>
          <w:sz w:val="10"/>
          <w:szCs w:val="10"/>
        </w:rPr>
      </w:pPr>
    </w:p>
    <w:p w14:paraId="0A03CB53">
      <w:pPr>
        <w:keepNext w:val="0"/>
        <w:keepLines w:val="0"/>
        <w:pageBreakBefore w:val="0"/>
        <w:kinsoku/>
        <w:wordWrap/>
        <w:overflowPunct/>
        <w:topLinePunct w:val="0"/>
        <w:autoSpaceDE/>
        <w:autoSpaceDN/>
        <w:bidi w:val="0"/>
        <w:adjustRightInd/>
        <w:spacing w:line="480" w:lineRule="exact"/>
        <w:textAlignment w:val="auto"/>
        <w:rPr>
          <w:rFonts w:hint="eastAsia" w:ascii="仿宋" w:hAnsi="仿宋" w:eastAsia="仿宋" w:cs="仿宋"/>
          <w:sz w:val="32"/>
          <w:szCs w:val="32"/>
        </w:rPr>
      </w:pPr>
      <w:bookmarkStart w:id="0" w:name="OLE_LINK9"/>
      <w:bookmarkStart w:id="1" w:name="OLE_LINK10"/>
      <w:r>
        <w:rPr>
          <w:rFonts w:hint="eastAsia" w:ascii="仿宋" w:hAnsi="仿宋" w:eastAsia="仿宋" w:cs="仿宋"/>
          <w:sz w:val="32"/>
          <w:szCs w:val="32"/>
        </w:rPr>
        <w:t>湖南睿鼎科技有限公司</w:t>
      </w:r>
      <w:bookmarkEnd w:id="0"/>
      <w:bookmarkEnd w:id="1"/>
      <w:r>
        <w:rPr>
          <w:rFonts w:hint="eastAsia" w:ascii="仿宋" w:hAnsi="仿宋" w:eastAsia="仿宋" w:cs="仿宋"/>
          <w:sz w:val="32"/>
          <w:szCs w:val="32"/>
        </w:rPr>
        <w:t>：</w:t>
      </w:r>
    </w:p>
    <w:p w14:paraId="53C50805">
      <w:pPr>
        <w:keepNext w:val="0"/>
        <w:keepLines w:val="0"/>
        <w:pageBreakBefore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你单位由湖南捷正环保科技有限公司编制的《</w:t>
      </w:r>
      <w:bookmarkStart w:id="2" w:name="OLE_LINK5"/>
      <w:bookmarkStart w:id="3" w:name="OLE_LINK6"/>
      <w:r>
        <w:rPr>
          <w:rFonts w:hint="eastAsia" w:ascii="仿宋" w:hAnsi="仿宋" w:eastAsia="仿宋" w:cs="仿宋"/>
          <w:sz w:val="32"/>
          <w:szCs w:val="32"/>
        </w:rPr>
        <w:t>湖南睿鼎科技有限公司</w:t>
      </w:r>
      <w:bookmarkEnd w:id="2"/>
      <w:bookmarkEnd w:id="3"/>
      <w:r>
        <w:rPr>
          <w:rFonts w:hint="eastAsia" w:ascii="仿宋" w:hAnsi="仿宋" w:eastAsia="仿宋" w:cs="仿宋"/>
          <w:sz w:val="32"/>
          <w:szCs w:val="32"/>
        </w:rPr>
        <w:t>年产1000万套锌铝合金精密压铸件及相关产品产业化项目环境影响报告表》(以下简称报告表)及相关材料已收悉。经研究，批复如下：</w:t>
      </w:r>
    </w:p>
    <w:p w14:paraId="1A460C63">
      <w:pPr>
        <w:keepNext w:val="0"/>
        <w:keepLines w:val="0"/>
        <w:pageBreakBefore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color w:val="FF0000"/>
          <w:sz w:val="32"/>
          <w:szCs w:val="32"/>
        </w:rPr>
      </w:pPr>
      <w:r>
        <w:rPr>
          <w:rFonts w:hint="eastAsia" w:ascii="仿宋" w:hAnsi="仿宋" w:eastAsia="仿宋" w:cs="仿宋"/>
          <w:sz w:val="32"/>
          <w:szCs w:val="32"/>
        </w:rPr>
        <w:t>一、湖南睿鼎科技有限公司拟投资5400万元，选址于湘潭天易经开区湖南汇洋包装有限公司以东、云龙路以北地块,建设年产1000万套锌铝合金精密压铸件建设项目。项目总占地面积40000.55</w:t>
      </w:r>
      <w:r>
        <w:rPr>
          <w:rFonts w:hint="eastAsia" w:ascii="仿宋" w:hAnsi="仿宋" w:eastAsia="仿宋" w:cs="仿宋"/>
          <w:sz w:val="32"/>
          <w:szCs w:val="32"/>
        </w:rPr>
        <w:t>m</w:t>
      </w:r>
      <w:r>
        <w:rPr>
          <w:rFonts w:hint="eastAsia" w:ascii="仿宋" w:hAnsi="仿宋" w:eastAsia="仿宋" w:cs="仿宋"/>
          <w:sz w:val="32"/>
          <w:szCs w:val="32"/>
          <w:vertAlign w:val="superscript"/>
        </w:rPr>
        <w:t>2</w:t>
      </w:r>
      <w:r>
        <w:rPr>
          <w:rFonts w:hint="eastAsia" w:ascii="仿宋" w:hAnsi="仿宋" w:eastAsia="仿宋" w:cs="仿宋"/>
          <w:sz w:val="32"/>
          <w:szCs w:val="32"/>
        </w:rPr>
        <w:t>，主要建设内容包括：生产厂房3栋、综合楼1栋等配套环保工程。主要产品方案及规模包括：锌铝合金精密压铸件1000万套/a。主要生产设备包括：天然气熔化炉7台、清洗槽20个、锯床7台、抛丸机2台、CNC机台48台、冲床7台、打磨机20台、压铸机7台、喷漆房4座、喷粉房4座、固化间6座等设备。主要原辅材料及能源消耗包括：锌铝合金锭300t/a、铝皮膜剂2t/a、脱模剂0.2t/a、切削液1.5t/a、热固性粉末涂料3t/a、表面助剂1t/a、水性漆3</w:t>
      </w:r>
      <w:bookmarkStart w:id="4" w:name="OLE_LINK29"/>
      <w:bookmarkStart w:id="5" w:name="OLE_LINK28"/>
      <w:bookmarkStart w:id="6" w:name="OLE_LINK38"/>
      <w:r>
        <w:rPr>
          <w:rFonts w:hint="eastAsia" w:ascii="仿宋" w:hAnsi="仿宋" w:eastAsia="仿宋" w:cs="仿宋"/>
          <w:sz w:val="32"/>
          <w:szCs w:val="32"/>
        </w:rPr>
        <w:t>t/a、</w:t>
      </w:r>
      <w:bookmarkEnd w:id="4"/>
      <w:bookmarkEnd w:id="5"/>
      <w:bookmarkEnd w:id="6"/>
      <w:r>
        <w:rPr>
          <w:rFonts w:hint="eastAsia" w:ascii="仿宋" w:hAnsi="仿宋" w:eastAsia="仿宋" w:cs="仿宋"/>
          <w:sz w:val="32"/>
          <w:szCs w:val="32"/>
        </w:rPr>
        <w:t>油性漆2t/a、水溶性非铁金属溶解洗净剂0.6t/a、天然气6万m</w:t>
      </w:r>
      <w:r>
        <w:rPr>
          <w:rFonts w:hint="eastAsia" w:ascii="仿宋" w:hAnsi="仿宋" w:eastAsia="仿宋" w:cs="仿宋"/>
          <w:sz w:val="32"/>
          <w:szCs w:val="32"/>
          <w:vertAlign w:val="superscript"/>
        </w:rPr>
        <w:t>3</w:t>
      </w:r>
      <w:r>
        <w:rPr>
          <w:rFonts w:hint="eastAsia" w:ascii="仿宋" w:hAnsi="仿宋" w:eastAsia="仿宋" w:cs="仿宋"/>
          <w:sz w:val="32"/>
          <w:szCs w:val="32"/>
        </w:rPr>
        <w:t>/a、水5012.2m³/a</w:t>
      </w:r>
      <w:r>
        <w:rPr>
          <w:rFonts w:hint="eastAsia" w:ascii="仿宋" w:hAnsi="仿宋" w:eastAsia="仿宋" w:cs="仿宋"/>
          <w:sz w:val="32"/>
          <w:szCs w:val="32"/>
        </w:rPr>
        <w:t>等。主要生产工艺包括：熔炼、成分化验、保温、合模、压射、成型、保压凝固、冲压、抛丸、喷砂、机加工、打磨、前处理、喷漆固化、喷粉固化、丝印、检验、包装入库等。</w:t>
      </w:r>
    </w:p>
    <w:p w14:paraId="2F089076">
      <w:pPr>
        <w:keepNext w:val="0"/>
        <w:keepLines w:val="0"/>
        <w:pageBreakBefore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该项目符合国家相关产业政策，根据湘潭天易经开区意见和环评结论，经现场勘察，从环境保护的角度分析，同意该项目按报告表中所列内容进行建设。</w:t>
      </w:r>
    </w:p>
    <w:p w14:paraId="2C170AB3">
      <w:pPr>
        <w:keepNext w:val="0"/>
        <w:keepLines w:val="0"/>
        <w:pageBreakBefore w:val="0"/>
        <w:kinsoku/>
        <w:wordWrap/>
        <w:overflowPunct/>
        <w:topLinePunct w:val="0"/>
        <w:autoSpaceDE/>
        <w:autoSpaceDN/>
        <w:bidi w:val="0"/>
        <w:adjustRightInd/>
        <w:spacing w:line="480" w:lineRule="exact"/>
        <w:ind w:firstLine="645"/>
        <w:textAlignment w:val="auto"/>
        <w:rPr>
          <w:rFonts w:hint="eastAsia" w:ascii="仿宋" w:hAnsi="仿宋" w:eastAsia="仿宋" w:cs="仿宋"/>
          <w:sz w:val="32"/>
          <w:szCs w:val="32"/>
        </w:rPr>
      </w:pPr>
      <w:r>
        <w:rPr>
          <w:rFonts w:hint="eastAsia" w:ascii="仿宋" w:hAnsi="仿宋" w:eastAsia="仿宋" w:cs="仿宋"/>
          <w:sz w:val="32"/>
          <w:szCs w:val="32"/>
        </w:rPr>
        <w:t>二、项目在建设和营运期间，建设单位必须认真落实环评报告表中提出的各项环保要求，落实环保“三同时”措施，确保各项污染物稳定达标排放，并须着重做好以下工作：</w:t>
      </w:r>
    </w:p>
    <w:p w14:paraId="11DAD5C5">
      <w:pPr>
        <w:pStyle w:val="25"/>
        <w:keepNext w:val="0"/>
        <w:keepLines w:val="0"/>
        <w:pageBreakBefore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color w:val="FF0000"/>
          <w:sz w:val="32"/>
          <w:szCs w:val="32"/>
        </w:rPr>
      </w:pPr>
      <w:r>
        <w:rPr>
          <w:rFonts w:hint="eastAsia" w:ascii="仿宋" w:hAnsi="仿宋" w:eastAsia="仿宋" w:cs="仿宋"/>
          <w:color w:val="auto"/>
          <w:sz w:val="32"/>
          <w:szCs w:val="32"/>
        </w:rPr>
        <w:t>1、施工期污染防治工作。严格落实施工场地扬尘防控措施，实现施工场地周边围挡、物料堆放覆盖、出入车辆冲洗、路面硬化、场地湿法作业、运输车辆做到密闭运输。设置隔油沉淀池，施工生产废水经隔油沉砂处理后全部回用于施工工序或抑尘。施工场地应严格遵守《建筑施工场界环境噪声排放标准》（GB12523-2011）高噪声施工设备不得在午间、夜间作业，并采取合理的施工管理措施和噪声控制措施，避免对周边居民的生活造成影响。使用有资质的单位提供商品混凝土，施工期间产生的建筑垃圾、生活垃圾等固体废物，应集中分类收集，及时清运并交由相关部门妥善处理。做好土石方平衡，施工完毕后及时清理、恢复、绿化和固化，保护好区域生态环境。</w:t>
      </w:r>
    </w:p>
    <w:p w14:paraId="05E8CD2A">
      <w:pPr>
        <w:pStyle w:val="25"/>
        <w:keepNext w:val="0"/>
        <w:keepLines w:val="0"/>
        <w:pageBreakBefore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color w:val="FF0000"/>
          <w:sz w:val="32"/>
          <w:szCs w:val="32"/>
        </w:rPr>
      </w:pPr>
      <w:r>
        <w:rPr>
          <w:rFonts w:hint="eastAsia" w:ascii="仿宋" w:hAnsi="仿宋" w:eastAsia="仿宋" w:cs="仿宋"/>
          <w:color w:val="auto"/>
          <w:sz w:val="32"/>
          <w:szCs w:val="32"/>
        </w:rPr>
        <w:t>2、废气污染防治工作。厂区内必须使用天然气、液化气或电等清洁能源。熔炼烟尘经集气罩收集，采取气旋塔处理后，</w:t>
      </w:r>
      <w:bookmarkStart w:id="7" w:name="OLE_LINK65"/>
      <w:bookmarkStart w:id="8" w:name="OLE_LINK64"/>
      <w:r>
        <w:rPr>
          <w:rFonts w:hint="eastAsia" w:ascii="仿宋" w:hAnsi="仿宋" w:eastAsia="仿宋" w:cs="仿宋"/>
          <w:color w:val="auto"/>
          <w:sz w:val="32"/>
          <w:szCs w:val="32"/>
        </w:rPr>
        <w:t>通过1根不低于15米高排气筒（DA001）高空排放；</w:t>
      </w:r>
      <w:bookmarkEnd w:id="7"/>
      <w:bookmarkEnd w:id="8"/>
      <w:r>
        <w:rPr>
          <w:rFonts w:hint="eastAsia" w:ascii="仿宋" w:hAnsi="仿宋" w:eastAsia="仿宋" w:cs="仿宋"/>
          <w:color w:val="auto"/>
          <w:sz w:val="32"/>
          <w:szCs w:val="32"/>
        </w:rPr>
        <w:t>天然气燃烧废气收集后，</w:t>
      </w:r>
      <w:bookmarkStart w:id="9" w:name="OLE_LINK93"/>
      <w:bookmarkStart w:id="10" w:name="OLE_LINK94"/>
      <w:r>
        <w:rPr>
          <w:rFonts w:hint="eastAsia" w:ascii="仿宋" w:hAnsi="仿宋" w:eastAsia="仿宋" w:cs="仿宋"/>
          <w:color w:val="auto"/>
          <w:sz w:val="32"/>
          <w:szCs w:val="32"/>
        </w:rPr>
        <w:t>通过1根不低于15米高排气筒（DA002）高空排放；</w:t>
      </w:r>
      <w:bookmarkEnd w:id="9"/>
      <w:bookmarkEnd w:id="10"/>
      <w:r>
        <w:rPr>
          <w:rFonts w:hint="eastAsia" w:ascii="仿宋" w:hAnsi="仿宋" w:eastAsia="仿宋" w:cs="仿宋"/>
          <w:color w:val="auto"/>
          <w:sz w:val="32"/>
          <w:szCs w:val="32"/>
        </w:rPr>
        <w:t>颗粒物、氮氧化物、二氧化硫排放浓度确保达到《铸造工业大气污染物排放标准》（GB39726-2020）表1燃气炉大气污染物排放限值。抛丸工序产生的粉尘采用布袋除尘器收集处理；喷砂、打磨工序产生的粉尘采用滤芯除尘器收集处理；喷粉工序产生的粉尘采取“旋风除尘器+滤芯除尘器”处理；确保厂界颗粒物排放达到《大气污染物综合排放标准》（GB16297-1996）</w:t>
      </w:r>
      <w:bookmarkStart w:id="11" w:name="OLE_LINK102"/>
      <w:bookmarkStart w:id="12" w:name="OLE_LINK101"/>
      <w:r>
        <w:rPr>
          <w:rFonts w:hint="eastAsia" w:ascii="仿宋" w:hAnsi="仿宋" w:eastAsia="仿宋" w:cs="仿宋"/>
          <w:color w:val="auto"/>
          <w:sz w:val="32"/>
          <w:szCs w:val="32"/>
        </w:rPr>
        <w:t>表2中无组织排放监控浓度限值</w:t>
      </w:r>
      <w:bookmarkEnd w:id="11"/>
      <w:bookmarkEnd w:id="12"/>
      <w:r>
        <w:rPr>
          <w:rFonts w:hint="eastAsia" w:ascii="仿宋" w:hAnsi="仿宋" w:eastAsia="仿宋" w:cs="仿宋"/>
          <w:color w:val="auto"/>
          <w:sz w:val="32"/>
          <w:szCs w:val="32"/>
        </w:rPr>
        <w:t>要求。调漆、喷漆、固化工序在密闭车间内进行，产生的有机废气经负压收集，采用“干式过滤棉+活性炭吸附”处理后，通过1根不低于15米高排气筒（DA003）高空排放，非甲烷总烃、甲苯、二甲苯、颗粒物有组织排放达到《铸造工业大气污染物排放标准》（GB 39726-2020）表1中大气污染物排放限值，</w:t>
      </w:r>
      <w:r>
        <w:rPr>
          <w:rFonts w:hint="eastAsia" w:ascii="仿宋" w:hAnsi="仿宋" w:eastAsia="仿宋" w:cs="仿宋"/>
          <w:color w:val="000000" w:themeColor="text1"/>
          <w:sz w:val="32"/>
          <w:szCs w:val="32"/>
        </w:rPr>
        <w:t>厂界颗粒物、非甲烷总烃达到《大气污染物综合排放标准》（GB16297-1996）表2中无组织排放监控浓度限值，</w:t>
      </w:r>
      <w:r>
        <w:rPr>
          <w:rFonts w:hint="eastAsia" w:ascii="仿宋" w:hAnsi="仿宋" w:eastAsia="仿宋" w:cs="仿宋"/>
          <w:color w:val="auto"/>
          <w:sz w:val="32"/>
          <w:szCs w:val="32"/>
        </w:rPr>
        <w:t>厂区内颗粒物、非甲烷总烃无组织排放达到《铸造工业大气污染物排放标准》（GB39726-2020）表A.1中的排放限值。厂界臭气浓度确保达到《恶臭污染物排放标准》（GB14554-93）表1中二级新改扩建限值要求。食堂油烟经油烟净化器处理后引致屋顶排放，确保达到《饮食业油烟排放标准（试行）》（GB18483-2001）表2中相关标准。</w:t>
      </w:r>
    </w:p>
    <w:p w14:paraId="692ACF29">
      <w:pPr>
        <w:pStyle w:val="25"/>
        <w:keepNext w:val="0"/>
        <w:keepLines w:val="0"/>
        <w:pageBreakBefore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color w:val="FF0000"/>
          <w:sz w:val="32"/>
          <w:szCs w:val="32"/>
        </w:rPr>
      </w:pPr>
      <w:r>
        <w:rPr>
          <w:rFonts w:hint="eastAsia" w:ascii="仿宋" w:hAnsi="仿宋" w:eastAsia="仿宋" w:cs="仿宋"/>
          <w:color w:val="auto"/>
          <w:sz w:val="32"/>
          <w:szCs w:val="32"/>
        </w:rPr>
        <w:t>3、废水污染防治工作。按照“雨污分流”的原则建设厂区排水管网。项目生产性废水均不外排，助剂清洗废水经隔油沉淀处理后，回用于清洗工序；冷却水经冷却池收集后循环使用。生活污水经隔油、化粪池处理后，确保达到《污水综合排放标准》(GB8978-1996)表4中三级标准和湘潭县第一污水处理厂进水水质接纳标准后排入城市污水管网。</w:t>
      </w:r>
    </w:p>
    <w:p w14:paraId="4E668E93">
      <w:pPr>
        <w:pStyle w:val="25"/>
        <w:keepNext w:val="0"/>
        <w:keepLines w:val="0"/>
        <w:pageBreakBefore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4、噪声污染防治工作。优化厂区内设备布局，选用低噪声设备，并采取隔音、降噪和减震等措施，确保厂界噪声达到《工业企业厂界环境噪声排放标准》（GB12348-2008）中3类标准</w:t>
      </w:r>
    </w:p>
    <w:p w14:paraId="31C82129">
      <w:pPr>
        <w:pStyle w:val="25"/>
        <w:keepNext w:val="0"/>
        <w:keepLines w:val="0"/>
        <w:pageBreakBefore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固体废物污染防治工作。废包装材料分类收集后，外售回收单位综合利用；金属碎屑、不合格产品收集后，回用于生产工序。废机油、废机油桶、废切削液、废过滤棉、废活性炭、铝灰渣、熔炼炉渣、清洗废水沉淀污泥、废漆渣、废漆桶等危险废物，须按照《危险废物贮存污染控制标准》（GB/18597-2023）要求进行收集贮存后，交由资质单位进行处理并报县分局备案，危废暂存间须按相关要求设置并建立相关台账，规范设立标识标牌等；除</w:t>
      </w:r>
      <w:r>
        <w:rPr>
          <w:rFonts w:hint="eastAsia" w:ascii="仿宋" w:hAnsi="仿宋" w:eastAsia="仿宋" w:cs="仿宋"/>
          <w:color w:val="000000" w:themeColor="text1"/>
          <w:sz w:val="32"/>
          <w:szCs w:val="32"/>
        </w:rPr>
        <w:t>尘器收集粉尘和</w:t>
      </w:r>
      <w:r>
        <w:rPr>
          <w:rFonts w:hint="eastAsia" w:ascii="仿宋" w:hAnsi="仿宋" w:eastAsia="仿宋" w:cs="仿宋"/>
          <w:color w:val="auto"/>
          <w:sz w:val="32"/>
          <w:szCs w:val="32"/>
        </w:rPr>
        <w:t>生活垃圾分类收集后，定期交由环卫部门妥善处理。</w:t>
      </w:r>
    </w:p>
    <w:p w14:paraId="08214C24">
      <w:pPr>
        <w:keepNext w:val="0"/>
        <w:keepLines w:val="0"/>
        <w:pageBreakBefore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环境风险防范工作。严格履行建设单位环保主体责任，提高清洁生产水平，加强生产和环保管理，安排环保专员负责环保设施运转维护。建立健全污染事故应急处理和定期监测制度，落实事故风险防范措施，切实防范各类环境风险事故。</w:t>
      </w:r>
    </w:p>
    <w:p w14:paraId="767B59F0">
      <w:pPr>
        <w:pStyle w:val="20"/>
        <w:keepNext w:val="0"/>
        <w:keepLines w:val="0"/>
        <w:pageBreakBefore w:val="0"/>
        <w:shd w:val="clear" w:color="auto" w:fill="FFFFFF"/>
        <w:kinsoku/>
        <w:wordWrap/>
        <w:overflowPunct/>
        <w:topLinePunct w:val="0"/>
        <w:autoSpaceDE/>
        <w:autoSpaceDN/>
        <w:bidi w:val="0"/>
        <w:adjustRightInd/>
        <w:spacing w:before="0" w:beforeAutospacing="0" w:after="0" w:afterAutospacing="0" w:line="480" w:lineRule="exact"/>
        <w:ind w:firstLine="640" w:firstLineChars="200"/>
        <w:jc w:val="both"/>
        <w:textAlignment w:val="auto"/>
        <w:rPr>
          <w:rFonts w:hint="eastAsia" w:ascii="仿宋" w:hAnsi="仿宋" w:eastAsia="仿宋" w:cs="仿宋"/>
          <w:color w:val="FF0000"/>
          <w:sz w:val="32"/>
          <w:szCs w:val="32"/>
        </w:rPr>
      </w:pPr>
      <w:r>
        <w:rPr>
          <w:rFonts w:hint="eastAsia" w:ascii="仿宋" w:hAnsi="仿宋" w:eastAsia="仿宋" w:cs="仿宋"/>
          <w:sz w:val="32"/>
          <w:szCs w:val="32"/>
        </w:rPr>
        <w:t>三、根据湘潭市生态环境局总量部门核定，该项目实施后，主要污染物年排放总量为：SO</w:t>
      </w:r>
      <w:r>
        <w:rPr>
          <w:rFonts w:hint="eastAsia" w:ascii="仿宋" w:hAnsi="仿宋" w:eastAsia="仿宋" w:cs="仿宋"/>
          <w:sz w:val="32"/>
          <w:szCs w:val="32"/>
          <w:vertAlign w:val="subscript"/>
        </w:rPr>
        <w:t>2</w:t>
      </w:r>
      <w:r>
        <w:rPr>
          <w:rFonts w:hint="eastAsia" w:ascii="仿宋" w:hAnsi="仿宋" w:eastAsia="仿宋" w:cs="仿宋"/>
          <w:sz w:val="32"/>
          <w:szCs w:val="32"/>
        </w:rPr>
        <w:t>≤0.012t/a、NO</w:t>
      </w:r>
      <w:r>
        <w:rPr>
          <w:rFonts w:hint="eastAsia" w:ascii="仿宋" w:hAnsi="仿宋" w:eastAsia="仿宋" w:cs="仿宋"/>
          <w:sz w:val="32"/>
          <w:szCs w:val="32"/>
          <w:vertAlign w:val="subscript"/>
        </w:rPr>
        <w:t>X</w:t>
      </w:r>
      <w:r>
        <w:rPr>
          <w:rFonts w:hint="eastAsia" w:ascii="仿宋" w:hAnsi="仿宋" w:eastAsia="仿宋" w:cs="仿宋"/>
          <w:sz w:val="32"/>
          <w:szCs w:val="32"/>
        </w:rPr>
        <w:t>≤0.2t/a、VOCs≤0.429</w:t>
      </w:r>
      <w:bookmarkStart w:id="13" w:name="OLE_LINK109"/>
      <w:bookmarkStart w:id="14" w:name="OLE_LINK108"/>
      <w:r>
        <w:rPr>
          <w:rFonts w:hint="eastAsia" w:ascii="仿宋" w:hAnsi="仿宋" w:eastAsia="仿宋" w:cs="仿宋"/>
          <w:sz w:val="32"/>
          <w:szCs w:val="32"/>
        </w:rPr>
        <w:t>t/a</w:t>
      </w:r>
      <w:bookmarkEnd w:id="13"/>
      <w:bookmarkEnd w:id="14"/>
      <w:r>
        <w:rPr>
          <w:rFonts w:hint="eastAsia" w:ascii="仿宋" w:hAnsi="仿宋" w:eastAsia="仿宋" w:cs="仿宋"/>
          <w:sz w:val="32"/>
          <w:szCs w:val="32"/>
        </w:rPr>
        <w:t>（其中有组织0.297t/a）。</w:t>
      </w:r>
    </w:p>
    <w:p w14:paraId="00F633C9">
      <w:pPr>
        <w:keepNext w:val="0"/>
        <w:keepLines w:val="0"/>
        <w:pageBreakBefore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sz w:val="32"/>
          <w:szCs w:val="32"/>
          <w:shd w:val="clear" w:color="050000" w:fill="auto"/>
        </w:rPr>
      </w:pPr>
      <w:r>
        <w:rPr>
          <w:rFonts w:hint="eastAsia" w:ascii="仿宋" w:hAnsi="仿宋" w:eastAsia="仿宋" w:cs="仿宋"/>
          <w:sz w:val="32"/>
          <w:szCs w:val="32"/>
          <w:shd w:val="clear" w:color="050000" w:fill="auto"/>
        </w:rPr>
        <w:t>四、</w:t>
      </w:r>
      <w:r>
        <w:rPr>
          <w:rFonts w:hint="eastAsia" w:ascii="仿宋" w:hAnsi="仿宋" w:eastAsia="仿宋" w:cs="仿宋"/>
          <w:sz w:val="32"/>
          <w:szCs w:val="32"/>
        </w:rPr>
        <w:t>项目启动生产设施或实际排污之前，须取得排污许可手续，并按照规定依法开展竣工环境保护验收工作。</w:t>
      </w:r>
    </w:p>
    <w:p w14:paraId="68BF6E77">
      <w:pPr>
        <w:keepNext w:val="0"/>
        <w:keepLines w:val="0"/>
        <w:pageBreakBefore w:val="0"/>
        <w:kinsoku/>
        <w:wordWrap/>
        <w:overflowPunct/>
        <w:topLinePunct w:val="0"/>
        <w:autoSpaceDE/>
        <w:autoSpaceDN/>
        <w:bidi w:val="0"/>
        <w:adjustRightInd/>
        <w:spacing w:line="480" w:lineRule="exact"/>
        <w:ind w:firstLine="640" w:firstLineChars="200"/>
        <w:textAlignment w:val="auto"/>
        <w:rPr>
          <w:rFonts w:hint="eastAsia" w:ascii="仿宋" w:hAnsi="仿宋" w:eastAsia="仿宋" w:cs="仿宋"/>
          <w:sz w:val="32"/>
          <w:szCs w:val="32"/>
          <w:shd w:val="clear" w:color="050000" w:fill="auto"/>
        </w:rPr>
      </w:pPr>
      <w:r>
        <w:rPr>
          <w:rFonts w:hint="eastAsia" w:ascii="仿宋" w:hAnsi="仿宋" w:eastAsia="仿宋" w:cs="仿宋"/>
          <w:sz w:val="32"/>
          <w:szCs w:val="32"/>
          <w:shd w:val="clear" w:color="050000" w:fill="auto"/>
        </w:rPr>
        <w:t>五</w:t>
      </w:r>
      <w:r>
        <w:rPr>
          <w:rFonts w:hint="eastAsia" w:ascii="仿宋" w:hAnsi="仿宋" w:eastAsia="仿宋" w:cs="仿宋"/>
          <w:sz w:val="32"/>
          <w:szCs w:val="32"/>
        </w:rPr>
        <w:t>、项目建设的性质、规模、地点、采用的生产工艺或者防治污染、防止生态破坏的措施发生重大变动的，建设单位应当重新报批建设项目环境影响评价文件。建设项目的环境影响评价文件自批准之日起超过5年，才开工建设的，其环境影响评价文件应当报原审批部门重新审核。</w:t>
      </w:r>
    </w:p>
    <w:p w14:paraId="7F965905">
      <w:pPr>
        <w:pStyle w:val="16"/>
        <w:keepNext w:val="0"/>
        <w:keepLines w:val="0"/>
        <w:pageBreakBefore w:val="0"/>
        <w:tabs>
          <w:tab w:val="clear" w:pos="4153"/>
          <w:tab w:val="clear" w:pos="8306"/>
        </w:tabs>
        <w:kinsoku/>
        <w:wordWrap/>
        <w:overflowPunct/>
        <w:topLinePunct w:val="0"/>
        <w:autoSpaceDE/>
        <w:autoSpaceDN/>
        <w:bidi w:val="0"/>
        <w:adjustRightInd/>
        <w:spacing w:line="480" w:lineRule="exact"/>
        <w:textAlignment w:val="auto"/>
        <w:rPr>
          <w:rFonts w:hint="eastAsia" w:ascii="仿宋" w:hAnsi="仿宋" w:eastAsia="仿宋" w:cs="仿宋"/>
          <w:color w:val="FF0000"/>
          <w:sz w:val="32"/>
          <w:szCs w:val="32"/>
        </w:rPr>
      </w:pPr>
    </w:p>
    <w:p w14:paraId="1F90C134">
      <w:pPr>
        <w:pStyle w:val="16"/>
        <w:keepNext w:val="0"/>
        <w:keepLines w:val="0"/>
        <w:pageBreakBefore w:val="0"/>
        <w:tabs>
          <w:tab w:val="clear" w:pos="4153"/>
          <w:tab w:val="clear" w:pos="8306"/>
        </w:tabs>
        <w:kinsoku/>
        <w:wordWrap/>
        <w:overflowPunct/>
        <w:topLinePunct w:val="0"/>
        <w:autoSpaceDE/>
        <w:autoSpaceDN/>
        <w:bidi w:val="0"/>
        <w:adjustRightInd/>
        <w:spacing w:line="480" w:lineRule="exact"/>
        <w:textAlignment w:val="auto"/>
        <w:rPr>
          <w:rFonts w:hint="eastAsia" w:ascii="仿宋" w:hAnsi="仿宋" w:eastAsia="仿宋" w:cs="仿宋"/>
          <w:color w:val="FF0000"/>
          <w:sz w:val="32"/>
          <w:szCs w:val="32"/>
        </w:rPr>
      </w:pPr>
    </w:p>
    <w:p w14:paraId="5CB7DCCA">
      <w:pPr>
        <w:pStyle w:val="16"/>
        <w:keepNext w:val="0"/>
        <w:keepLines w:val="0"/>
        <w:pageBreakBefore w:val="0"/>
        <w:tabs>
          <w:tab w:val="clear" w:pos="4153"/>
          <w:tab w:val="clear" w:pos="8306"/>
        </w:tabs>
        <w:kinsoku/>
        <w:wordWrap/>
        <w:overflowPunct/>
        <w:topLinePunct w:val="0"/>
        <w:autoSpaceDE/>
        <w:autoSpaceDN/>
        <w:bidi w:val="0"/>
        <w:adjustRightInd/>
        <w:spacing w:line="480" w:lineRule="exact"/>
        <w:textAlignment w:val="auto"/>
        <w:rPr>
          <w:rFonts w:hint="eastAsia" w:ascii="仿宋" w:hAnsi="仿宋" w:eastAsia="仿宋" w:cs="仿宋"/>
          <w:color w:val="FF0000"/>
          <w:sz w:val="32"/>
          <w:szCs w:val="32"/>
        </w:rPr>
      </w:pPr>
    </w:p>
    <w:p w14:paraId="23C84B32">
      <w:pPr>
        <w:pStyle w:val="16"/>
        <w:keepNext w:val="0"/>
        <w:keepLines w:val="0"/>
        <w:pageBreakBefore w:val="0"/>
        <w:tabs>
          <w:tab w:val="clear" w:pos="4153"/>
          <w:tab w:val="clear" w:pos="8306"/>
        </w:tabs>
        <w:kinsoku/>
        <w:wordWrap/>
        <w:overflowPunct/>
        <w:topLinePunct w:val="0"/>
        <w:autoSpaceDE/>
        <w:autoSpaceDN/>
        <w:bidi w:val="0"/>
        <w:adjustRightInd/>
        <w:spacing w:line="480" w:lineRule="exact"/>
        <w:textAlignment w:val="auto"/>
        <w:rPr>
          <w:rFonts w:hint="eastAsia" w:ascii="仿宋" w:hAnsi="仿宋" w:eastAsia="仿宋" w:cs="仿宋"/>
          <w:color w:val="FF0000"/>
          <w:sz w:val="32"/>
          <w:szCs w:val="32"/>
        </w:rPr>
      </w:pPr>
    </w:p>
    <w:p w14:paraId="62BEF53D">
      <w:pPr>
        <w:keepNext w:val="0"/>
        <w:keepLines w:val="0"/>
        <w:pageBreakBefore w:val="0"/>
        <w:kinsoku/>
        <w:wordWrap/>
        <w:overflowPunct/>
        <w:topLinePunct w:val="0"/>
        <w:autoSpaceDE/>
        <w:autoSpaceDN/>
        <w:bidi w:val="0"/>
        <w:adjustRightInd/>
        <w:spacing w:line="480" w:lineRule="exact"/>
        <w:ind w:right="640" w:firstLine="5280" w:firstLineChars="1650"/>
        <w:textAlignment w:val="auto"/>
        <w:rPr>
          <w:rFonts w:hint="eastAsia" w:ascii="仿宋" w:hAnsi="仿宋" w:eastAsia="仿宋" w:cs="仿宋"/>
          <w:kern w:val="1"/>
          <w:sz w:val="32"/>
          <w:szCs w:val="32"/>
        </w:rPr>
      </w:pPr>
      <w:r>
        <w:rPr>
          <w:rFonts w:hint="eastAsia" w:ascii="仿宋" w:hAnsi="仿宋" w:eastAsia="仿宋" w:cs="仿宋"/>
          <w:color w:val="FF0000"/>
          <w:kern w:val="1"/>
          <w:sz w:val="32"/>
          <w:szCs w:val="32"/>
        </w:rPr>
        <w:t xml:space="preserve">  </w:t>
      </w:r>
      <w:r>
        <w:rPr>
          <w:rFonts w:hint="eastAsia" w:ascii="仿宋" w:hAnsi="仿宋" w:eastAsia="仿宋" w:cs="仿宋"/>
          <w:kern w:val="1"/>
          <w:sz w:val="32"/>
          <w:szCs w:val="32"/>
        </w:rPr>
        <w:t xml:space="preserve"> （盖 章）</w:t>
      </w:r>
    </w:p>
    <w:p w14:paraId="19622988">
      <w:pPr>
        <w:keepNext w:val="0"/>
        <w:keepLines w:val="0"/>
        <w:pageBreakBefore w:val="0"/>
        <w:kinsoku/>
        <w:wordWrap/>
        <w:overflowPunct/>
        <w:topLinePunct w:val="0"/>
        <w:autoSpaceDE/>
        <w:autoSpaceDN/>
        <w:bidi w:val="0"/>
        <w:adjustRightInd/>
        <w:spacing w:line="480" w:lineRule="exact"/>
        <w:ind w:right="640"/>
        <w:jc w:val="center"/>
        <w:textAlignment w:val="auto"/>
        <w:rPr>
          <w:rFonts w:hint="eastAsia" w:ascii="仿宋" w:hAnsi="仿宋" w:eastAsia="仿宋" w:cs="仿宋"/>
          <w:kern w:val="1"/>
          <w:sz w:val="32"/>
          <w:szCs w:val="32"/>
        </w:rPr>
      </w:pPr>
      <w:r>
        <w:rPr>
          <w:rFonts w:hint="eastAsia" w:ascii="仿宋" w:hAnsi="仿宋" w:eastAsia="仿宋" w:cs="仿宋"/>
          <w:kern w:val="1"/>
          <w:sz w:val="32"/>
          <w:szCs w:val="32"/>
        </w:rPr>
        <w:t xml:space="preserve">                            2025年8月</w:t>
      </w:r>
      <w:r>
        <w:rPr>
          <w:rFonts w:hint="eastAsia" w:ascii="仿宋" w:hAnsi="仿宋" w:eastAsia="仿宋" w:cs="仿宋"/>
          <w:kern w:val="1"/>
          <w:sz w:val="32"/>
          <w:szCs w:val="32"/>
          <w:lang w:val="en-US" w:eastAsia="zh-CN"/>
        </w:rPr>
        <w:t>13</w:t>
      </w:r>
      <w:r>
        <w:rPr>
          <w:rFonts w:hint="eastAsia" w:ascii="仿宋" w:hAnsi="仿宋" w:eastAsia="仿宋" w:cs="仿宋"/>
          <w:kern w:val="1"/>
          <w:sz w:val="32"/>
          <w:szCs w:val="32"/>
        </w:rPr>
        <w:t>日</w:t>
      </w:r>
    </w:p>
    <w:sectPr>
      <w:footerReference r:id="rId6" w:type="first"/>
      <w:headerReference r:id="rId3" w:type="default"/>
      <w:footerReference r:id="rId4" w:type="default"/>
      <w:footerReference r:id="rId5" w:type="even"/>
      <w:pgSz w:w="11906" w:h="16838"/>
      <w:pgMar w:top="1644" w:right="1474" w:bottom="1474" w:left="1531"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6F03D0">
    <w:pPr>
      <w:pStyle w:val="16"/>
      <w:tabs>
        <w:tab w:val="clear" w:pos="4153"/>
        <w:tab w:val="clear" w:pos="8306"/>
      </w:tabs>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4792A">
    <w:pPr>
      <w:pStyle w:val="16"/>
      <w:framePr w:wrap="around" w:vAnchor="text" w:hAnchor="margin" w:xAlign="center" w:y="1"/>
      <w:tabs>
        <w:tab w:val="clear" w:pos="4153"/>
        <w:tab w:val="clear" w:pos="8306"/>
      </w:tabs>
    </w:pPr>
    <w:r>
      <w:fldChar w:fldCharType="begin"/>
    </w:r>
    <w:r>
      <w:rPr>
        <w:rStyle w:val="24"/>
      </w:rPr>
      <w:instrText xml:space="preserve">PAGE  </w:instrText>
    </w:r>
    <w:r>
      <w:fldChar w:fldCharType="end"/>
    </w:r>
  </w:p>
  <w:p w14:paraId="6C2E2B9C">
    <w:pPr>
      <w:pStyle w:val="16"/>
      <w:tabs>
        <w:tab w:val="clear" w:pos="4153"/>
        <w:tab w:val="clear" w:pos="8306"/>
      </w:tabs>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F31AA">
    <w:pPr>
      <w:pStyle w:val="16"/>
      <w:tabs>
        <w:tab w:val="clear" w:pos="4153"/>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4D2A22">
    <w:pPr>
      <w:pStyle w:val="18"/>
      <w:pBdr>
        <w:bottom w:val="none" w:color="auto" w:sz="0" w:space="0"/>
      </w:pBdr>
      <w:tabs>
        <w:tab w:val="clear" w:pos="4153"/>
        <w:tab w:val="clear"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isplayHorizontalDrawingGridEvery w:val="0"/>
  <w:displayVerticalDrawingGridEvery w:val="2"/>
  <w:characterSpacingControl w:val="compressPunctuation"/>
  <w:compat>
    <w:balanceSingleByteDoubleByteWidth/>
    <w:doNotLeaveBackslashAlone/>
    <w:ulTrailSpace/>
    <w:doNotExpandShiftReturn/>
    <w:adjustLineHeightInTable/>
    <w:useFELayout/>
    <w:compatSetting w:name="compatibilityMode" w:uri="http://schemas.microsoft.com/office/word" w:val="12"/>
  </w:compat>
  <w:rsids>
    <w:rsidRoot w:val="008450D2"/>
    <w:rsid w:val="000126F3"/>
    <w:rsid w:val="00022388"/>
    <w:rsid w:val="00123C4C"/>
    <w:rsid w:val="00265B6A"/>
    <w:rsid w:val="002766C3"/>
    <w:rsid w:val="003A194B"/>
    <w:rsid w:val="003A476B"/>
    <w:rsid w:val="003B2057"/>
    <w:rsid w:val="003C00BE"/>
    <w:rsid w:val="003E34C1"/>
    <w:rsid w:val="00417581"/>
    <w:rsid w:val="00495967"/>
    <w:rsid w:val="00672BF6"/>
    <w:rsid w:val="0069053D"/>
    <w:rsid w:val="006A2E5C"/>
    <w:rsid w:val="007C5D09"/>
    <w:rsid w:val="008450D2"/>
    <w:rsid w:val="008A7152"/>
    <w:rsid w:val="008D70AB"/>
    <w:rsid w:val="009170B7"/>
    <w:rsid w:val="0093153E"/>
    <w:rsid w:val="009C220E"/>
    <w:rsid w:val="00A21889"/>
    <w:rsid w:val="00A23015"/>
    <w:rsid w:val="00A5576E"/>
    <w:rsid w:val="00A677A1"/>
    <w:rsid w:val="00C12B57"/>
    <w:rsid w:val="00C377FF"/>
    <w:rsid w:val="00C9061C"/>
    <w:rsid w:val="00DD59D5"/>
    <w:rsid w:val="00EF57A9"/>
    <w:rsid w:val="00F243BE"/>
    <w:rsid w:val="00F321F3"/>
    <w:rsid w:val="00FA5A16"/>
    <w:rsid w:val="00FD3907"/>
    <w:rsid w:val="00FF3F54"/>
    <w:rsid w:val="0EB67A6F"/>
    <w:rsid w:val="13F24102"/>
    <w:rsid w:val="34260F9E"/>
    <w:rsid w:val="53C573A9"/>
    <w:rsid w:val="70051865"/>
    <w:rsid w:val="72EE6C9D"/>
    <w:rsid w:val="7B526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正文文字"/>
    <w:basedOn w:val="3"/>
    <w:next w:val="1"/>
    <w:qFormat/>
    <w:uiPriority w:val="0"/>
    <w:pPr>
      <w:snapToGrid w:val="0"/>
      <w:spacing w:line="480" w:lineRule="exact"/>
      <w:ind w:firstLine="200" w:firstLineChars="200"/>
    </w:pPr>
    <w:rPr>
      <w:sz w:val="24"/>
      <w:szCs w:val="24"/>
    </w:rPr>
  </w:style>
  <w:style w:type="paragraph" w:customStyle="1" w:styleId="3">
    <w:name w:val="正文缩进1"/>
    <w:basedOn w:val="1"/>
    <w:qFormat/>
    <w:uiPriority w:val="0"/>
    <w:pPr>
      <w:spacing w:line="0" w:lineRule="atLeast"/>
      <w:ind w:firstLine="420"/>
    </w:pPr>
    <w:rPr>
      <w:szCs w:val="20"/>
    </w:rPr>
  </w:style>
  <w:style w:type="paragraph" w:styleId="4">
    <w:name w:val="Normal Indent"/>
    <w:qFormat/>
    <w:uiPriority w:val="0"/>
    <w:pPr>
      <w:widowControl w:val="0"/>
      <w:spacing w:line="0" w:lineRule="atLeast"/>
      <w:ind w:firstLine="420"/>
      <w:jc w:val="both"/>
    </w:pPr>
    <w:rPr>
      <w:rFonts w:ascii="Calibri" w:hAnsi="Calibri" w:eastAsia="宋体" w:cs="Times New Roman"/>
      <w:kern w:val="2"/>
      <w:sz w:val="21"/>
      <w:lang w:val="en-US" w:eastAsia="zh-CN" w:bidi="ar-SA"/>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2"/>
    <w:next w:val="1"/>
    <w:qFormat/>
    <w:uiPriority w:val="0"/>
    <w:pPr>
      <w:widowControl w:val="0"/>
      <w:spacing w:line="360" w:lineRule="auto"/>
      <w:ind w:left="0" w:leftChars="0" w:firstLine="0" w:firstLineChars="0"/>
      <w:jc w:val="both"/>
    </w:pPr>
    <w:rPr>
      <w:rFonts w:ascii="Verdana" w:hAnsi="Verdana" w:eastAsia="宋体" w:cs="Times New Roman"/>
      <w:spacing w:val="6"/>
      <w:kern w:val="2"/>
      <w:sz w:val="24"/>
      <w:szCs w:val="24"/>
      <w:lang w:val="en-US" w:eastAsia="zh-CN" w:bidi="ar-SA"/>
    </w:rPr>
  </w:style>
  <w:style w:type="character" w:customStyle="1" w:styleId="9">
    <w:name w:val="默认段落字体1"/>
    <w:semiHidden/>
    <w:qFormat/>
    <w:uiPriority w:val="0"/>
  </w:style>
  <w:style w:type="table" w:customStyle="1" w:styleId="10">
    <w:name w:val="普通表格1"/>
    <w:semiHidden/>
    <w:qFormat/>
    <w:uiPriority w:val="0"/>
    <w:tblPr>
      <w:tblCellMar>
        <w:top w:w="0" w:type="dxa"/>
        <w:left w:w="0" w:type="dxa"/>
        <w:bottom w:w="0" w:type="dxa"/>
        <w:right w:w="0" w:type="dxa"/>
      </w:tblCellMar>
    </w:tblPr>
  </w:style>
  <w:style w:type="paragraph" w:customStyle="1" w:styleId="11">
    <w:name w:val="正文文本1"/>
    <w:qFormat/>
    <w:uiPriority w:val="0"/>
    <w:pPr>
      <w:widowControl w:val="0"/>
      <w:spacing w:line="460" w:lineRule="exact"/>
      <w:jc w:val="center"/>
    </w:pPr>
    <w:rPr>
      <w:rFonts w:ascii="宋体" w:hAnsi="Calibri" w:eastAsia="宋体" w:cs="Times New Roman"/>
      <w:spacing w:val="6"/>
      <w:kern w:val="2"/>
      <w:sz w:val="28"/>
      <w:lang w:val="en-US" w:eastAsia="zh-CN" w:bidi="ar-SA"/>
    </w:rPr>
  </w:style>
  <w:style w:type="paragraph" w:customStyle="1" w:styleId="12">
    <w:name w:val="xl27"/>
    <w:qFormat/>
    <w:uiPriority w:val="0"/>
    <w:pPr>
      <w:pBdr>
        <w:bottom w:val="single" w:color="auto" w:sz="4" w:space="0"/>
        <w:right w:val="single" w:color="auto" w:sz="4" w:space="0"/>
      </w:pBdr>
      <w:spacing w:before="100" w:beforeAutospacing="1" w:after="100" w:afterAutospacing="1"/>
      <w:jc w:val="center"/>
    </w:pPr>
    <w:rPr>
      <w:rFonts w:ascii="Calibri" w:hAnsi="Calibri" w:eastAsia="Arial Unicode MS" w:cs="Times New Roman"/>
      <w:sz w:val="21"/>
      <w:szCs w:val="21"/>
      <w:lang w:val="en-US" w:eastAsia="zh-CN" w:bidi="ar-SA"/>
    </w:rPr>
  </w:style>
  <w:style w:type="paragraph" w:customStyle="1" w:styleId="13">
    <w:name w:val="正文文本缩进1"/>
    <w:qFormat/>
    <w:uiPriority w:val="0"/>
    <w:pPr>
      <w:widowControl w:val="0"/>
      <w:spacing w:after="120"/>
      <w:ind w:left="420" w:leftChars="200"/>
      <w:jc w:val="both"/>
    </w:pPr>
    <w:rPr>
      <w:rFonts w:ascii="Times New Roman" w:hAnsi="Times New Roman" w:eastAsia="宋体" w:cs="Times New Roman"/>
      <w:kern w:val="2"/>
      <w:sz w:val="21"/>
      <w:szCs w:val="24"/>
      <w:lang w:val="en-US" w:eastAsia="zh-CN" w:bidi="ar-SA"/>
    </w:rPr>
  </w:style>
  <w:style w:type="paragraph" w:customStyle="1" w:styleId="14">
    <w:name w:val="批注框文本1"/>
    <w:basedOn w:val="1"/>
    <w:link w:val="15"/>
    <w:qFormat/>
    <w:uiPriority w:val="0"/>
    <w:rPr>
      <w:sz w:val="18"/>
      <w:szCs w:val="18"/>
    </w:rPr>
  </w:style>
  <w:style w:type="character" w:customStyle="1" w:styleId="15">
    <w:name w:val="批注框文本 Char"/>
    <w:link w:val="14"/>
    <w:qFormat/>
    <w:uiPriority w:val="0"/>
    <w:rPr>
      <w:rFonts w:ascii="Calibri" w:hAnsi="Calibri"/>
      <w:kern w:val="2"/>
      <w:sz w:val="18"/>
      <w:szCs w:val="18"/>
    </w:rPr>
  </w:style>
  <w:style w:type="paragraph" w:customStyle="1" w:styleId="16">
    <w:name w:val="页脚1"/>
    <w:link w:val="17"/>
    <w:qFormat/>
    <w:uiPriority w:val="0"/>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character" w:customStyle="1" w:styleId="17">
    <w:name w:val="页脚 Char"/>
    <w:link w:val="16"/>
    <w:qFormat/>
    <w:uiPriority w:val="0"/>
    <w:rPr>
      <w:rFonts w:ascii="Calibri" w:hAnsi="Calibri"/>
      <w:kern w:val="2"/>
      <w:sz w:val="18"/>
      <w:szCs w:val="18"/>
      <w:lang w:bidi="ar-SA"/>
    </w:rPr>
  </w:style>
  <w:style w:type="paragraph" w:customStyle="1" w:styleId="18">
    <w:name w:val="页眉1"/>
    <w:link w:val="19"/>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 w:type="character" w:customStyle="1" w:styleId="19">
    <w:name w:val="页眉 Char"/>
    <w:link w:val="18"/>
    <w:qFormat/>
    <w:uiPriority w:val="0"/>
    <w:rPr>
      <w:rFonts w:ascii="Calibri" w:hAnsi="Calibri"/>
      <w:kern w:val="2"/>
      <w:sz w:val="18"/>
      <w:szCs w:val="18"/>
      <w:lang w:bidi="ar-SA"/>
    </w:rPr>
  </w:style>
  <w:style w:type="paragraph" w:customStyle="1" w:styleId="20">
    <w:name w:val="普通(网站)1"/>
    <w:basedOn w:val="1"/>
    <w:link w:val="21"/>
    <w:qFormat/>
    <w:uiPriority w:val="0"/>
    <w:pPr>
      <w:widowControl/>
      <w:spacing w:before="100" w:beforeAutospacing="1" w:after="100" w:afterAutospacing="1"/>
      <w:jc w:val="left"/>
    </w:pPr>
    <w:rPr>
      <w:rFonts w:ascii="宋体" w:hAnsi="宋体"/>
      <w:kern w:val="0"/>
      <w:sz w:val="24"/>
    </w:rPr>
  </w:style>
  <w:style w:type="character" w:customStyle="1" w:styleId="21">
    <w:name w:val="普通(网站) Char"/>
    <w:link w:val="20"/>
    <w:qFormat/>
    <w:uiPriority w:val="0"/>
    <w:rPr>
      <w:rFonts w:ascii="宋体" w:hAnsi="宋体"/>
      <w:sz w:val="24"/>
      <w:szCs w:val="24"/>
    </w:rPr>
  </w:style>
  <w:style w:type="paragraph" w:customStyle="1" w:styleId="22">
    <w:name w:val="正文首行缩进1"/>
    <w:qFormat/>
    <w:uiPriority w:val="0"/>
    <w:pPr>
      <w:widowControl w:val="0"/>
      <w:overflowPunct w:val="0"/>
      <w:autoSpaceDE w:val="0"/>
      <w:autoSpaceDN w:val="0"/>
      <w:spacing w:line="360" w:lineRule="auto"/>
      <w:ind w:firstLine="539"/>
      <w:jc w:val="center"/>
    </w:pPr>
    <w:rPr>
      <w:rFonts w:ascii="宋体" w:hAnsi="Calibri" w:eastAsia="宋体" w:cs="Times New Roman"/>
      <w:spacing w:val="6"/>
      <w:sz w:val="28"/>
      <w:lang w:val="en-US" w:eastAsia="zh-CN" w:bidi="ar-SA"/>
    </w:rPr>
  </w:style>
  <w:style w:type="paragraph" w:customStyle="1" w:styleId="23">
    <w:name w:val="正文首行缩进 21"/>
    <w:qFormat/>
    <w:uiPriority w:val="0"/>
    <w:pPr>
      <w:widowControl w:val="0"/>
      <w:spacing w:after="120" w:line="360" w:lineRule="auto"/>
      <w:ind w:left="200" w:leftChars="200" w:firstLine="1446" w:firstLineChars="200"/>
      <w:jc w:val="both"/>
    </w:pPr>
    <w:rPr>
      <w:rFonts w:ascii="Times New Roman" w:hAnsi="Times New Roman" w:eastAsia="宋体" w:cs="Times New Roman"/>
      <w:kern w:val="2"/>
      <w:sz w:val="21"/>
      <w:szCs w:val="24"/>
      <w:lang w:val="en-US" w:eastAsia="zh-CN" w:bidi="ar-SA"/>
    </w:rPr>
  </w:style>
  <w:style w:type="character" w:customStyle="1" w:styleId="24">
    <w:name w:val="页码1"/>
    <w:qFormat/>
    <w:uiPriority w:val="0"/>
  </w:style>
  <w:style w:type="paragraph" w:customStyle="1" w:styleId="25">
    <w:name w:val="Default"/>
    <w:qFormat/>
    <w:uiPriority w:val="0"/>
    <w:pPr>
      <w:widowControl w:val="0"/>
      <w:autoSpaceDE w:val="0"/>
      <w:autoSpaceDN w:val="0"/>
      <w:ind w:firstLine="480"/>
      <w:jc w:val="both"/>
    </w:pPr>
    <w:rPr>
      <w:rFonts w:ascii="Calibri" w:hAnsi="Calibri" w:eastAsia="宋体" w:cs="Times New Roman"/>
      <w:color w:val="000000"/>
      <w:kern w:val="2"/>
      <w:sz w:val="24"/>
      <w:szCs w:val="24"/>
      <w:lang w:val="en-US" w:eastAsia="zh-CN" w:bidi="ar-SA"/>
    </w:rPr>
  </w:style>
  <w:style w:type="paragraph" w:customStyle="1" w:styleId="26">
    <w:name w:val="文本"/>
    <w:qFormat/>
    <w:uiPriority w:val="0"/>
    <w:pPr>
      <w:widowControl w:val="0"/>
      <w:autoSpaceDE w:val="0"/>
      <w:autoSpaceDN w:val="0"/>
      <w:ind w:firstLine="480"/>
      <w:jc w:val="both"/>
    </w:pPr>
    <w:rPr>
      <w:rFonts w:ascii="Calibri" w:hAnsi="Calibri" w:eastAsia="宋体" w:cs="Times New Roman"/>
      <w:kern w:val="2"/>
      <w:sz w:val="21"/>
      <w:szCs w:val="24"/>
      <w:lang w:val="zh-CN" w:eastAsia="zh-CN" w:bidi="ar-SA"/>
    </w:rPr>
  </w:style>
  <w:style w:type="paragraph" w:styleId="2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1700</Words>
  <Characters>1894</Characters>
  <Lines>18</Lines>
  <Paragraphs>5</Paragraphs>
  <TotalTime>226</TotalTime>
  <ScaleCrop>false</ScaleCrop>
  <LinksUpToDate>false</LinksUpToDate>
  <CharactersWithSpaces>1895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2025-06-05T06:36:00Z</dcterms:created>
  <dc:creator>Tang</dc:creator>
  <cp:lastModifiedBy>Tang</cp:lastModifiedBy>
  <cp:lastPrinted>2025-08-11T07:27:14Z</cp:lastPrinted>
  <dcterms:modified xsi:type="dcterms:W3CDTF">2025-08-11T07:41:24Z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eyJoZGlkIjoiNmQxNDU1MGViZjAxZDMxYzUyZmM1YTc3NmYxMDY2NjgiLCJ1c2VySWQiOiIxMjk3NjkzMjgwIn0=</vt:lpwstr>
  </property>
  <property fmtid="{D5CDD505-2E9C-101B-9397-08002B2CF9AE}" pid="3" name="KSOProductBuildVer">
    <vt:lpwstr>2052-12.1.0.21915</vt:lpwstr>
  </property>
  <property fmtid="{D5CDD505-2E9C-101B-9397-08002B2CF9AE}" pid="4" name="ICV">
    <vt:lpwstr>4D7891418D5540BDA475EBBD55EA5C65_13</vt:lpwstr>
  </property>
</Properties>
</file>