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7F037C9">
      <w:pPr>
        <w:widowControl/>
        <w:spacing w:beforeLines="20" w:afterLines="10" w:line="540" w:lineRule="atLeast"/>
        <w:ind w:right="1280"/>
        <w:rPr>
          <w:rFonts w:ascii="仿宋" w:hAnsi="仿宋" w:eastAsia="仿宋" w:cs="仿宋"/>
          <w:color w:val="FF0000"/>
          <w:sz w:val="32"/>
          <w:szCs w:val="32"/>
        </w:rPr>
      </w:pPr>
    </w:p>
    <w:p w14:paraId="44E0C293">
      <w:pPr>
        <w:widowControl/>
        <w:spacing w:beforeLines="20" w:afterLines="10" w:line="540" w:lineRule="atLeast"/>
        <w:ind w:right="1280"/>
        <w:rPr>
          <w:rFonts w:ascii="仿宋" w:hAnsi="仿宋" w:eastAsia="仿宋" w:cs="仿宋"/>
          <w:color w:val="FF0000"/>
          <w:sz w:val="32"/>
          <w:szCs w:val="32"/>
        </w:rPr>
      </w:pPr>
    </w:p>
    <w:p w14:paraId="0723BC7F">
      <w:pPr>
        <w:widowControl/>
        <w:spacing w:beforeLines="20" w:afterLines="10" w:line="540" w:lineRule="atLeast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潭环审(湘潭县)〔2025〕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号</w:t>
      </w:r>
    </w:p>
    <w:p w14:paraId="034A772A">
      <w:pPr>
        <w:widowControl/>
        <w:spacing w:line="540" w:lineRule="atLeast"/>
        <w:jc w:val="right"/>
        <w:rPr>
          <w:rFonts w:ascii="仿宋" w:hAnsi="仿宋" w:eastAsia="仿宋" w:cs="仿宋"/>
          <w:color w:val="FF0000"/>
          <w:sz w:val="52"/>
          <w:szCs w:val="52"/>
        </w:rPr>
      </w:pPr>
    </w:p>
    <w:p w14:paraId="39025586"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关于《湖南道湘新材料有限公司年产6万吨腻子粉、4万吨石膏基腻子粉建设项目环境影响报告表》的审批意见</w:t>
      </w:r>
    </w:p>
    <w:p w14:paraId="4C330571">
      <w:pPr>
        <w:pStyle w:val="2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color w:val="000000"/>
        </w:rPr>
      </w:pPr>
    </w:p>
    <w:p w14:paraId="2673960B">
      <w:pPr>
        <w:pStyle w:val="2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color w:val="000000"/>
        </w:rPr>
      </w:pPr>
    </w:p>
    <w:p w14:paraId="289C4A20"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63" w:line="48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OLE_LINK17"/>
      <w:bookmarkStart w:id="1" w:name="OLE_LINK18"/>
      <w:r>
        <w:rPr>
          <w:rFonts w:hint="eastAsia" w:ascii="仿宋" w:hAnsi="仿宋" w:eastAsia="仿宋" w:cs="仿宋"/>
          <w:sz w:val="32"/>
          <w:szCs w:val="32"/>
        </w:rPr>
        <w:t>湖南道湘新材料有限公司</w:t>
      </w:r>
      <w:bookmarkEnd w:id="0"/>
      <w:bookmarkEnd w:id="1"/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6BFFCD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你公司由湖南至中环保科技有限公司编制的《湖南道湘新材料有限公司年产6万吨腻子粉、4万吨石膏基腻子粉建设项目环境影响报告表》(以下简称报告表)及相关材料已收悉。经研究，批复如下：</w:t>
      </w:r>
    </w:p>
    <w:p w14:paraId="035E72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一、湖南道湘新材料有限公司拟投资5000万元，选址于湘潭天易经开区柏屹自主创新园二期28栋已建标准化厂房内，建设年产6万吨腻子粉、4万吨石膏基腻子粉建设项目。项目总占地面积3677.09m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，建设面积3896m</w:t>
      </w:r>
      <w:r>
        <w:rPr>
          <w:rFonts w:hint="eastAsia" w:ascii="仿宋" w:hAnsi="仿宋" w:eastAsia="仿宋" w:cs="仿宋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。主要建设内容包括：生产车间、原料区、成品区、办公楼及配套工程等；主要产品及规模包括：腻子粉6万t/a、石膏基腻子粉4万t/a；主要生产设备包括：料储罐8个、包装机12台、破碎机1台、磨粉机1台、搅拌机2台、提升机2台、配料计量输送系统1套、振动筛2台等；主要原辅材料及能源消耗包括：水泥5520t/a、石灰石8748t/a、白云石54432t/a、精粉母料720t/a、脱硫石膏粉16000t/a、水1050t/a、电8万kW·h/a等；主要生产工艺流程包括：破碎、研磨、配料、投料、搅拌、分装、入库等。</w:t>
      </w:r>
    </w:p>
    <w:p w14:paraId="07D1D3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项目符合国家相关产业政策，与园区产业定位相符。根据天易经开区意见和环评文件结论，经现场勘查，从环境保护的角度分析，同意该项目按报告表中所列内容进行建设。</w:t>
      </w:r>
    </w:p>
    <w:p w14:paraId="0B83A3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二、在项目营运期间，建设单位必须认真落实环评报告表中提出的各项环保要求，</w:t>
      </w:r>
      <w:bookmarkStart w:id="2" w:name="OLE_LINK3"/>
      <w:bookmarkStart w:id="3" w:name="OLE_LINK4"/>
      <w:bookmarkStart w:id="4" w:name="OLE_LINK5"/>
      <w:bookmarkStart w:id="5" w:name="OLE_LINK6"/>
      <w:bookmarkStart w:id="6" w:name="OLE_LINK8"/>
      <w:bookmarkStart w:id="7" w:name="OLE_LINK7"/>
      <w:r>
        <w:rPr>
          <w:rFonts w:hint="eastAsia" w:ascii="仿宋" w:hAnsi="仿宋" w:eastAsia="仿宋" w:cs="仿宋"/>
          <w:sz w:val="32"/>
          <w:szCs w:val="32"/>
        </w:rPr>
        <w:t>落实环保“三同时”措施，</w:t>
      </w:r>
      <w:bookmarkEnd w:id="2"/>
      <w:bookmarkEnd w:id="3"/>
      <w:r>
        <w:rPr>
          <w:rFonts w:hint="eastAsia" w:ascii="仿宋" w:hAnsi="仿宋" w:eastAsia="仿宋" w:cs="仿宋"/>
          <w:sz w:val="32"/>
          <w:szCs w:val="32"/>
        </w:rPr>
        <w:t>确保各项污染物稳定达标排放</w:t>
      </w:r>
      <w:bookmarkEnd w:id="4"/>
      <w:bookmarkEnd w:id="5"/>
      <w:r>
        <w:rPr>
          <w:rFonts w:hint="eastAsia" w:ascii="仿宋" w:hAnsi="仿宋" w:eastAsia="仿宋" w:cs="仿宋"/>
          <w:sz w:val="32"/>
          <w:szCs w:val="32"/>
        </w:rPr>
        <w:t>，</w:t>
      </w:r>
      <w:bookmarkEnd w:id="6"/>
      <w:bookmarkEnd w:id="7"/>
      <w:r>
        <w:rPr>
          <w:rFonts w:hint="eastAsia" w:ascii="仿宋" w:hAnsi="仿宋" w:eastAsia="仿宋" w:cs="仿宋"/>
          <w:sz w:val="32"/>
          <w:szCs w:val="32"/>
        </w:rPr>
        <w:t>并须着重做好以下工作：</w:t>
      </w:r>
    </w:p>
    <w:p w14:paraId="43EC81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1、废气污染防治工作。厂区内须使用天然气、液化气或电等清洁能源。对厂区内地面及时进行清扫，原料及产品须入库放置，不得露天堆放；采取封闭式皮带廊输送, 并对各进、出料口进行封闭处理；储罐呼吸口产生的粉尘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和投料工序产生的粉尘采取布袋除尘器处理；确保厂界颗粒物</w:t>
      </w:r>
      <w:r>
        <w:rPr>
          <w:rFonts w:hint="eastAsia" w:ascii="仿宋" w:hAnsi="仿宋" w:eastAsia="仿宋" w:cs="仿宋"/>
          <w:sz w:val="32"/>
          <w:szCs w:val="32"/>
        </w:rPr>
        <w:t>达到《大气污染物综合排放标准》（GB16297-1996）表2中无组织排放监控浓度限值。破碎、研磨、打包工序在密闭的环境进行，产生的粉尘经负压收集，采取布袋除尘器处理后，由一根不低于15高排气筒排放，颗粒物排放确保达到《大气污染物综合排放标准》（GB16297-1996) 表2中二级标准限值要求。</w:t>
      </w:r>
    </w:p>
    <w:p w14:paraId="28B86E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2、废水污染防治工作。按照“雨污分流”的原则建设厂区内排水管网。项目无生产性废水产生；生活污水经隔油、化粪池处理后</w:t>
      </w:r>
      <w:bookmarkStart w:id="8" w:name="OLE_LINK11"/>
      <w:bookmarkStart w:id="9" w:name="OLE_LINK12"/>
      <w:r>
        <w:rPr>
          <w:rFonts w:hint="eastAsia" w:ascii="仿宋" w:hAnsi="仿宋" w:eastAsia="仿宋" w:cs="仿宋"/>
          <w:sz w:val="32"/>
          <w:szCs w:val="32"/>
        </w:rPr>
        <w:t>，</w:t>
      </w:r>
      <w:bookmarkEnd w:id="8"/>
      <w:bookmarkEnd w:id="9"/>
      <w:bookmarkStart w:id="10" w:name="OLE_LINK34"/>
      <w:bookmarkStart w:id="11" w:name="OLE_LINK35"/>
      <w:r>
        <w:rPr>
          <w:rFonts w:hint="eastAsia" w:ascii="仿宋" w:hAnsi="仿宋" w:eastAsia="仿宋" w:cs="仿宋"/>
          <w:sz w:val="32"/>
          <w:szCs w:val="32"/>
        </w:rPr>
        <w:t>确保达到</w:t>
      </w:r>
      <w:bookmarkEnd w:id="10"/>
      <w:bookmarkEnd w:id="11"/>
      <w:r>
        <w:rPr>
          <w:rFonts w:hint="eastAsia" w:ascii="仿宋" w:hAnsi="仿宋" w:eastAsia="仿宋" w:cs="仿宋"/>
          <w:sz w:val="32"/>
          <w:szCs w:val="32"/>
        </w:rPr>
        <w:t>《污水综合排放标准》(GB8978-1996)表4中三级标准和湘潭县第一污水处理厂</w:t>
      </w:r>
      <w:bookmarkStart w:id="12" w:name="OLE_LINK36"/>
      <w:bookmarkStart w:id="13" w:name="OLE_LINK37"/>
      <w:r>
        <w:rPr>
          <w:rFonts w:hint="eastAsia" w:ascii="仿宋" w:hAnsi="仿宋" w:eastAsia="仿宋" w:cs="仿宋"/>
          <w:sz w:val="32"/>
          <w:szCs w:val="32"/>
        </w:rPr>
        <w:t>进水水质接纳标准后</w:t>
      </w:r>
      <w:bookmarkStart w:id="14" w:name="OLE_LINK9"/>
      <w:bookmarkStart w:id="15" w:name="OLE_LINK10"/>
      <w:r>
        <w:rPr>
          <w:rFonts w:hint="eastAsia" w:ascii="仿宋" w:hAnsi="仿宋" w:eastAsia="仿宋" w:cs="仿宋"/>
          <w:sz w:val="32"/>
          <w:szCs w:val="32"/>
        </w:rPr>
        <w:t>，</w:t>
      </w:r>
      <w:bookmarkEnd w:id="12"/>
      <w:bookmarkEnd w:id="13"/>
      <w:bookmarkStart w:id="16" w:name="OLE_LINK13"/>
      <w:bookmarkStart w:id="17" w:name="OLE_LINK14"/>
      <w:r>
        <w:rPr>
          <w:rFonts w:hint="eastAsia" w:ascii="仿宋" w:hAnsi="仿宋" w:eastAsia="仿宋" w:cs="仿宋"/>
          <w:sz w:val="32"/>
          <w:szCs w:val="32"/>
        </w:rPr>
        <w:t>排入市政污水管网</w:t>
      </w:r>
      <w:bookmarkEnd w:id="14"/>
      <w:bookmarkEnd w:id="15"/>
      <w:r>
        <w:rPr>
          <w:rFonts w:hint="eastAsia" w:ascii="仿宋" w:hAnsi="仿宋" w:eastAsia="仿宋" w:cs="仿宋"/>
          <w:sz w:val="32"/>
          <w:szCs w:val="32"/>
        </w:rPr>
        <w:t>。</w:t>
      </w:r>
      <w:bookmarkEnd w:id="16"/>
      <w:bookmarkEnd w:id="17"/>
    </w:p>
    <w:p w14:paraId="57541B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3、噪声污染防治工作。优化厂区内设备布局，选用低噪声设备，并采取隔音降噪和减震措施，确保厂界噪声达到《工业企业厂界环境噪声排放标准》（GB12348-2008）中3类标准要求。</w:t>
      </w:r>
    </w:p>
    <w:p w14:paraId="0E53E3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4、固体废物污染防治工作。废包装袋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、废布袋等一般固废分类收集后，外售回收单位综合利用；除尘器收集的粉尘集中收集后回用于生产</w:t>
      </w:r>
      <w:r>
        <w:rPr>
          <w:rFonts w:hint="eastAsia" w:ascii="仿宋" w:hAnsi="仿宋" w:eastAsia="仿宋" w:cs="仿宋"/>
          <w:sz w:val="32"/>
          <w:szCs w:val="32"/>
        </w:rPr>
        <w:t>工序。废机油、废机油桶、含油抹布手套等危险废物，须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按照《危险废物贮存污染控制标准》（GB/18597-2023）要求进行收集贮存后，交由资质单位进行处理并报县分局备案，危废暂存间须按相关要求设置并建立相关台账，规范设立标识标牌等。</w:t>
      </w:r>
      <w:r>
        <w:rPr>
          <w:rFonts w:hint="eastAsia" w:ascii="仿宋" w:hAnsi="仿宋" w:eastAsia="仿宋" w:cs="仿宋"/>
          <w:sz w:val="32"/>
          <w:szCs w:val="32"/>
        </w:rPr>
        <w:t>生活垃圾分类收集后及时交由环卫部门妥善处理。</w:t>
      </w:r>
    </w:p>
    <w:p w14:paraId="6DFFABEB"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</w:t>
      </w:r>
      <w:r>
        <w:rPr>
          <w:rFonts w:hint="eastAsia" w:ascii="仿宋" w:hAnsi="仿宋" w:eastAsia="仿宋" w:cs="仿宋"/>
          <w:kern w:val="1"/>
          <w:sz w:val="32"/>
          <w:szCs w:val="32"/>
        </w:rPr>
        <w:t>环境风险防范工作。严格履行建设单位环保主体责任，加强生产和环保管理，建立健全环保规章制度和岗位责任制，设立环保专员负责环保设施运转维护。制定环境风险事故应急预案和定期监测制度，严防各类环境风险事故的发生。</w:t>
      </w:r>
    </w:p>
    <w:p w14:paraId="00A45F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三、项目启动生产设施或实际排污之前，须取得排污许可手续，并按照规定依法开展竣工环境保护验收工作。</w:t>
      </w:r>
    </w:p>
    <w:p w14:paraId="119D3E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项目建设的性质、规模、地点、采用的生产工艺或者防治污染、防止生态破坏的措施发生重大变动的，建设单位应当重新报批建设项目环境影响评价文件。建设项目的环境影响评价文件自批准之日起超过五年，才开工建设的，其环境影响评价文件应当报原审批部门重新审核。</w:t>
      </w:r>
    </w:p>
    <w:p w14:paraId="163497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</w:p>
    <w:p w14:paraId="357DD987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</w:p>
    <w:p w14:paraId="431D4F2E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  <w:bookmarkStart w:id="18" w:name="_GoBack"/>
      <w:bookmarkEnd w:id="18"/>
    </w:p>
    <w:p w14:paraId="50C7F1B4">
      <w:pPr>
        <w:pStyle w:val="2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</w:p>
    <w:p w14:paraId="4EFB86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91" w:line="480" w:lineRule="exact"/>
        <w:ind w:firstLine="5280" w:firstLineChars="1650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color w:val="FF000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(盖  章)</w:t>
      </w:r>
    </w:p>
    <w:p w14:paraId="5EA3A3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2025年8月11日</w:t>
      </w:r>
    </w:p>
    <w:sectPr>
      <w:pgSz w:w="11907" w:h="16839"/>
      <w:pgMar w:top="1644" w:right="1531" w:bottom="1474" w:left="1531" w:header="851" w:footer="1021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evenAndOddHeaders w:val="1"/>
  <w:displayHorizontalDrawingGridEvery w:val="1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rsids>
    <w:rsidRoot w:val="00000000"/>
    <w:rsid w:val="451231DA"/>
    <w:rsid w:val="752F1C88"/>
    <w:rsid w:val="77655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qFormat/>
    <w:uiPriority w:val="0"/>
    <w:pPr>
      <w:widowControl w:val="0"/>
      <w:spacing w:line="360" w:lineRule="auto"/>
      <w:ind w:left="0" w:leftChars="0" w:firstLine="0" w:firstLineChars="0"/>
      <w:jc w:val="both"/>
    </w:pPr>
    <w:rPr>
      <w:rFonts w:ascii="Verdana" w:hAnsi="Verdana" w:eastAsia="宋体" w:cs="Times New Roman"/>
      <w:spacing w:val="6"/>
      <w:kern w:val="2"/>
      <w:sz w:val="24"/>
      <w:szCs w:val="24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rFonts w:ascii="Times New Roman" w:hAnsi="Times New Roman" w:eastAsia="宋体"/>
      <w:sz w:val="24"/>
    </w:rPr>
  </w:style>
  <w:style w:type="paragraph" w:customStyle="1" w:styleId="4">
    <w:name w:val="样式 正文文本缩进 + 行距: 1.5 倍行距"/>
    <w:basedOn w:val="3"/>
    <w:qFormat/>
    <w:uiPriority w:val="0"/>
    <w:pPr>
      <w:tabs>
        <w:tab w:val="left" w:pos="3600"/>
      </w:tabs>
      <w:spacing w:after="120" w:line="360" w:lineRule="auto"/>
      <w:ind w:left="90" w:leftChars="32" w:firstLine="560" w:firstLineChars="200"/>
    </w:pPr>
  </w:style>
  <w:style w:type="character" w:customStyle="1" w:styleId="7">
    <w:name w:val="默认段落字体1"/>
    <w:link w:val="1"/>
    <w:semiHidden/>
    <w:qFormat/>
    <w:uiPriority w:val="0"/>
  </w:style>
  <w:style w:type="table" w:customStyle="1" w:styleId="8">
    <w:name w:val="普通表格1"/>
    <w:qFormat/>
    <w:uiPriority w:val="0"/>
  </w:style>
  <w:style w:type="paragraph" w:customStyle="1" w:styleId="9">
    <w:name w:val="正文首行缩进 21"/>
    <w:basedOn w:val="10"/>
    <w:qFormat/>
    <w:uiPriority w:val="0"/>
    <w:pPr>
      <w:spacing w:line="360" w:lineRule="auto"/>
      <w:ind w:left="0" w:leftChars="0" w:firstLine="0" w:firstLineChars="0"/>
    </w:pPr>
    <w:rPr>
      <w:rFonts w:ascii="Verdana" w:hAnsi="Verdana" w:eastAsia="宋体"/>
      <w:sz w:val="24"/>
    </w:rPr>
  </w:style>
  <w:style w:type="paragraph" w:customStyle="1" w:styleId="10">
    <w:name w:val="正文文本缩进1"/>
    <w:basedOn w:val="1"/>
    <w:qFormat/>
    <w:uiPriority w:val="0"/>
    <w:pPr>
      <w:spacing w:line="336" w:lineRule="auto"/>
      <w:ind w:firstLine="539"/>
    </w:pPr>
    <w:rPr>
      <w:spacing w:val="6"/>
    </w:rPr>
  </w:style>
  <w:style w:type="paragraph" w:customStyle="1" w:styleId="11">
    <w:name w:val="正文缩进1"/>
    <w:basedOn w:val="1"/>
    <w:qFormat/>
    <w:uiPriority w:val="0"/>
    <w:pPr>
      <w:spacing w:line="0" w:lineRule="atLeast"/>
      <w:ind w:firstLine="420"/>
    </w:pPr>
    <w:rPr>
      <w:szCs w:val="20"/>
    </w:rPr>
  </w:style>
  <w:style w:type="paragraph" w:customStyle="1" w:styleId="12">
    <w:name w:val="批注文字1"/>
    <w:basedOn w:val="1"/>
    <w:qFormat/>
    <w:uiPriority w:val="0"/>
    <w:pPr>
      <w:jc w:val="left"/>
    </w:pPr>
  </w:style>
  <w:style w:type="paragraph" w:customStyle="1" w:styleId="13">
    <w:name w:val="正文文本1"/>
    <w:basedOn w:val="1"/>
    <w:qFormat/>
    <w:uiPriority w:val="0"/>
    <w:rPr>
      <w:sz w:val="32"/>
    </w:rPr>
  </w:style>
  <w:style w:type="paragraph" w:customStyle="1" w:styleId="14">
    <w:name w:val="正文文本缩进 21"/>
    <w:basedOn w:val="1"/>
    <w:uiPriority w:val="0"/>
    <w:pPr>
      <w:spacing w:line="560" w:lineRule="exact"/>
      <w:ind w:firstLine="482"/>
    </w:pPr>
    <w:rPr>
      <w:spacing w:val="-20"/>
      <w:sz w:val="28"/>
    </w:rPr>
  </w:style>
  <w:style w:type="paragraph" w:customStyle="1" w:styleId="15">
    <w:name w:val="批注框文本1"/>
    <w:basedOn w:val="1"/>
    <w:link w:val="16"/>
    <w:uiPriority w:val="0"/>
    <w:rPr>
      <w:sz w:val="18"/>
      <w:szCs w:val="18"/>
      <w:lang w:val="en-US" w:eastAsia="en-US"/>
    </w:rPr>
  </w:style>
  <w:style w:type="character" w:customStyle="1" w:styleId="16">
    <w:name w:val="批注框文本 Char"/>
    <w:link w:val="15"/>
    <w:uiPriority w:val="0"/>
    <w:rPr>
      <w:kern w:val="2"/>
      <w:sz w:val="18"/>
      <w:szCs w:val="18"/>
    </w:rPr>
  </w:style>
  <w:style w:type="paragraph" w:customStyle="1" w:styleId="17">
    <w:name w:val="页脚1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8">
    <w:name w:val="页眉1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9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20">
    <w:name w:val="正文首行缩进1"/>
    <w:basedOn w:val="13"/>
    <w:qFormat/>
    <w:uiPriority w:val="0"/>
    <w:pPr>
      <w:spacing w:before="0" w:after="120"/>
      <w:ind w:firstLine="420" w:firstLineChars="100"/>
      <w:jc w:val="both"/>
    </w:pPr>
    <w:rPr>
      <w:rFonts w:ascii="Times New Roman" w:hAnsi="Times New Roman"/>
      <w:b/>
      <w:bCs/>
      <w:w w:val="100"/>
    </w:rPr>
  </w:style>
  <w:style w:type="character" w:customStyle="1" w:styleId="21">
    <w:name w:val="页码1"/>
    <w:link w:val="1"/>
    <w:qFormat/>
    <w:uiPriority w:val="0"/>
  </w:style>
  <w:style w:type="paragraph" w:customStyle="1" w:styleId="22">
    <w:name w:val="Default"/>
    <w:basedOn w:val="23"/>
    <w:qFormat/>
    <w:uiPriority w:val="0"/>
    <w:pPr>
      <w:widowControl w:val="0"/>
    </w:pPr>
    <w:rPr>
      <w:rFonts w:ascii="宋体" w:hAnsi="宋体"/>
      <w:color w:val="000000"/>
      <w:sz w:val="24"/>
      <w:szCs w:val="24"/>
      <w:lang w:val="en-US" w:eastAsia="zh-CN" w:bidi="ar-SA"/>
    </w:rPr>
  </w:style>
  <w:style w:type="paragraph" w:customStyle="1" w:styleId="23">
    <w:name w:val="纯文本1"/>
    <w:basedOn w:val="1"/>
    <w:qFormat/>
    <w:uiPriority w:val="0"/>
    <w:rPr>
      <w:rFonts w:hint="eastAsia" w:ascii="宋体" w:hAnsi="Courier New"/>
      <w:szCs w:val="24"/>
    </w:rPr>
  </w:style>
  <w:style w:type="paragraph" w:customStyle="1" w:styleId="24">
    <w:name w:val="正文文字"/>
    <w:basedOn w:val="11"/>
    <w:qFormat/>
    <w:uiPriority w:val="0"/>
    <w:pPr>
      <w:snapToGrid w:val="0"/>
      <w:spacing w:line="480" w:lineRule="exact"/>
      <w:ind w:firstLine="200" w:firstLineChars="200"/>
    </w:pPr>
    <w:rPr>
      <w:sz w:val="24"/>
      <w:szCs w:val="24"/>
    </w:rPr>
  </w:style>
  <w:style w:type="character" w:customStyle="1" w:styleId="25">
    <w:name w:val="tpc_content1"/>
    <w:link w:val="1"/>
    <w:uiPriority w:val="0"/>
    <w:rPr>
      <w:sz w:val="18"/>
      <w:szCs w:val="18"/>
    </w:rPr>
  </w:style>
  <w:style w:type="character" w:customStyle="1" w:styleId="26">
    <w:name w:val="15"/>
    <w:link w:val="1"/>
    <w:uiPriority w:val="0"/>
    <w:rPr>
      <w:rFonts w:ascii="Times New Roman" w:hAnsi="Times New Roman"/>
      <w:b/>
      <w:bCs/>
      <w:sz w:val="28"/>
      <w:szCs w:val="28"/>
    </w:rPr>
  </w:style>
  <w:style w:type="paragraph" w:customStyle="1" w:styleId="27">
    <w:name w:val="默认段落字体 Para Char Char Char Char Char Char Char"/>
    <w:basedOn w:val="1"/>
    <w:qFormat/>
    <w:uiPriority w:val="0"/>
    <w:rPr>
      <w:rFonts w:ascii="Calibri" w:hAnsi="Calibri"/>
      <w:szCs w:val="22"/>
    </w:rPr>
  </w:style>
  <w:style w:type="paragraph" w:customStyle="1" w:styleId="28">
    <w:name w:val=" Char Char1 Char Char Char Char Char Char Char Char Char Char Char Char Char Char Char Char Char Char Char Char1 Char"/>
    <w:basedOn w:val="1"/>
    <w:uiPriority w:val="0"/>
    <w:pPr>
      <w:spacing w:line="360" w:lineRule="auto"/>
      <w:ind w:firstLine="200" w:firstLineChars="200"/>
    </w:pPr>
    <w:rPr>
      <w:rFonts w:ascii="宋体" w:hAnsi="宋体"/>
      <w:sz w:val="24"/>
    </w:rPr>
  </w:style>
  <w:style w:type="paragraph" w:customStyle="1" w:styleId="29">
    <w:name w:val="april正文"/>
    <w:basedOn w:val="30"/>
    <w:uiPriority w:val="0"/>
    <w:pPr>
      <w:ind w:firstLine="504"/>
    </w:pPr>
    <w:rPr>
      <w:color w:val="FF0000"/>
      <w:spacing w:val="6"/>
      <w:kern w:val="0"/>
      <w:szCs w:val="24"/>
    </w:rPr>
  </w:style>
  <w:style w:type="paragraph" w:customStyle="1" w:styleId="30">
    <w:name w:val="报告书正文"/>
    <w:basedOn w:val="10"/>
    <w:uiPriority w:val="0"/>
    <w:pPr>
      <w:spacing w:line="300" w:lineRule="auto"/>
      <w:ind w:firstLine="200"/>
    </w:pPr>
    <w:rPr>
      <w:spacing w:val="0"/>
    </w:rPr>
  </w:style>
  <w:style w:type="paragraph" w:customStyle="1" w:styleId="31">
    <w:name w:val="p15"/>
    <w:basedOn w:val="1"/>
    <w:uiPriority w:val="0"/>
    <w:pPr>
      <w:widowControl/>
    </w:pPr>
    <w:rPr>
      <w:kern w:val="0"/>
      <w:szCs w:val="21"/>
    </w:rPr>
  </w:style>
  <w:style w:type="paragraph" w:customStyle="1" w:styleId="32">
    <w:name w:val="Char Char1 Char Char Char Char Char Char Char Char Char Char Char Char Char Char Char Char Char Char Char Char1 Char"/>
    <w:basedOn w:val="1"/>
    <w:qFormat/>
    <w:uiPriority w:val="0"/>
    <w:pPr>
      <w:spacing w:line="360" w:lineRule="auto"/>
      <w:ind w:firstLine="200" w:firstLineChars="200"/>
    </w:pPr>
    <w:rPr>
      <w:rFonts w:ascii="宋体" w:hAnsi="宋体"/>
      <w:sz w:val="24"/>
    </w:rPr>
  </w:style>
  <w:style w:type="paragraph" w:customStyle="1" w:styleId="33">
    <w:name w:val="表格文字"/>
    <w:basedOn w:val="1"/>
    <w:uiPriority w:val="0"/>
    <w:pPr>
      <w:snapToGrid w:val="0"/>
      <w:spacing w:line="240" w:lineRule="auto"/>
      <w:ind w:firstLine="0" w:firstLineChars="0"/>
      <w:jc w:val="center"/>
    </w:pPr>
    <w:rPr>
      <w:color w:val="000000"/>
      <w:spacing w:val="6"/>
      <w:kern w:val="0"/>
      <w:sz w:val="21"/>
      <w:szCs w:val="24"/>
    </w:rPr>
  </w:style>
  <w:style w:type="paragraph" w:customStyle="1" w:styleId="34">
    <w:name w:val="p0"/>
    <w:basedOn w:val="1"/>
    <w:uiPriority w:val="0"/>
    <w:pPr>
      <w:widowControl/>
    </w:pPr>
    <w:rPr>
      <w:kern w:val="0"/>
      <w:sz w:val="24"/>
    </w:rPr>
  </w:style>
  <w:style w:type="paragraph" w:customStyle="1" w:styleId="35">
    <w:name w:val="Body Text Indent"/>
    <w:next w:val="4"/>
    <w:qFormat/>
    <w:uiPriority w:val="0"/>
    <w:pPr>
      <w:widowControl w:val="0"/>
      <w:spacing w:after="120" w:afterLines="0"/>
      <w:ind w:left="420" w:left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1515</Words>
  <Characters>1643</Characters>
  <Lines>0</Lines>
  <Paragraphs>0</Paragraphs>
  <TotalTime>17</TotalTime>
  <ScaleCrop>false</ScaleCrop>
  <LinksUpToDate>false</LinksUpToDate>
  <CharactersWithSpaces>1698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2025-08-06T02:35:15Z</dcterms:created>
  <dc:creator>Tang</dc:creator>
  <cp:lastModifiedBy>Tang</cp:lastModifiedBy>
  <cp:lastPrinted>2025-08-06T02:53:31Z</cp:lastPrinted>
  <dcterms:modified xsi:type="dcterms:W3CDTF">2025-08-06T02:56:24Z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eyJoZGlkIjoiNmQxNDU1MGViZjAxZDMxYzUyZmM1YTc3NmYxMDY2NjgiLCJ1c2VySWQiOiIxMjk3NjkzMjgwIn0=</vt:lpwstr>
  </property>
  <property fmtid="{D5CDD505-2E9C-101B-9397-08002B2CF9AE}" pid="3" name="KSOProductBuildVer">
    <vt:lpwstr>2052-12.1.0.21915</vt:lpwstr>
  </property>
  <property fmtid="{D5CDD505-2E9C-101B-9397-08002B2CF9AE}" pid="4" name="ICV">
    <vt:lpwstr>A7F559042DBE43EBBBDE46FBF85C0719_12</vt:lpwstr>
  </property>
</Properties>
</file>