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AF013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(2025年第24批）</w:t>
      </w:r>
    </w:p>
    <w:bookmarkEnd w:id="0"/>
    <w:p w14:paraId="340BFE89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4604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209"/>
        <w:gridCol w:w="1232"/>
        <w:gridCol w:w="1063"/>
        <w:gridCol w:w="1146"/>
        <w:gridCol w:w="1172"/>
        <w:gridCol w:w="2553"/>
        <w:gridCol w:w="2152"/>
        <w:gridCol w:w="1459"/>
        <w:gridCol w:w="1466"/>
        <w:gridCol w:w="600"/>
      </w:tblGrid>
      <w:tr w14:paraId="203700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5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6782A4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28BA18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3D4AF5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36B3669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986C2B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050A251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10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85E538C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7CAB435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DBA31A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1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F72FE7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75C6711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25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5A387F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43E619B8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1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E6942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003A4676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F4E33AD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4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1BCA250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15A7AFB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2EF3363F">
            <w:pPr>
              <w:widowControl/>
              <w:spacing w:line="440" w:lineRule="atLeast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3D51A2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5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36A5DE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9E57E30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潭县农（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渔业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简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罚〔202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〕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号</w:t>
            </w:r>
          </w:p>
          <w:p w14:paraId="4481D482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2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980CC5">
            <w:pPr>
              <w:spacing w:line="4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楚昆仑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在禁捕水域违规垂钓案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4561731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楚昆仑</w:t>
            </w:r>
          </w:p>
        </w:tc>
        <w:tc>
          <w:tcPr>
            <w:tcW w:w="11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4B076">
            <w:pPr>
              <w:spacing w:line="5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62A9540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楚昆仑</w:t>
            </w:r>
          </w:p>
        </w:tc>
        <w:tc>
          <w:tcPr>
            <w:tcW w:w="25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9839BBF">
            <w:pPr>
              <w:spacing w:line="400" w:lineRule="exact"/>
              <w:jc w:val="center"/>
              <w:rPr>
                <w:rFonts w:hint="eastAsia" w:ascii="仿宋" w:hAnsi="仿宋" w:eastAsia="华文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 xml:space="preserve"> 2025 年 6 月 16 日 19 时 48分，本机关行政执法人员进行禁捕巡查时，在湘江湘潭县老船厂 发现你正在进行垂钓，使用鱼竿 5 根，鱼钩使用情况：单线多钩；有渔获物 0 千克， 在长江流域重点水域违规垂钓的行为，违反了《长江水生生物保护管理规定》第二十五条的规定。</w:t>
            </w:r>
          </w:p>
        </w:tc>
        <w:tc>
          <w:tcPr>
            <w:tcW w:w="2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C4038C">
            <w:pPr>
              <w:autoSpaceDE w:val="0"/>
              <w:spacing w:line="500" w:lineRule="exact"/>
              <w:ind w:right="-61" w:rightChars="-29"/>
              <w:jc w:val="left"/>
              <w:rPr>
                <w:rFonts w:hint="eastAsia" w:ascii="华文仿宋" w:hAnsi="华文仿宋" w:eastAsia="仿宋" w:cs="华文仿宋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依据《中华人民共和国行政处罚法》第二十八条第一款、第五十一条和《农业行政处罚程序规定》第二十五条以及《长江水生生物保护管理规定》第三十条之规定。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4A64F14">
            <w:pPr>
              <w:autoSpaceDE w:val="0"/>
              <w:spacing w:line="400" w:lineRule="exact"/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</w:rPr>
              <w:t>15日内将罚款交纳到湘潭县非税收入汇缴结算户</w:t>
            </w:r>
          </w:p>
        </w:tc>
        <w:tc>
          <w:tcPr>
            <w:tcW w:w="1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D2040CF">
            <w:pP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湘潭县农业农村局</w:t>
            </w:r>
          </w:p>
          <w:p w14:paraId="6FE21DFD">
            <w:pPr>
              <w:rPr>
                <w:rFonts w:hint="eastAsia" w:ascii="仿宋" w:hAnsi="仿宋" w:eastAsia="仿宋" w:cs="仿宋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27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70381F8">
            <w:pPr>
              <w:spacing w:line="5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eastAsia="zh-CN"/>
              </w:rPr>
            </w:pPr>
          </w:p>
        </w:tc>
      </w:tr>
    </w:tbl>
    <w:p w14:paraId="06C50359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3345E5"/>
    <w:rsid w:val="18334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2025-07-07T09:51:00Z</dcterms:created>
  <dc:creator>为于思周</dc:creator>
  <cp:lastModifiedBy>为于思周</cp:lastModifiedBy>
  <dcterms:modified xsi:type="dcterms:W3CDTF">2025-07-07T09:52:19Z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41188CDCED6342EA8035C900B4C0130F_11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