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DE0DF0">
      <w:pPr>
        <w:spacing w:line="576" w:lineRule="exact"/>
        <w:jc w:val="left"/>
        <w:rPr>
          <w:rFonts w:ascii="黑体" w:hAnsi="仿宋" w:eastAsia="黑体" w:cs="方正小标宋简体"/>
          <w:sz w:val="30"/>
          <w:szCs w:val="30"/>
        </w:rPr>
      </w:pPr>
      <w:r>
        <w:rPr>
          <w:rFonts w:hint="eastAsia" w:ascii="黑体" w:hAnsi="仿宋" w:eastAsia="黑体" w:cs="方正小标宋简体"/>
          <w:sz w:val="30"/>
          <w:szCs w:val="30"/>
        </w:rPr>
        <w:t>附件</w:t>
      </w:r>
      <w:r>
        <w:rPr>
          <w:rFonts w:ascii="黑体" w:hAnsi="仿宋" w:eastAsia="黑体" w:cs="方正小标宋简体"/>
          <w:sz w:val="30"/>
          <w:szCs w:val="30"/>
        </w:rPr>
        <w:t>5</w:t>
      </w:r>
    </w:p>
    <w:p w14:paraId="39C80B7D">
      <w:pPr>
        <w:spacing w:line="576" w:lineRule="exact"/>
        <w:jc w:val="center"/>
        <w:rPr>
          <w:rFonts w:ascii="黑体" w:hAnsi="仿宋" w:eastAsia="黑体" w:cs="方正小标宋简体"/>
          <w:sz w:val="44"/>
          <w:szCs w:val="44"/>
        </w:rPr>
      </w:pPr>
      <w:r>
        <w:rPr>
          <w:rFonts w:ascii="黑体" w:hAnsi="仿宋" w:eastAsia="黑体" w:cs="方正小标宋简体"/>
          <w:sz w:val="44"/>
          <w:szCs w:val="44"/>
        </w:rPr>
        <w:t>2024</w:t>
      </w:r>
      <w:r>
        <w:rPr>
          <w:rFonts w:hint="eastAsia" w:ascii="黑体" w:hAnsi="仿宋" w:eastAsia="黑体" w:cs="方正小标宋简体"/>
          <w:sz w:val="44"/>
          <w:szCs w:val="44"/>
        </w:rPr>
        <w:t>年度湘潭县保障性安居工程</w:t>
      </w:r>
    </w:p>
    <w:p w14:paraId="39BD45E1">
      <w:pPr>
        <w:spacing w:line="576" w:lineRule="exact"/>
        <w:jc w:val="center"/>
        <w:rPr>
          <w:rFonts w:ascii="黑体" w:hAnsi="仿宋" w:eastAsia="黑体" w:cs="方正小标宋简体"/>
          <w:szCs w:val="32"/>
        </w:rPr>
      </w:pPr>
      <w:r>
        <w:rPr>
          <w:rFonts w:hint="eastAsia" w:ascii="黑体" w:hAnsi="仿宋" w:eastAsia="黑体" w:cs="方正小标宋简体"/>
          <w:bCs/>
          <w:sz w:val="44"/>
          <w:szCs w:val="44"/>
        </w:rPr>
        <w:t>项目支出绩效评价报告</w:t>
      </w:r>
    </w:p>
    <w:tbl>
      <w:tblPr>
        <w:tblStyle w:val="5"/>
        <w:tblW w:w="903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242"/>
        <w:gridCol w:w="1677"/>
        <w:gridCol w:w="6120"/>
      </w:tblGrid>
      <w:tr w14:paraId="5427AF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5" w:hRule="atLeast"/>
          <w:jc w:val="center"/>
        </w:trPr>
        <w:tc>
          <w:tcPr>
            <w:tcW w:w="1242" w:type="dxa"/>
            <w:vMerge w:val="restart"/>
            <w:tcBorders>
              <w:top w:val="single" w:color="auto" w:sz="12" w:space="0"/>
            </w:tcBorders>
            <w:vAlign w:val="center"/>
          </w:tcPr>
          <w:p w14:paraId="5AEA09F9">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部门概况</w:t>
            </w:r>
          </w:p>
        </w:tc>
        <w:tc>
          <w:tcPr>
            <w:tcW w:w="1677" w:type="dxa"/>
            <w:tcBorders>
              <w:top w:val="single" w:color="auto" w:sz="12" w:space="0"/>
            </w:tcBorders>
            <w:vAlign w:val="center"/>
          </w:tcPr>
          <w:p w14:paraId="15FEFB50">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项目名称</w:t>
            </w:r>
          </w:p>
        </w:tc>
        <w:tc>
          <w:tcPr>
            <w:tcW w:w="6120" w:type="dxa"/>
            <w:tcBorders>
              <w:top w:val="single" w:color="auto" w:sz="12" w:space="0"/>
            </w:tcBorders>
            <w:vAlign w:val="center"/>
          </w:tcPr>
          <w:p w14:paraId="48A1ABA4">
            <w:pPr>
              <w:spacing w:line="576" w:lineRule="exact"/>
              <w:jc w:val="center"/>
              <w:rPr>
                <w:rFonts w:ascii="仿宋_GB2312" w:hAnsi="仿宋" w:eastAsia="仿宋_GB2312" w:cs="方正小标宋简体"/>
                <w:sz w:val="24"/>
              </w:rPr>
            </w:pPr>
            <w:r>
              <w:rPr>
                <w:rFonts w:ascii="仿宋_GB2312" w:hAnsi="仿宋" w:eastAsia="仿宋_GB2312" w:cs="方正小标宋简体"/>
                <w:sz w:val="24"/>
              </w:rPr>
              <w:t>2024</w:t>
            </w:r>
            <w:r>
              <w:rPr>
                <w:rFonts w:hint="eastAsia" w:ascii="仿宋_GB2312" w:hAnsi="仿宋" w:eastAsia="仿宋_GB2312" w:cs="方正小标宋简体"/>
                <w:sz w:val="24"/>
              </w:rPr>
              <w:t>年度湘潭县保障性安居工程</w:t>
            </w:r>
          </w:p>
        </w:tc>
      </w:tr>
      <w:tr w14:paraId="30CAF5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5" w:hRule="atLeast"/>
          <w:jc w:val="center"/>
        </w:trPr>
        <w:tc>
          <w:tcPr>
            <w:tcW w:w="1242" w:type="dxa"/>
            <w:vMerge w:val="continue"/>
          </w:tcPr>
          <w:p w14:paraId="1F0C2BC6">
            <w:pPr>
              <w:spacing w:line="576" w:lineRule="exact"/>
              <w:jc w:val="center"/>
              <w:rPr>
                <w:rFonts w:ascii="仿宋_GB2312" w:hAnsi="仿宋" w:eastAsia="仿宋_GB2312" w:cs="方正小标宋简体"/>
                <w:sz w:val="24"/>
              </w:rPr>
            </w:pPr>
          </w:p>
        </w:tc>
        <w:tc>
          <w:tcPr>
            <w:tcW w:w="1677" w:type="dxa"/>
            <w:vAlign w:val="center"/>
          </w:tcPr>
          <w:p w14:paraId="5E7E6759">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年度预算金额</w:t>
            </w:r>
          </w:p>
        </w:tc>
        <w:tc>
          <w:tcPr>
            <w:tcW w:w="6120" w:type="dxa"/>
            <w:vAlign w:val="center"/>
          </w:tcPr>
          <w:p w14:paraId="5D23791D">
            <w:pPr>
              <w:spacing w:line="576" w:lineRule="exact"/>
              <w:jc w:val="center"/>
              <w:rPr>
                <w:rFonts w:ascii="仿宋_GB2312" w:hAnsi="仿宋" w:eastAsia="仿宋_GB2312" w:cs="方正小标宋简体"/>
                <w:sz w:val="24"/>
              </w:rPr>
            </w:pPr>
            <w:r>
              <w:rPr>
                <w:rFonts w:ascii="仿宋_GB2312" w:hAnsi="仿宋" w:eastAsia="仿宋_GB2312" w:cs="方正小标宋简体"/>
                <w:sz w:val="24"/>
              </w:rPr>
              <w:t>310</w:t>
            </w:r>
            <w:r>
              <w:rPr>
                <w:rFonts w:hint="eastAsia" w:ascii="仿宋_GB2312" w:hAnsi="仿宋" w:eastAsia="仿宋_GB2312" w:cs="方正小标宋简体"/>
                <w:sz w:val="24"/>
              </w:rPr>
              <w:t>万元</w:t>
            </w:r>
          </w:p>
        </w:tc>
      </w:tr>
      <w:tr w14:paraId="0191DB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5" w:hRule="atLeast"/>
          <w:jc w:val="center"/>
        </w:trPr>
        <w:tc>
          <w:tcPr>
            <w:tcW w:w="1242" w:type="dxa"/>
            <w:vMerge w:val="continue"/>
          </w:tcPr>
          <w:p w14:paraId="7AB0EACE">
            <w:pPr>
              <w:spacing w:line="576" w:lineRule="exact"/>
              <w:jc w:val="center"/>
              <w:rPr>
                <w:rFonts w:ascii="仿宋_GB2312" w:hAnsi="仿宋" w:eastAsia="仿宋_GB2312" w:cs="方正小标宋简体"/>
                <w:sz w:val="24"/>
              </w:rPr>
            </w:pPr>
          </w:p>
        </w:tc>
        <w:tc>
          <w:tcPr>
            <w:tcW w:w="1677" w:type="dxa"/>
            <w:vAlign w:val="center"/>
          </w:tcPr>
          <w:p w14:paraId="256B78AD">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项目主管部门</w:t>
            </w:r>
          </w:p>
        </w:tc>
        <w:tc>
          <w:tcPr>
            <w:tcW w:w="6120" w:type="dxa"/>
            <w:vAlign w:val="center"/>
          </w:tcPr>
          <w:p w14:paraId="5FC4B3D6">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湘潭县住房和城乡建设局</w:t>
            </w:r>
          </w:p>
        </w:tc>
      </w:tr>
      <w:tr w14:paraId="13115B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5" w:hRule="atLeast"/>
          <w:jc w:val="center"/>
        </w:trPr>
        <w:tc>
          <w:tcPr>
            <w:tcW w:w="1242" w:type="dxa"/>
            <w:vMerge w:val="continue"/>
          </w:tcPr>
          <w:p w14:paraId="5854F3DA">
            <w:pPr>
              <w:spacing w:line="576" w:lineRule="exact"/>
              <w:jc w:val="center"/>
              <w:rPr>
                <w:rFonts w:ascii="仿宋_GB2312" w:hAnsi="仿宋" w:eastAsia="仿宋_GB2312" w:cs="方正小标宋简体"/>
                <w:sz w:val="24"/>
              </w:rPr>
            </w:pPr>
          </w:p>
        </w:tc>
        <w:tc>
          <w:tcPr>
            <w:tcW w:w="1677" w:type="dxa"/>
            <w:vAlign w:val="center"/>
          </w:tcPr>
          <w:p w14:paraId="2CD28AEB">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项目立项目的</w:t>
            </w:r>
          </w:p>
        </w:tc>
        <w:tc>
          <w:tcPr>
            <w:tcW w:w="6120" w:type="dxa"/>
          </w:tcPr>
          <w:p w14:paraId="628514BA">
            <w:pPr>
              <w:pStyle w:val="4"/>
              <w:widowControl/>
              <w:shd w:val="clear" w:color="auto" w:fill="FFFFFF"/>
              <w:spacing w:beforeAutospacing="0" w:afterAutospacing="0" w:line="360" w:lineRule="auto"/>
              <w:ind w:firstLine="480" w:firstLineChars="200"/>
              <w:jc w:val="both"/>
              <w:rPr>
                <w:rFonts w:ascii="仿宋_GB2312" w:hAnsi="仿宋" w:eastAsia="仿宋_GB2312" w:cs="方正小标宋简体"/>
                <w:kern w:val="2"/>
              </w:rPr>
            </w:pPr>
            <w:r>
              <w:rPr>
                <w:rFonts w:hint="eastAsia" w:ascii="仿宋_GB2312" w:hAnsi="仿宋" w:eastAsia="仿宋_GB2312" w:cs="方正小标宋简体"/>
                <w:kern w:val="2"/>
              </w:rPr>
              <w:t>为贯彻落实中央、省、市加快转变经济发展方式的决策部署，加速推进城镇保障性安居工程，我单位负责实施了2024年湘潭县保障性安居工程。</w:t>
            </w:r>
          </w:p>
          <w:p w14:paraId="0E70E509">
            <w:pPr>
              <w:pStyle w:val="4"/>
              <w:widowControl/>
              <w:shd w:val="clear" w:color="auto" w:fill="FFFFFF"/>
              <w:spacing w:beforeAutospacing="0" w:afterAutospacing="0" w:line="360" w:lineRule="auto"/>
              <w:jc w:val="both"/>
              <w:rPr>
                <w:rFonts w:hint="eastAsia" w:ascii="仿宋_GB2312" w:hAnsi="仿宋" w:eastAsia="仿宋_GB2312" w:cs="方正小标宋简体"/>
                <w:kern w:val="2"/>
                <w:lang w:eastAsia="zh-CN"/>
              </w:rPr>
            </w:pPr>
            <w:r>
              <w:rPr>
                <w:rFonts w:hint="eastAsia" w:ascii="仿宋_GB2312" w:hAnsi="仿宋" w:eastAsia="仿宋_GB2312" w:cs="方正小标宋简体"/>
                <w:kern w:val="2"/>
              </w:rPr>
              <w:t>（1）通过公共租赁住房补贴及后期维护管理支出，解决低收入家庭住房困难问题并缓解低收入家庭经济负担</w:t>
            </w:r>
            <w:r>
              <w:rPr>
                <w:rFonts w:hint="eastAsia" w:ascii="仿宋_GB2312" w:hAnsi="仿宋" w:eastAsia="仿宋_GB2312" w:cs="方正小标宋简体"/>
                <w:kern w:val="2"/>
                <w:lang w:eastAsia="zh-CN"/>
              </w:rPr>
              <w:t>。</w:t>
            </w:r>
          </w:p>
          <w:p w14:paraId="00308D94">
            <w:pPr>
              <w:pStyle w:val="4"/>
              <w:widowControl/>
              <w:shd w:val="clear" w:color="auto" w:fill="FFFFFF"/>
              <w:spacing w:beforeAutospacing="0" w:afterAutospacing="0" w:line="360" w:lineRule="auto"/>
              <w:jc w:val="both"/>
              <w:rPr>
                <w:rFonts w:hint="eastAsia" w:ascii="仿宋_GB2312" w:hAnsi="仿宋" w:eastAsia="仿宋_GB2312" w:cs="方正小标宋简体"/>
                <w:lang w:eastAsia="zh-CN"/>
              </w:rPr>
            </w:pPr>
            <w:r>
              <w:rPr>
                <w:rFonts w:hint="eastAsia" w:ascii="仿宋_GB2312" w:hAnsi="仿宋" w:eastAsia="仿宋_GB2312" w:cs="方正小标宋简体"/>
                <w:kern w:val="2"/>
              </w:rPr>
              <w:t>（</w:t>
            </w:r>
            <w:r>
              <w:rPr>
                <w:rFonts w:ascii="仿宋_GB2312" w:hAnsi="仿宋" w:eastAsia="仿宋_GB2312" w:cs="方正小标宋简体"/>
                <w:kern w:val="2"/>
              </w:rPr>
              <w:t>2</w:t>
            </w:r>
            <w:r>
              <w:rPr>
                <w:rFonts w:hint="eastAsia" w:ascii="仿宋_GB2312" w:hAnsi="仿宋" w:eastAsia="仿宋_GB2312" w:cs="方正小标宋简体"/>
                <w:kern w:val="2"/>
              </w:rPr>
              <w:t>）老旧小区改造通过对城镇老旧小区及相关区域的建筑、环境、配套设施等进行改造、完善和提升的活动，增强老旧小区居民生活的幸福感和安全感，进一步改善群众居住要求，满足居民美好生活需要</w:t>
            </w:r>
            <w:r>
              <w:rPr>
                <w:rFonts w:hint="eastAsia" w:ascii="仿宋_GB2312" w:hAnsi="仿宋" w:eastAsia="仿宋_GB2312" w:cs="方正小标宋简体"/>
                <w:kern w:val="2"/>
                <w:lang w:eastAsia="zh-CN"/>
              </w:rPr>
              <w:t>。</w:t>
            </w:r>
          </w:p>
        </w:tc>
      </w:tr>
      <w:tr w14:paraId="4F37DF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242" w:type="dxa"/>
            <w:vMerge w:val="restart"/>
            <w:vAlign w:val="center"/>
          </w:tcPr>
          <w:p w14:paraId="349B0D58">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绩效情况</w:t>
            </w:r>
          </w:p>
        </w:tc>
        <w:tc>
          <w:tcPr>
            <w:tcW w:w="1677" w:type="dxa"/>
            <w:vAlign w:val="center"/>
          </w:tcPr>
          <w:p w14:paraId="41709375">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项目支出管理和使用基本情况</w:t>
            </w:r>
          </w:p>
        </w:tc>
        <w:tc>
          <w:tcPr>
            <w:tcW w:w="6120" w:type="dxa"/>
          </w:tcPr>
          <w:p w14:paraId="2FFA57FE">
            <w:pPr>
              <w:pStyle w:val="7"/>
              <w:spacing w:line="360" w:lineRule="auto"/>
              <w:ind w:firstLine="480"/>
              <w:rPr>
                <w:rFonts w:cs="方正小标宋简体"/>
                <w:color w:val="auto"/>
                <w:kern w:val="2"/>
                <w:sz w:val="24"/>
                <w:szCs w:val="24"/>
              </w:rPr>
            </w:pPr>
            <w:r>
              <w:rPr>
                <w:rFonts w:hint="eastAsia" w:cs="方正小标宋简体"/>
                <w:color w:val="auto"/>
                <w:kern w:val="2"/>
                <w:sz w:val="24"/>
                <w:szCs w:val="24"/>
              </w:rPr>
              <w:t>本项目主管及实施单位湘潭县住房和城乡建设局，湘潭县住房和城乡建设局位于湘潭县易俗河镇杏丹二路，统一社会信用代码1143032100623043X5，属正科级行政单位；本项目负责人李灵博。本项目包含公共租赁住房租赁补贴、城镇老旧小区改造两个二级项目。湘潭县住房保障中心负责主管公租房住房补贴项目的审核及发放和实施老旧小区改造工程。</w:t>
            </w:r>
          </w:p>
          <w:p w14:paraId="62ABB0EC">
            <w:pPr>
              <w:pStyle w:val="7"/>
              <w:spacing w:line="360" w:lineRule="auto"/>
              <w:ind w:firstLine="480"/>
              <w:rPr>
                <w:rFonts w:hint="eastAsia" w:eastAsia="仿宋_GB2312" w:cs="方正小标宋简体"/>
                <w:color w:val="auto"/>
                <w:kern w:val="2"/>
                <w:sz w:val="24"/>
                <w:szCs w:val="24"/>
                <w:lang w:eastAsia="zh-CN"/>
              </w:rPr>
            </w:pPr>
            <w:r>
              <w:rPr>
                <w:rFonts w:hint="eastAsia" w:cs="方正小标宋简体"/>
                <w:color w:val="auto"/>
                <w:kern w:val="2"/>
                <w:sz w:val="24"/>
                <w:szCs w:val="24"/>
              </w:rPr>
              <w:t>湖南省财政厅分配下达2024年湘潭县城镇保障性安居工程--廉租住房及公共租赁住房租赁补贴及老旧小区改造工程财政专项资金共计</w:t>
            </w:r>
            <w:r>
              <w:rPr>
                <w:rFonts w:cs="方正小标宋简体"/>
                <w:color w:val="auto"/>
                <w:kern w:val="2"/>
                <w:sz w:val="24"/>
                <w:szCs w:val="24"/>
              </w:rPr>
              <w:t>432</w:t>
            </w:r>
            <w:r>
              <w:rPr>
                <w:rFonts w:hint="eastAsia" w:cs="方正小标宋简体"/>
                <w:color w:val="auto"/>
                <w:kern w:val="2"/>
                <w:sz w:val="24"/>
                <w:szCs w:val="24"/>
              </w:rPr>
              <w:t>万元(其中:廉租住房及公共租赁住房租赁补贴</w:t>
            </w:r>
            <w:r>
              <w:rPr>
                <w:rFonts w:cs="方正小标宋简体"/>
                <w:color w:val="auto"/>
                <w:kern w:val="2"/>
                <w:sz w:val="24"/>
                <w:szCs w:val="24"/>
              </w:rPr>
              <w:t>38</w:t>
            </w:r>
            <w:r>
              <w:rPr>
                <w:rFonts w:hint="eastAsia" w:cs="方正小标宋简体"/>
                <w:color w:val="auto"/>
                <w:kern w:val="2"/>
                <w:sz w:val="24"/>
                <w:szCs w:val="24"/>
              </w:rPr>
              <w:t>万元，老旧小区改造</w:t>
            </w:r>
            <w:r>
              <w:rPr>
                <w:rFonts w:cs="方正小标宋简体"/>
                <w:color w:val="auto"/>
                <w:kern w:val="2"/>
                <w:sz w:val="24"/>
                <w:szCs w:val="24"/>
              </w:rPr>
              <w:t>394</w:t>
            </w:r>
            <w:r>
              <w:rPr>
                <w:rFonts w:hint="eastAsia" w:cs="方正小标宋简体"/>
                <w:color w:val="auto"/>
                <w:kern w:val="2"/>
                <w:sz w:val="24"/>
                <w:szCs w:val="24"/>
              </w:rPr>
              <w:t>万元)</w:t>
            </w:r>
            <w:r>
              <w:rPr>
                <w:rFonts w:hint="eastAsia" w:cs="方正小标宋简体"/>
                <w:color w:val="auto"/>
                <w:kern w:val="2"/>
                <w:sz w:val="24"/>
                <w:szCs w:val="24"/>
                <w:lang w:eastAsia="zh-CN"/>
              </w:rPr>
              <w:t>。</w:t>
            </w:r>
            <w:bookmarkStart w:id="0" w:name="_GoBack"/>
            <w:bookmarkEnd w:id="0"/>
          </w:p>
          <w:p w14:paraId="04946B2C">
            <w:pPr>
              <w:pStyle w:val="7"/>
              <w:spacing w:line="360" w:lineRule="auto"/>
              <w:ind w:firstLine="480"/>
              <w:rPr>
                <w:rFonts w:cs="方正小标宋简体"/>
                <w:color w:val="auto"/>
                <w:kern w:val="2"/>
                <w:sz w:val="24"/>
                <w:szCs w:val="24"/>
              </w:rPr>
            </w:pPr>
            <w:r>
              <w:rPr>
                <w:rFonts w:hint="eastAsia" w:cs="方正小标宋简体"/>
                <w:color w:val="auto"/>
                <w:kern w:val="2"/>
                <w:sz w:val="24"/>
                <w:szCs w:val="24"/>
              </w:rPr>
              <w:t>本项目2024年计划投入资金</w:t>
            </w:r>
            <w:r>
              <w:rPr>
                <w:rFonts w:cs="方正小标宋简体"/>
                <w:color w:val="auto"/>
                <w:kern w:val="2"/>
                <w:sz w:val="24"/>
                <w:szCs w:val="24"/>
              </w:rPr>
              <w:t>310</w:t>
            </w:r>
            <w:r>
              <w:rPr>
                <w:rFonts w:hint="eastAsia" w:cs="方正小标宋简体"/>
                <w:color w:val="auto"/>
                <w:kern w:val="2"/>
                <w:sz w:val="24"/>
                <w:szCs w:val="24"/>
              </w:rPr>
              <w:t>万元(其中:廉租住房及公共租赁住房租赁补贴</w:t>
            </w:r>
            <w:r>
              <w:rPr>
                <w:rFonts w:cs="方正小标宋简体"/>
                <w:color w:val="auto"/>
                <w:kern w:val="2"/>
                <w:sz w:val="24"/>
                <w:szCs w:val="24"/>
              </w:rPr>
              <w:t>120</w:t>
            </w:r>
            <w:r>
              <w:rPr>
                <w:rFonts w:hint="eastAsia" w:cs="方正小标宋简体"/>
                <w:color w:val="auto"/>
                <w:kern w:val="2"/>
                <w:sz w:val="24"/>
                <w:szCs w:val="24"/>
              </w:rPr>
              <w:t>万元，老旧小区改造</w:t>
            </w:r>
            <w:r>
              <w:rPr>
                <w:rFonts w:cs="方正小标宋简体"/>
                <w:color w:val="auto"/>
                <w:kern w:val="2"/>
                <w:sz w:val="24"/>
                <w:szCs w:val="24"/>
              </w:rPr>
              <w:t>190</w:t>
            </w:r>
            <w:r>
              <w:rPr>
                <w:rFonts w:hint="eastAsia" w:cs="方正小标宋简体"/>
                <w:color w:val="auto"/>
                <w:kern w:val="2"/>
                <w:sz w:val="24"/>
                <w:szCs w:val="24"/>
              </w:rPr>
              <w:t>万元)，本项目所需资金由中央、省级财政拨入，县级配套，实际收到项目资金</w:t>
            </w:r>
            <w:r>
              <w:rPr>
                <w:rFonts w:cs="方正小标宋简体"/>
                <w:color w:val="auto"/>
                <w:kern w:val="2"/>
                <w:sz w:val="24"/>
                <w:szCs w:val="24"/>
              </w:rPr>
              <w:t>571</w:t>
            </w:r>
            <w:r>
              <w:rPr>
                <w:rFonts w:hint="eastAsia" w:cs="方正小标宋简体"/>
                <w:color w:val="auto"/>
                <w:kern w:val="2"/>
                <w:sz w:val="24"/>
                <w:szCs w:val="24"/>
              </w:rPr>
              <w:t>万元(含202</w:t>
            </w:r>
            <w:r>
              <w:rPr>
                <w:rFonts w:cs="方正小标宋简体"/>
                <w:color w:val="auto"/>
                <w:kern w:val="2"/>
                <w:sz w:val="24"/>
                <w:szCs w:val="24"/>
              </w:rPr>
              <w:t>4</w:t>
            </w:r>
            <w:r>
              <w:rPr>
                <w:rFonts w:hint="eastAsia" w:cs="方正小标宋简体"/>
                <w:color w:val="auto"/>
                <w:kern w:val="2"/>
                <w:sz w:val="24"/>
                <w:szCs w:val="24"/>
              </w:rPr>
              <w:t>年前指标)，全部是中央财政资金，本年县级财政未安排资金。湘潭县财政局根据湖南省财政厅资金下达通知，向我单位下达资金文件，我单位根据实际需求情况向县财政局申请拨付专项资金。本项目实际支出</w:t>
            </w:r>
            <w:r>
              <w:rPr>
                <w:rFonts w:cs="方正小标宋简体"/>
                <w:color w:val="auto"/>
                <w:kern w:val="2"/>
                <w:sz w:val="24"/>
                <w:szCs w:val="24"/>
              </w:rPr>
              <w:t>727.9</w:t>
            </w:r>
            <w:r>
              <w:rPr>
                <w:rFonts w:hint="eastAsia" w:cs="方正小标宋简体"/>
                <w:color w:val="auto"/>
                <w:kern w:val="2"/>
                <w:sz w:val="24"/>
                <w:szCs w:val="24"/>
              </w:rPr>
              <w:t>万元（其中老旧小区改造项目支出</w:t>
            </w:r>
            <w:r>
              <w:rPr>
                <w:rFonts w:cs="方正小标宋简体"/>
                <w:color w:val="auto"/>
                <w:kern w:val="2"/>
                <w:sz w:val="24"/>
                <w:szCs w:val="24"/>
              </w:rPr>
              <w:t>620.54</w:t>
            </w:r>
            <w:r>
              <w:rPr>
                <w:rFonts w:hint="eastAsia" w:cs="方正小标宋简体"/>
                <w:color w:val="auto"/>
                <w:kern w:val="2"/>
                <w:sz w:val="24"/>
                <w:szCs w:val="24"/>
              </w:rPr>
              <w:t>万元，廉租住房及公共租赁住房租赁补贴支出</w:t>
            </w:r>
            <w:r>
              <w:rPr>
                <w:rFonts w:cs="方正小标宋简体"/>
                <w:color w:val="auto"/>
                <w:kern w:val="2"/>
                <w:sz w:val="24"/>
                <w:szCs w:val="24"/>
              </w:rPr>
              <w:t>107.36</w:t>
            </w:r>
            <w:r>
              <w:rPr>
                <w:rFonts w:hint="eastAsia" w:cs="方正小标宋简体"/>
                <w:color w:val="auto"/>
                <w:kern w:val="2"/>
                <w:sz w:val="24"/>
                <w:szCs w:val="24"/>
              </w:rPr>
              <w:t>万元），2024年老旧小区改造工程已全部完成竣工验收备案，尚有老旧小区改造项目工程款等未支付，移到下年用项目结转资金进行支付。</w:t>
            </w:r>
          </w:p>
          <w:p w14:paraId="5E565DD9">
            <w:pPr>
              <w:pStyle w:val="7"/>
              <w:spacing w:line="360" w:lineRule="auto"/>
              <w:ind w:firstLine="480"/>
              <w:rPr>
                <w:rFonts w:cs="方正小标宋简体"/>
                <w:color w:val="auto"/>
                <w:kern w:val="2"/>
                <w:sz w:val="24"/>
                <w:szCs w:val="24"/>
              </w:rPr>
            </w:pPr>
            <w:r>
              <w:rPr>
                <w:rFonts w:hint="eastAsia" w:cs="方正小标宋简体"/>
                <w:color w:val="auto"/>
                <w:kern w:val="2"/>
                <w:sz w:val="24"/>
                <w:szCs w:val="24"/>
              </w:rPr>
              <w:t>资金管理：为加强专项资金管理，我单位按照《湖南省城镇保障性安居工程专项资金管理办法》，从制度上规范财政专项资金的日常管理和使用，严格按照相关要求审核拨付专项资金，没有不合规、虚列项目支出、超标准开支的情况，无截留、挤占、挪用项目资金情况。</w:t>
            </w:r>
          </w:p>
        </w:tc>
      </w:tr>
      <w:tr w14:paraId="26123B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13" w:hRule="atLeast"/>
          <w:jc w:val="center"/>
        </w:trPr>
        <w:tc>
          <w:tcPr>
            <w:tcW w:w="1242" w:type="dxa"/>
            <w:vMerge w:val="continue"/>
          </w:tcPr>
          <w:p w14:paraId="6C50427F">
            <w:pPr>
              <w:spacing w:line="576" w:lineRule="exact"/>
              <w:jc w:val="center"/>
              <w:rPr>
                <w:rFonts w:ascii="仿宋_GB2312" w:hAnsi="仿宋" w:eastAsia="仿宋_GB2312" w:cs="方正小标宋简体"/>
                <w:sz w:val="24"/>
              </w:rPr>
            </w:pPr>
          </w:p>
        </w:tc>
        <w:tc>
          <w:tcPr>
            <w:tcW w:w="1677" w:type="dxa"/>
            <w:vAlign w:val="center"/>
          </w:tcPr>
          <w:p w14:paraId="23795F3C">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项目绩效目标完成情况</w:t>
            </w:r>
          </w:p>
        </w:tc>
        <w:tc>
          <w:tcPr>
            <w:tcW w:w="6120" w:type="dxa"/>
          </w:tcPr>
          <w:p w14:paraId="41CAAF8D">
            <w:pPr>
              <w:pStyle w:val="7"/>
              <w:spacing w:line="360" w:lineRule="auto"/>
              <w:ind w:firstLine="480"/>
              <w:rPr>
                <w:rFonts w:cs="方正小标宋简体"/>
                <w:color w:val="auto"/>
                <w:kern w:val="2"/>
                <w:sz w:val="24"/>
                <w:szCs w:val="24"/>
              </w:rPr>
            </w:pPr>
            <w:r>
              <w:rPr>
                <w:rFonts w:hint="eastAsia" w:cs="方正小标宋简体"/>
                <w:color w:val="auto"/>
                <w:kern w:val="2"/>
                <w:sz w:val="24"/>
                <w:szCs w:val="24"/>
              </w:rPr>
              <w:t>1.开工、竣工目标完成率</w:t>
            </w:r>
          </w:p>
          <w:p w14:paraId="0BA82F4C">
            <w:pPr>
              <w:pStyle w:val="7"/>
              <w:spacing w:line="360" w:lineRule="auto"/>
              <w:ind w:firstLine="480"/>
              <w:rPr>
                <w:rFonts w:cs="方正小标宋简体"/>
                <w:color w:val="auto"/>
                <w:kern w:val="2"/>
                <w:sz w:val="24"/>
                <w:szCs w:val="24"/>
              </w:rPr>
            </w:pPr>
            <w:r>
              <w:rPr>
                <w:rFonts w:hint="eastAsia" w:cs="方正小标宋简体"/>
                <w:color w:val="auto"/>
                <w:kern w:val="2"/>
                <w:sz w:val="24"/>
                <w:szCs w:val="24"/>
              </w:rPr>
              <w:t>2024年我县保障性安居工程—老旧</w:t>
            </w:r>
            <w:r>
              <w:rPr>
                <w:rFonts w:cs="方正小标宋简体"/>
                <w:color w:val="auto"/>
                <w:kern w:val="2"/>
                <w:sz w:val="24"/>
                <w:szCs w:val="24"/>
              </w:rPr>
              <w:t>小区改造</w:t>
            </w:r>
            <w:r>
              <w:rPr>
                <w:rFonts w:hint="eastAsia" w:cs="方正小标宋简体"/>
                <w:color w:val="auto"/>
                <w:kern w:val="2"/>
                <w:sz w:val="24"/>
                <w:szCs w:val="24"/>
              </w:rPr>
              <w:t>开工目标任务: 回收公司宿舍、妇幼宿舍、电信邮政宿舍、卫监宿舍、百花小学宿舍、易俗河农业银行宿舍、黄莺花苑7个老旧小区改造项目。实际开工日期：2024年</w:t>
            </w:r>
            <w:r>
              <w:rPr>
                <w:rFonts w:cs="方正小标宋简体"/>
                <w:color w:val="auto"/>
                <w:kern w:val="2"/>
                <w:sz w:val="24"/>
                <w:szCs w:val="24"/>
              </w:rPr>
              <w:t>8</w:t>
            </w:r>
            <w:r>
              <w:rPr>
                <w:rFonts w:hint="eastAsia" w:cs="方正小标宋简体"/>
                <w:color w:val="auto"/>
                <w:kern w:val="2"/>
                <w:sz w:val="24"/>
                <w:szCs w:val="24"/>
              </w:rPr>
              <w:t>月</w:t>
            </w:r>
            <w:r>
              <w:rPr>
                <w:rFonts w:cs="方正小标宋简体"/>
                <w:color w:val="auto"/>
                <w:kern w:val="2"/>
                <w:sz w:val="24"/>
                <w:szCs w:val="24"/>
              </w:rPr>
              <w:t>28</w:t>
            </w:r>
            <w:r>
              <w:rPr>
                <w:rFonts w:hint="eastAsia" w:cs="方正小标宋简体"/>
                <w:color w:val="auto"/>
                <w:kern w:val="2"/>
                <w:sz w:val="24"/>
                <w:szCs w:val="24"/>
              </w:rPr>
              <w:t>日，开工率达100%。全部改造任务竣工验收备案日期：2024年1</w:t>
            </w:r>
            <w:r>
              <w:rPr>
                <w:rFonts w:cs="方正小标宋简体"/>
                <w:color w:val="auto"/>
                <w:kern w:val="2"/>
                <w:sz w:val="24"/>
                <w:szCs w:val="24"/>
              </w:rPr>
              <w:t>2</w:t>
            </w:r>
            <w:r>
              <w:rPr>
                <w:rFonts w:hint="eastAsia" w:cs="方正小标宋简体"/>
                <w:color w:val="auto"/>
                <w:kern w:val="2"/>
                <w:sz w:val="24"/>
                <w:szCs w:val="24"/>
              </w:rPr>
              <w:t>月</w:t>
            </w:r>
            <w:r>
              <w:rPr>
                <w:rFonts w:cs="方正小标宋简体"/>
                <w:color w:val="auto"/>
                <w:kern w:val="2"/>
                <w:sz w:val="24"/>
                <w:szCs w:val="24"/>
              </w:rPr>
              <w:t>5</w:t>
            </w:r>
            <w:r>
              <w:rPr>
                <w:rFonts w:hint="eastAsia" w:cs="方正小标宋简体"/>
                <w:color w:val="auto"/>
                <w:kern w:val="2"/>
                <w:sz w:val="24"/>
                <w:szCs w:val="24"/>
              </w:rPr>
              <w:t>日，竣工率达100%。</w:t>
            </w:r>
          </w:p>
          <w:p w14:paraId="73FADFB3">
            <w:pPr>
              <w:pStyle w:val="7"/>
              <w:spacing w:line="360" w:lineRule="auto"/>
              <w:ind w:firstLine="480"/>
              <w:rPr>
                <w:rFonts w:cs="方正小标宋简体"/>
                <w:color w:val="auto"/>
                <w:kern w:val="2"/>
                <w:sz w:val="24"/>
                <w:szCs w:val="24"/>
              </w:rPr>
            </w:pPr>
            <w:r>
              <w:rPr>
                <w:rFonts w:hint="eastAsia" w:cs="方正小标宋简体"/>
                <w:color w:val="auto"/>
                <w:kern w:val="2"/>
                <w:sz w:val="24"/>
                <w:szCs w:val="24"/>
              </w:rPr>
              <w:t>2.租赁补贴发放目标完成率</w:t>
            </w:r>
          </w:p>
          <w:p w14:paraId="218F12E5">
            <w:pPr>
              <w:pStyle w:val="7"/>
              <w:spacing w:line="360" w:lineRule="auto"/>
              <w:ind w:firstLine="480"/>
              <w:rPr>
                <w:rFonts w:cs="方正小标宋简体"/>
                <w:color w:val="auto"/>
                <w:kern w:val="2"/>
                <w:sz w:val="24"/>
                <w:szCs w:val="24"/>
              </w:rPr>
            </w:pPr>
            <w:r>
              <w:rPr>
                <w:rFonts w:hint="eastAsia" w:cs="方正小标宋简体"/>
                <w:color w:val="auto"/>
                <w:kern w:val="2"/>
                <w:sz w:val="24"/>
                <w:szCs w:val="24"/>
              </w:rPr>
              <w:t>2024年湘潭</w:t>
            </w:r>
            <w:r>
              <w:rPr>
                <w:rFonts w:cs="方正小标宋简体"/>
                <w:color w:val="auto"/>
                <w:kern w:val="2"/>
                <w:sz w:val="24"/>
                <w:szCs w:val="24"/>
              </w:rPr>
              <w:t>县</w:t>
            </w:r>
            <w:r>
              <w:rPr>
                <w:rFonts w:hint="eastAsia" w:cs="方正小标宋简体"/>
                <w:color w:val="auto"/>
                <w:kern w:val="2"/>
                <w:sz w:val="24"/>
                <w:szCs w:val="24"/>
              </w:rPr>
              <w:t>廉租住房及公共租赁住房</w:t>
            </w:r>
            <w:r>
              <w:rPr>
                <w:rFonts w:cs="方正小标宋简体"/>
                <w:color w:val="auto"/>
                <w:kern w:val="2"/>
                <w:sz w:val="24"/>
                <w:szCs w:val="24"/>
              </w:rPr>
              <w:t>租赁补贴</w:t>
            </w:r>
            <w:r>
              <w:rPr>
                <w:rFonts w:hint="eastAsia" w:cs="方正小标宋简体"/>
                <w:color w:val="auto"/>
                <w:kern w:val="2"/>
                <w:sz w:val="24"/>
                <w:szCs w:val="24"/>
              </w:rPr>
              <w:t>在</w:t>
            </w:r>
            <w:r>
              <w:rPr>
                <w:rFonts w:cs="方正小标宋简体"/>
                <w:color w:val="auto"/>
                <w:kern w:val="2"/>
                <w:sz w:val="24"/>
                <w:szCs w:val="24"/>
              </w:rPr>
              <w:t>上年</w:t>
            </w:r>
            <w:r>
              <w:rPr>
                <w:rFonts w:hint="eastAsia" w:cs="方正小标宋简体"/>
                <w:color w:val="auto"/>
                <w:kern w:val="2"/>
                <w:sz w:val="24"/>
                <w:szCs w:val="24"/>
              </w:rPr>
              <w:t>基</w:t>
            </w:r>
            <w:r>
              <w:rPr>
                <w:rFonts w:cs="方正小标宋简体"/>
                <w:color w:val="auto"/>
                <w:kern w:val="2"/>
                <w:sz w:val="24"/>
                <w:szCs w:val="24"/>
              </w:rPr>
              <w:t>础上</w:t>
            </w:r>
            <w:r>
              <w:rPr>
                <w:rFonts w:hint="eastAsia" w:cs="方正小标宋简体"/>
                <w:color w:val="auto"/>
                <w:kern w:val="2"/>
                <w:sz w:val="24"/>
                <w:szCs w:val="24"/>
              </w:rPr>
              <w:t>新增</w:t>
            </w:r>
            <w:r>
              <w:rPr>
                <w:rFonts w:cs="方正小标宋简体"/>
                <w:color w:val="auto"/>
                <w:kern w:val="2"/>
                <w:sz w:val="24"/>
                <w:szCs w:val="24"/>
              </w:rPr>
              <w:t>12</w:t>
            </w:r>
            <w:r>
              <w:rPr>
                <w:rFonts w:hint="eastAsia" w:cs="方正小标宋简体"/>
                <w:color w:val="auto"/>
                <w:kern w:val="2"/>
                <w:sz w:val="24"/>
                <w:szCs w:val="24"/>
              </w:rPr>
              <w:t>户</w:t>
            </w:r>
            <w:r>
              <w:rPr>
                <w:rFonts w:cs="方正小标宋简体"/>
                <w:color w:val="auto"/>
                <w:kern w:val="2"/>
                <w:sz w:val="24"/>
                <w:szCs w:val="24"/>
              </w:rPr>
              <w:t>，恢复1</w:t>
            </w:r>
            <w:r>
              <w:rPr>
                <w:rFonts w:hint="eastAsia" w:cs="方正小标宋简体"/>
                <w:color w:val="auto"/>
                <w:kern w:val="2"/>
                <w:sz w:val="24"/>
                <w:szCs w:val="24"/>
              </w:rPr>
              <w:t>户，</w:t>
            </w:r>
            <w:r>
              <w:rPr>
                <w:rFonts w:cs="方正小标宋简体"/>
                <w:color w:val="auto"/>
                <w:kern w:val="2"/>
                <w:sz w:val="24"/>
                <w:szCs w:val="24"/>
              </w:rPr>
              <w:t>取消14</w:t>
            </w:r>
            <w:r>
              <w:rPr>
                <w:rFonts w:hint="eastAsia" w:cs="方正小标宋简体"/>
                <w:color w:val="auto"/>
                <w:kern w:val="2"/>
                <w:sz w:val="24"/>
                <w:szCs w:val="24"/>
              </w:rPr>
              <w:t>户</w:t>
            </w:r>
            <w:r>
              <w:rPr>
                <w:rFonts w:cs="方正小标宋简体"/>
                <w:color w:val="auto"/>
                <w:kern w:val="2"/>
                <w:sz w:val="24"/>
                <w:szCs w:val="24"/>
              </w:rPr>
              <w:t>，累计享受补贴户数为339</w:t>
            </w:r>
            <w:r>
              <w:rPr>
                <w:rFonts w:hint="eastAsia" w:cs="方正小标宋简体"/>
                <w:color w:val="auto"/>
                <w:kern w:val="2"/>
                <w:sz w:val="24"/>
                <w:szCs w:val="24"/>
              </w:rPr>
              <w:t>户</w:t>
            </w:r>
            <w:r>
              <w:rPr>
                <w:rFonts w:cs="方正小标宋简体"/>
                <w:color w:val="auto"/>
                <w:kern w:val="2"/>
                <w:sz w:val="24"/>
                <w:szCs w:val="24"/>
              </w:rPr>
              <w:t>，目前</w:t>
            </w:r>
            <w:r>
              <w:rPr>
                <w:rFonts w:hint="eastAsia" w:cs="方正小标宋简体"/>
                <w:color w:val="auto"/>
                <w:kern w:val="2"/>
                <w:sz w:val="24"/>
                <w:szCs w:val="24"/>
              </w:rPr>
              <w:t>在</w:t>
            </w:r>
            <w:r>
              <w:rPr>
                <w:rFonts w:cs="方正小标宋简体"/>
                <w:color w:val="auto"/>
                <w:kern w:val="2"/>
                <w:sz w:val="24"/>
                <w:szCs w:val="24"/>
              </w:rPr>
              <w:t>保334</w:t>
            </w:r>
            <w:r>
              <w:rPr>
                <w:rFonts w:hint="eastAsia" w:cs="方正小标宋简体"/>
                <w:color w:val="auto"/>
                <w:kern w:val="2"/>
                <w:sz w:val="24"/>
                <w:szCs w:val="24"/>
              </w:rPr>
              <w:t>户</w:t>
            </w:r>
            <w:r>
              <w:rPr>
                <w:rFonts w:cs="方正小标宋简体"/>
                <w:color w:val="auto"/>
                <w:kern w:val="2"/>
                <w:sz w:val="24"/>
                <w:szCs w:val="24"/>
              </w:rPr>
              <w:t>，</w:t>
            </w:r>
            <w:r>
              <w:rPr>
                <w:rFonts w:hint="eastAsia" w:cs="方正小标宋简体"/>
                <w:color w:val="auto"/>
                <w:kern w:val="2"/>
                <w:sz w:val="24"/>
                <w:szCs w:val="24"/>
              </w:rPr>
              <w:t>2024年1-</w:t>
            </w:r>
            <w:r>
              <w:rPr>
                <w:rFonts w:cs="方正小标宋简体"/>
                <w:color w:val="auto"/>
                <w:kern w:val="2"/>
                <w:sz w:val="24"/>
                <w:szCs w:val="24"/>
              </w:rPr>
              <w:t>4</w:t>
            </w:r>
            <w:r>
              <w:rPr>
                <w:rFonts w:hint="eastAsia" w:cs="方正小标宋简体"/>
                <w:color w:val="auto"/>
                <w:kern w:val="2"/>
                <w:sz w:val="24"/>
                <w:szCs w:val="24"/>
              </w:rPr>
              <w:t>季</w:t>
            </w:r>
            <w:r>
              <w:rPr>
                <w:rFonts w:cs="方正小标宋简体"/>
                <w:color w:val="auto"/>
                <w:kern w:val="2"/>
                <w:sz w:val="24"/>
                <w:szCs w:val="24"/>
              </w:rPr>
              <w:t>度</w:t>
            </w:r>
            <w:r>
              <w:rPr>
                <w:rFonts w:hint="eastAsia" w:cs="方正小标宋简体"/>
                <w:color w:val="auto"/>
                <w:kern w:val="2"/>
                <w:sz w:val="24"/>
                <w:szCs w:val="24"/>
              </w:rPr>
              <w:t>累计</w:t>
            </w:r>
            <w:r>
              <w:rPr>
                <w:rFonts w:cs="方正小标宋简体"/>
                <w:color w:val="auto"/>
                <w:kern w:val="2"/>
                <w:sz w:val="24"/>
                <w:szCs w:val="24"/>
              </w:rPr>
              <w:t>发放1341</w:t>
            </w:r>
            <w:r>
              <w:rPr>
                <w:rFonts w:hint="eastAsia" w:cs="方正小标宋简体"/>
                <w:color w:val="auto"/>
                <w:kern w:val="2"/>
                <w:sz w:val="24"/>
                <w:szCs w:val="24"/>
              </w:rPr>
              <w:t>户</w:t>
            </w:r>
            <w:r>
              <w:rPr>
                <w:rFonts w:cs="方正小标宋简体"/>
                <w:color w:val="auto"/>
                <w:kern w:val="2"/>
                <w:sz w:val="24"/>
                <w:szCs w:val="24"/>
              </w:rPr>
              <w:t>，发放金额107.36</w:t>
            </w:r>
            <w:r>
              <w:rPr>
                <w:rFonts w:hint="eastAsia" w:cs="方正小标宋简体"/>
                <w:color w:val="auto"/>
                <w:kern w:val="2"/>
                <w:sz w:val="24"/>
                <w:szCs w:val="24"/>
              </w:rPr>
              <w:t>万元；2024年度计划发放补贴32</w:t>
            </w:r>
            <w:r>
              <w:rPr>
                <w:rFonts w:cs="方正小标宋简体"/>
                <w:color w:val="auto"/>
                <w:kern w:val="2"/>
                <w:sz w:val="24"/>
                <w:szCs w:val="24"/>
              </w:rPr>
              <w:t>0</w:t>
            </w:r>
            <w:r>
              <w:rPr>
                <w:rFonts w:hint="eastAsia" w:cs="方正小标宋简体"/>
                <w:color w:val="auto"/>
                <w:kern w:val="2"/>
                <w:sz w:val="24"/>
                <w:szCs w:val="24"/>
              </w:rPr>
              <w:t>户，实际累计发放补贴</w:t>
            </w:r>
            <w:r>
              <w:rPr>
                <w:rFonts w:cs="方正小标宋简体"/>
                <w:color w:val="auto"/>
                <w:kern w:val="2"/>
                <w:sz w:val="24"/>
                <w:szCs w:val="24"/>
              </w:rPr>
              <w:t>1341</w:t>
            </w:r>
            <w:r>
              <w:rPr>
                <w:rFonts w:hint="eastAsia" w:cs="方正小标宋简体"/>
                <w:color w:val="auto"/>
                <w:kern w:val="2"/>
                <w:sz w:val="24"/>
                <w:szCs w:val="24"/>
              </w:rPr>
              <w:t>户，实际发放补贴户数占计划发放补贴户数的比例为</w:t>
            </w:r>
            <w:r>
              <w:rPr>
                <w:rFonts w:cs="方正小标宋简体"/>
                <w:color w:val="auto"/>
                <w:kern w:val="2"/>
                <w:sz w:val="24"/>
                <w:szCs w:val="24"/>
              </w:rPr>
              <w:t>105.94</w:t>
            </w:r>
            <w:r>
              <w:rPr>
                <w:rFonts w:hint="eastAsia" w:cs="方正小标宋简体"/>
                <w:color w:val="auto"/>
                <w:kern w:val="2"/>
                <w:sz w:val="24"/>
                <w:szCs w:val="24"/>
              </w:rPr>
              <w:t>%。  </w:t>
            </w:r>
          </w:p>
          <w:p w14:paraId="076B91E1">
            <w:pPr>
              <w:pStyle w:val="7"/>
              <w:spacing w:line="360" w:lineRule="auto"/>
              <w:ind w:firstLine="480"/>
              <w:rPr>
                <w:rFonts w:cs="方正小标宋简体"/>
                <w:color w:val="auto"/>
                <w:kern w:val="2"/>
                <w:sz w:val="24"/>
                <w:szCs w:val="24"/>
              </w:rPr>
            </w:pPr>
            <w:r>
              <w:rPr>
                <w:rFonts w:hint="eastAsia" w:cs="方正小标宋简体"/>
                <w:color w:val="auto"/>
                <w:kern w:val="2"/>
                <w:sz w:val="24"/>
                <w:szCs w:val="24"/>
              </w:rPr>
              <w:t>3.工程质量</w:t>
            </w:r>
          </w:p>
          <w:p w14:paraId="2B7EE6FB">
            <w:pPr>
              <w:pStyle w:val="7"/>
              <w:spacing w:line="360" w:lineRule="auto"/>
              <w:ind w:firstLine="480"/>
              <w:rPr>
                <w:rFonts w:cs="方正小标宋简体"/>
                <w:color w:val="auto"/>
                <w:kern w:val="2"/>
                <w:sz w:val="24"/>
                <w:szCs w:val="24"/>
              </w:rPr>
            </w:pPr>
            <w:r>
              <w:rPr>
                <w:rFonts w:hint="eastAsia" w:cs="方正小标宋简体"/>
                <w:color w:val="auto"/>
                <w:kern w:val="2"/>
                <w:sz w:val="24"/>
                <w:szCs w:val="24"/>
              </w:rPr>
              <w:t>我单位为了加强对建设工程质量的管理，保证建设工程质量，保护人民生命和财产安全，严格遵守《中华人民共和国建筑法》等法律要求。建设单位、勘察单位、设计单位、施工单位、工程监理单位依法对建设工程质量负责。发现有影响工程质量的问题时，及时责令改正。</w:t>
            </w:r>
          </w:p>
        </w:tc>
      </w:tr>
      <w:tr w14:paraId="28B076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69" w:hRule="atLeast"/>
          <w:jc w:val="center"/>
        </w:trPr>
        <w:tc>
          <w:tcPr>
            <w:tcW w:w="1242" w:type="dxa"/>
            <w:vMerge w:val="restart"/>
            <w:vAlign w:val="center"/>
          </w:tcPr>
          <w:p w14:paraId="37B8FDA3">
            <w:pPr>
              <w:spacing w:line="360" w:lineRule="auto"/>
              <w:jc w:val="center"/>
              <w:rPr>
                <w:rFonts w:ascii="仿宋_GB2312" w:hAnsi="仿宋" w:eastAsia="仿宋_GB2312" w:cs="方正小标宋简体"/>
                <w:sz w:val="24"/>
              </w:rPr>
            </w:pPr>
            <w:r>
              <w:rPr>
                <w:rFonts w:hint="eastAsia" w:ascii="仿宋_GB2312" w:hAnsi="仿宋" w:eastAsia="仿宋_GB2312" w:cs="方正小标宋简体"/>
                <w:sz w:val="24"/>
              </w:rPr>
              <w:t>存在的问题分析及改进措施</w:t>
            </w:r>
          </w:p>
        </w:tc>
        <w:tc>
          <w:tcPr>
            <w:tcW w:w="1677" w:type="dxa"/>
            <w:vAlign w:val="center"/>
          </w:tcPr>
          <w:p w14:paraId="71B41A33">
            <w:pPr>
              <w:spacing w:line="360" w:lineRule="auto"/>
              <w:jc w:val="center"/>
              <w:rPr>
                <w:rFonts w:ascii="仿宋_GB2312" w:hAnsi="仿宋" w:eastAsia="仿宋_GB2312" w:cs="方正小标宋简体"/>
                <w:sz w:val="24"/>
              </w:rPr>
            </w:pPr>
            <w:r>
              <w:rPr>
                <w:rFonts w:hint="eastAsia" w:ascii="仿宋_GB2312" w:hAnsi="仿宋" w:eastAsia="仿宋_GB2312" w:cs="方正小标宋简体"/>
                <w:sz w:val="24"/>
              </w:rPr>
              <w:t>存在的问题</w:t>
            </w:r>
          </w:p>
        </w:tc>
        <w:tc>
          <w:tcPr>
            <w:tcW w:w="6120" w:type="dxa"/>
            <w:vAlign w:val="center"/>
          </w:tcPr>
          <w:p w14:paraId="68F2A9C9">
            <w:pPr>
              <w:pStyle w:val="7"/>
              <w:spacing w:line="360" w:lineRule="auto"/>
              <w:ind w:firstLine="480"/>
              <w:rPr>
                <w:rFonts w:cs="方正小标宋简体"/>
                <w:color w:val="auto"/>
                <w:kern w:val="2"/>
                <w:sz w:val="24"/>
                <w:szCs w:val="24"/>
              </w:rPr>
            </w:pPr>
            <w:r>
              <w:rPr>
                <w:rFonts w:hint="eastAsia" w:cs="方正小标宋简体"/>
                <w:color w:val="auto"/>
                <w:kern w:val="2"/>
                <w:sz w:val="24"/>
                <w:szCs w:val="24"/>
              </w:rPr>
              <w:t>一是群众意见协调难</w:t>
            </w:r>
            <w:r>
              <w:rPr>
                <w:rFonts w:hint="eastAsia" w:cs="方正小标宋简体"/>
                <w:color w:val="auto"/>
                <w:kern w:val="2"/>
                <w:sz w:val="24"/>
                <w:szCs w:val="24"/>
                <w:lang w:eastAsia="zh-CN"/>
              </w:rPr>
              <w:t>。</w:t>
            </w:r>
            <w:r>
              <w:rPr>
                <w:rFonts w:hint="eastAsia" w:cs="方正小标宋简体"/>
                <w:color w:val="auto"/>
                <w:kern w:val="2"/>
                <w:sz w:val="24"/>
                <w:szCs w:val="24"/>
              </w:rPr>
              <w:t>老旧小区居民结构复杂，改造诉求多样。例如安装充电桩时，部分居民担心辐射、火灾隐患和噪音，导致选址难以确定。加装电梯也常因费用分摊、电梯公司选择等问题，难以让所有业主达成共识。</w:t>
            </w:r>
          </w:p>
          <w:p w14:paraId="711CB6A1">
            <w:pPr>
              <w:pStyle w:val="7"/>
              <w:spacing w:line="360" w:lineRule="auto"/>
              <w:ind w:firstLine="480"/>
              <w:rPr>
                <w:rFonts w:cs="方正小标宋简体"/>
                <w:color w:val="auto"/>
                <w:kern w:val="2"/>
                <w:sz w:val="24"/>
                <w:szCs w:val="24"/>
              </w:rPr>
            </w:pPr>
            <w:r>
              <w:rPr>
                <w:rFonts w:hint="eastAsia" w:cs="方正小标宋简体"/>
                <w:color w:val="auto"/>
                <w:kern w:val="2"/>
                <w:sz w:val="24"/>
                <w:szCs w:val="24"/>
              </w:rPr>
              <w:t>二是部分建筑改造难。部分老旧小区建筑年代久远、结构老化，改造难度大</w:t>
            </w:r>
            <w:r>
              <w:rPr>
                <w:rFonts w:hint="eastAsia" w:cs="方正小标宋简体"/>
                <w:color w:val="auto"/>
                <w:kern w:val="2"/>
                <w:sz w:val="24"/>
                <w:szCs w:val="24"/>
                <w:lang w:eastAsia="zh-CN"/>
              </w:rPr>
              <w:t>。</w:t>
            </w:r>
            <w:r>
              <w:rPr>
                <w:rFonts w:cs="方正小标宋简体"/>
                <w:color w:val="auto"/>
                <w:kern w:val="2"/>
                <w:sz w:val="24"/>
                <w:szCs w:val="24"/>
              </w:rPr>
              <w:t xml:space="preserve"> </w:t>
            </w:r>
          </w:p>
        </w:tc>
      </w:tr>
      <w:tr w14:paraId="0A188C9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2" w:hRule="atLeast"/>
          <w:jc w:val="center"/>
        </w:trPr>
        <w:tc>
          <w:tcPr>
            <w:tcW w:w="1242" w:type="dxa"/>
            <w:vMerge w:val="continue"/>
          </w:tcPr>
          <w:p w14:paraId="4BB73DF8">
            <w:pPr>
              <w:spacing w:line="360" w:lineRule="auto"/>
              <w:jc w:val="center"/>
              <w:rPr>
                <w:rFonts w:ascii="仿宋_GB2312" w:hAnsi="仿宋" w:eastAsia="仿宋_GB2312" w:cs="方正小标宋简体"/>
                <w:sz w:val="24"/>
              </w:rPr>
            </w:pPr>
          </w:p>
        </w:tc>
        <w:tc>
          <w:tcPr>
            <w:tcW w:w="1677" w:type="dxa"/>
            <w:vAlign w:val="center"/>
          </w:tcPr>
          <w:p w14:paraId="71C65DD8">
            <w:pPr>
              <w:spacing w:line="360" w:lineRule="auto"/>
              <w:jc w:val="center"/>
              <w:rPr>
                <w:rFonts w:ascii="仿宋_GB2312" w:hAnsi="仿宋" w:eastAsia="仿宋_GB2312" w:cs="方正小标宋简体"/>
                <w:sz w:val="24"/>
              </w:rPr>
            </w:pPr>
            <w:r>
              <w:rPr>
                <w:rFonts w:hint="eastAsia" w:ascii="仿宋_GB2312" w:hAnsi="仿宋" w:eastAsia="仿宋_GB2312" w:cs="方正小标宋简体"/>
                <w:sz w:val="24"/>
              </w:rPr>
              <w:t>改进措施</w:t>
            </w:r>
          </w:p>
        </w:tc>
        <w:tc>
          <w:tcPr>
            <w:tcW w:w="6120" w:type="dxa"/>
            <w:vAlign w:val="center"/>
          </w:tcPr>
          <w:p w14:paraId="6B37C544">
            <w:pPr>
              <w:pStyle w:val="7"/>
              <w:spacing w:line="360" w:lineRule="auto"/>
              <w:ind w:firstLine="480"/>
              <w:rPr>
                <w:rFonts w:cs="方正小标宋简体"/>
                <w:color w:val="auto"/>
                <w:kern w:val="2"/>
                <w:sz w:val="24"/>
                <w:szCs w:val="24"/>
              </w:rPr>
            </w:pPr>
            <w:r>
              <w:rPr>
                <w:rFonts w:hint="eastAsia" w:cs="方正小标宋简体"/>
                <w:color w:val="auto"/>
                <w:kern w:val="2"/>
                <w:sz w:val="24"/>
                <w:szCs w:val="24"/>
              </w:rPr>
              <w:t>一是加大宣传引导。充分利用各类媒体，全方位、多角度宣传城镇老旧小区改造工作的重要意义、方法步骤和改造成效，广泛发动群众参与老旧小区改造。</w:t>
            </w:r>
          </w:p>
          <w:p w14:paraId="6A98DD82">
            <w:pPr>
              <w:pStyle w:val="7"/>
              <w:spacing w:line="360" w:lineRule="auto"/>
              <w:ind w:firstLine="480"/>
              <w:rPr>
                <w:rFonts w:cs="方正小标宋简体"/>
                <w:color w:val="auto"/>
                <w:kern w:val="2"/>
                <w:sz w:val="24"/>
                <w:szCs w:val="24"/>
              </w:rPr>
            </w:pPr>
            <w:r>
              <w:rPr>
                <w:rFonts w:hint="eastAsia" w:cs="方正小标宋简体"/>
                <w:color w:val="auto"/>
                <w:kern w:val="2"/>
                <w:sz w:val="24"/>
                <w:szCs w:val="24"/>
              </w:rPr>
              <w:t>二是加强政策指导。对建设年代久远、结构安全存在隐患及有违建建筑的城镇老旧小区进行改造时，相关部门要加强各方面政策指导，加强工作统筹协调，共同推进老旧小区改造顺利实施。</w:t>
            </w:r>
          </w:p>
          <w:p w14:paraId="60C0143C">
            <w:pPr>
              <w:pStyle w:val="7"/>
              <w:spacing w:line="360" w:lineRule="auto"/>
              <w:ind w:firstLine="480"/>
              <w:rPr>
                <w:rFonts w:cs="方正小标宋简体"/>
                <w:color w:val="auto"/>
                <w:kern w:val="2"/>
                <w:sz w:val="24"/>
                <w:szCs w:val="24"/>
                <w:highlight w:val="yellow"/>
              </w:rPr>
            </w:pPr>
          </w:p>
        </w:tc>
      </w:tr>
      <w:tr w14:paraId="552536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72" w:hRule="atLeast"/>
          <w:jc w:val="center"/>
        </w:trPr>
        <w:tc>
          <w:tcPr>
            <w:tcW w:w="1242" w:type="dxa"/>
            <w:vMerge w:val="continue"/>
            <w:tcBorders>
              <w:bottom w:val="single" w:color="auto" w:sz="12" w:space="0"/>
            </w:tcBorders>
          </w:tcPr>
          <w:p w14:paraId="6F71A1F4">
            <w:pPr>
              <w:spacing w:line="360" w:lineRule="auto"/>
              <w:jc w:val="center"/>
              <w:rPr>
                <w:rFonts w:ascii="仿宋_GB2312" w:hAnsi="仿宋" w:eastAsia="仿宋_GB2312" w:cs="方正小标宋简体"/>
                <w:sz w:val="24"/>
              </w:rPr>
            </w:pPr>
          </w:p>
        </w:tc>
        <w:tc>
          <w:tcPr>
            <w:tcW w:w="1677" w:type="dxa"/>
            <w:tcBorders>
              <w:bottom w:val="single" w:color="auto" w:sz="12" w:space="0"/>
            </w:tcBorders>
            <w:vAlign w:val="center"/>
          </w:tcPr>
          <w:p w14:paraId="44FA2DC8">
            <w:pPr>
              <w:spacing w:line="360" w:lineRule="auto"/>
              <w:jc w:val="center"/>
              <w:rPr>
                <w:rFonts w:ascii="仿宋_GB2312" w:hAnsi="仿宋" w:eastAsia="仿宋_GB2312" w:cs="方正小标宋简体"/>
                <w:sz w:val="24"/>
              </w:rPr>
            </w:pPr>
            <w:r>
              <w:rPr>
                <w:rFonts w:hint="eastAsia" w:ascii="仿宋_GB2312" w:hAnsi="仿宋" w:eastAsia="仿宋_GB2312" w:cs="方正小标宋简体"/>
                <w:sz w:val="24"/>
              </w:rPr>
              <w:t>其他需要说明问题</w:t>
            </w:r>
          </w:p>
        </w:tc>
        <w:tc>
          <w:tcPr>
            <w:tcW w:w="6120" w:type="dxa"/>
            <w:tcBorders>
              <w:bottom w:val="single" w:color="auto" w:sz="12" w:space="0"/>
            </w:tcBorders>
            <w:vAlign w:val="center"/>
          </w:tcPr>
          <w:p w14:paraId="65D9FC13">
            <w:pPr>
              <w:spacing w:line="360" w:lineRule="auto"/>
              <w:jc w:val="center"/>
              <w:rPr>
                <w:rFonts w:ascii="仿宋_GB2312" w:hAnsi="仿宋" w:eastAsia="仿宋_GB2312" w:cs="方正小标宋简体"/>
                <w:sz w:val="24"/>
              </w:rPr>
            </w:pPr>
            <w:r>
              <w:rPr>
                <w:rFonts w:hint="eastAsia" w:ascii="仿宋_GB2312" w:hAnsi="仿宋" w:eastAsia="仿宋_GB2312" w:cs="方正小标宋简体"/>
                <w:sz w:val="24"/>
              </w:rPr>
              <w:t>无</w:t>
            </w:r>
          </w:p>
        </w:tc>
      </w:tr>
    </w:tbl>
    <w:p w14:paraId="774E97E4">
      <w:pPr>
        <w:spacing w:line="360" w:lineRule="auto"/>
        <w:rPr>
          <w:rFonts w:ascii="仿宋_GB2312" w:hAnsi="仿宋" w:eastAsia="仿宋_GB2312" w:cs="方正小标宋简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0000000000000000000"/>
    <w:charset w:val="86"/>
    <w:family w:val="script"/>
    <w:pitch w:val="default"/>
    <w:sig w:usb0="00000000" w:usb1="00000000" w:usb2="00000000" w:usb3="00000000" w:csb0="00040000" w:csb1="00000000"/>
  </w:font>
  <w:font w:name="方正舒体">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docVars>
    <w:docVar w:name="commondata" w:val="eyJoZGlkIjoiMjhmZjY2ZmM1MmY2YTAyYTcwOTFlYzBhMzJkNWZhYjkifQ=="/>
  </w:docVars>
  <w:rsids>
    <w:rsidRoot w:val="00AE59DC"/>
    <w:rsid w:val="00010D17"/>
    <w:rsid w:val="000533C0"/>
    <w:rsid w:val="000B1EF2"/>
    <w:rsid w:val="000C0153"/>
    <w:rsid w:val="000D7F34"/>
    <w:rsid w:val="00103BEA"/>
    <w:rsid w:val="0012347E"/>
    <w:rsid w:val="00157796"/>
    <w:rsid w:val="001B6834"/>
    <w:rsid w:val="001D36C4"/>
    <w:rsid w:val="00225343"/>
    <w:rsid w:val="002274ED"/>
    <w:rsid w:val="00236436"/>
    <w:rsid w:val="00257AC2"/>
    <w:rsid w:val="002775C5"/>
    <w:rsid w:val="00294572"/>
    <w:rsid w:val="002C22E2"/>
    <w:rsid w:val="002E08D4"/>
    <w:rsid w:val="0031165E"/>
    <w:rsid w:val="003319DE"/>
    <w:rsid w:val="003653B7"/>
    <w:rsid w:val="003B03B4"/>
    <w:rsid w:val="003E08C2"/>
    <w:rsid w:val="003F2E97"/>
    <w:rsid w:val="004076B8"/>
    <w:rsid w:val="00417DA3"/>
    <w:rsid w:val="00433519"/>
    <w:rsid w:val="00443F70"/>
    <w:rsid w:val="00446125"/>
    <w:rsid w:val="00450F0C"/>
    <w:rsid w:val="00457565"/>
    <w:rsid w:val="004673BF"/>
    <w:rsid w:val="004805FC"/>
    <w:rsid w:val="00486CF1"/>
    <w:rsid w:val="004A3990"/>
    <w:rsid w:val="004C1AD0"/>
    <w:rsid w:val="004C46BC"/>
    <w:rsid w:val="00504CC0"/>
    <w:rsid w:val="00522237"/>
    <w:rsid w:val="005612C3"/>
    <w:rsid w:val="00591551"/>
    <w:rsid w:val="005B5EA9"/>
    <w:rsid w:val="005E41C1"/>
    <w:rsid w:val="006011F3"/>
    <w:rsid w:val="006A72DD"/>
    <w:rsid w:val="006B66D8"/>
    <w:rsid w:val="006B7232"/>
    <w:rsid w:val="00711059"/>
    <w:rsid w:val="00764593"/>
    <w:rsid w:val="00785298"/>
    <w:rsid w:val="007946D9"/>
    <w:rsid w:val="007B4870"/>
    <w:rsid w:val="0083666A"/>
    <w:rsid w:val="00853D13"/>
    <w:rsid w:val="00891045"/>
    <w:rsid w:val="008B1B7D"/>
    <w:rsid w:val="008C115D"/>
    <w:rsid w:val="008C315B"/>
    <w:rsid w:val="008C5961"/>
    <w:rsid w:val="008D411E"/>
    <w:rsid w:val="008F50FF"/>
    <w:rsid w:val="00905C09"/>
    <w:rsid w:val="00962D86"/>
    <w:rsid w:val="009651A8"/>
    <w:rsid w:val="0096682C"/>
    <w:rsid w:val="009961B6"/>
    <w:rsid w:val="009A3B54"/>
    <w:rsid w:val="009E2D16"/>
    <w:rsid w:val="00A22550"/>
    <w:rsid w:val="00A47537"/>
    <w:rsid w:val="00A87580"/>
    <w:rsid w:val="00AB70B7"/>
    <w:rsid w:val="00AE59DC"/>
    <w:rsid w:val="00B01FFE"/>
    <w:rsid w:val="00B23DB8"/>
    <w:rsid w:val="00B27961"/>
    <w:rsid w:val="00B64A26"/>
    <w:rsid w:val="00B8629C"/>
    <w:rsid w:val="00C33766"/>
    <w:rsid w:val="00C34464"/>
    <w:rsid w:val="00C37CF3"/>
    <w:rsid w:val="00C70067"/>
    <w:rsid w:val="00CB5868"/>
    <w:rsid w:val="00CF3C95"/>
    <w:rsid w:val="00D03D51"/>
    <w:rsid w:val="00D0598A"/>
    <w:rsid w:val="00D1598E"/>
    <w:rsid w:val="00D37F88"/>
    <w:rsid w:val="00D8687F"/>
    <w:rsid w:val="00D94862"/>
    <w:rsid w:val="00DB4289"/>
    <w:rsid w:val="00DD5F2F"/>
    <w:rsid w:val="00DE1E8F"/>
    <w:rsid w:val="00DE5725"/>
    <w:rsid w:val="00EB3003"/>
    <w:rsid w:val="00ED6C3A"/>
    <w:rsid w:val="00EE4F0D"/>
    <w:rsid w:val="00F16C58"/>
    <w:rsid w:val="00F54914"/>
    <w:rsid w:val="00F66026"/>
    <w:rsid w:val="00F90320"/>
    <w:rsid w:val="00F914E2"/>
    <w:rsid w:val="00FD2265"/>
    <w:rsid w:val="03854524"/>
    <w:rsid w:val="09960D97"/>
    <w:rsid w:val="0EA632AF"/>
    <w:rsid w:val="15334271"/>
    <w:rsid w:val="35573D74"/>
    <w:rsid w:val="3CCD3B14"/>
    <w:rsid w:val="3F1952CB"/>
    <w:rsid w:val="48876065"/>
    <w:rsid w:val="7E156974"/>
    <w:rsid w:val="7E92446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0"/>
    <w:semiHidden/>
    <w:qFormat/>
    <w:uiPriority w:val="99"/>
    <w:pPr>
      <w:tabs>
        <w:tab w:val="center" w:pos="4153"/>
        <w:tab w:val="right" w:pos="8306"/>
      </w:tabs>
      <w:snapToGrid w:val="0"/>
      <w:jc w:val="left"/>
    </w:pPr>
    <w:rPr>
      <w:sz w:val="18"/>
      <w:szCs w:val="18"/>
    </w:rPr>
  </w:style>
  <w:style w:type="paragraph" w:styleId="3">
    <w:name w:val="header"/>
    <w:basedOn w:val="1"/>
    <w:link w:val="9"/>
    <w:semiHidden/>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spacing w:beforeAutospacing="1" w:afterAutospacing="1"/>
      <w:jc w:val="left"/>
    </w:pPr>
    <w:rPr>
      <w:kern w:val="0"/>
      <w:sz w:val="24"/>
    </w:rPr>
  </w:style>
  <w:style w:type="paragraph" w:customStyle="1" w:styleId="7">
    <w:name w:val="样式1"/>
    <w:basedOn w:val="8"/>
    <w:link w:val="13"/>
    <w:autoRedefine/>
    <w:qFormat/>
    <w:uiPriority w:val="0"/>
    <w:pPr>
      <w:ind w:firstLine="562" w:firstLineChars="200"/>
    </w:pPr>
    <w:rPr>
      <w:rFonts w:ascii="仿宋_GB2312" w:hAnsi="仿宋" w:eastAsia="仿宋_GB2312"/>
      <w:color w:val="000000"/>
      <w:kern w:val="0"/>
      <w:sz w:val="28"/>
      <w:szCs w:val="28"/>
    </w:rPr>
  </w:style>
  <w:style w:type="paragraph" w:styleId="8">
    <w:name w:val="No Spacing"/>
    <w:qFormat/>
    <w:uiPriority w:val="99"/>
    <w:pPr>
      <w:widowControl w:val="0"/>
      <w:jc w:val="both"/>
    </w:pPr>
    <w:rPr>
      <w:rFonts w:ascii="Calibri" w:hAnsi="Calibri" w:eastAsia="宋体" w:cs="Times New Roman"/>
      <w:kern w:val="2"/>
      <w:sz w:val="21"/>
      <w:szCs w:val="22"/>
      <w:lang w:val="en-US" w:eastAsia="zh-CN" w:bidi="ar-SA"/>
    </w:rPr>
  </w:style>
  <w:style w:type="character" w:customStyle="1" w:styleId="9">
    <w:name w:val="页眉 字符"/>
    <w:basedOn w:val="6"/>
    <w:link w:val="3"/>
    <w:autoRedefine/>
    <w:semiHidden/>
    <w:qFormat/>
    <w:locked/>
    <w:uiPriority w:val="99"/>
    <w:rPr>
      <w:rFonts w:cs="Times New Roman"/>
      <w:sz w:val="18"/>
      <w:szCs w:val="18"/>
    </w:rPr>
  </w:style>
  <w:style w:type="character" w:customStyle="1" w:styleId="10">
    <w:name w:val="页脚 字符"/>
    <w:basedOn w:val="6"/>
    <w:link w:val="2"/>
    <w:autoRedefine/>
    <w:semiHidden/>
    <w:qFormat/>
    <w:locked/>
    <w:uiPriority w:val="99"/>
    <w:rPr>
      <w:rFonts w:cs="Times New Roman"/>
      <w:sz w:val="18"/>
      <w:szCs w:val="18"/>
    </w:rPr>
  </w:style>
  <w:style w:type="paragraph" w:customStyle="1" w:styleId="11">
    <w:name w:val="无间隔1"/>
    <w:qFormat/>
    <w:uiPriority w:val="99"/>
    <w:pPr>
      <w:widowControl w:val="0"/>
      <w:jc w:val="both"/>
    </w:pPr>
    <w:rPr>
      <w:rFonts w:ascii="Calibri" w:hAnsi="Calibri" w:eastAsia="宋体" w:cs="Times New Roman"/>
      <w:kern w:val="2"/>
      <w:sz w:val="21"/>
      <w:szCs w:val="22"/>
      <w:lang w:val="en-US" w:eastAsia="zh-CN" w:bidi="ar-SA"/>
    </w:rPr>
  </w:style>
  <w:style w:type="paragraph" w:customStyle="1" w:styleId="12">
    <w:name w:val="无间隔2"/>
    <w:autoRedefine/>
    <w:qFormat/>
    <w:uiPriority w:val="99"/>
    <w:pPr>
      <w:widowControl w:val="0"/>
      <w:jc w:val="both"/>
    </w:pPr>
    <w:rPr>
      <w:rFonts w:ascii="Calibri" w:hAnsi="Calibri" w:eastAsia="宋体" w:cs="Times New Roman"/>
      <w:kern w:val="2"/>
      <w:sz w:val="21"/>
      <w:szCs w:val="22"/>
      <w:lang w:val="en-US" w:eastAsia="zh-CN" w:bidi="ar-SA"/>
    </w:rPr>
  </w:style>
  <w:style w:type="character" w:customStyle="1" w:styleId="13">
    <w:name w:val="样式1 Char"/>
    <w:link w:val="7"/>
    <w:autoRedefine/>
    <w:qFormat/>
    <w:uiPriority w:val="0"/>
    <w:rPr>
      <w:rFonts w:ascii="仿宋_GB2312" w:hAnsi="仿宋" w:eastAsia="仿宋_GB2312"/>
      <w:color w:val="00000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D1FF69-D140-4CE3-84A4-1147D63B2225}">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Pages>
  <Words>1659</Words>
  <Characters>1783</Characters>
  <Lines>1</Lines>
  <Paragraphs>3</Paragraphs>
  <TotalTime>490</TotalTime>
  <ScaleCrop>false</ScaleCrop>
  <LinksUpToDate>false</LinksUpToDate>
  <CharactersWithSpaces>1786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2019-09-04T08:52:00Z</dcterms:created>
  <dc:creator>微软中国</dc:creator>
  <cp:lastModifiedBy>lenovo</cp:lastModifiedBy>
  <dcterms:modified xsi:type="dcterms:W3CDTF">2025-06-30T03:55:32Z</dcterms:modified>
  <dc:title>附件5</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39227B796D2B43B8A7FC8ADF1A74690E</vt:lpwstr>
  </property>
  <property fmtid="{D5CDD505-2E9C-101B-9397-08002B2CF9AE}" pid="4" name="KSOTemplateDocerSaveRecord">
    <vt:lpwstr>eyJoZGlkIjoiM2UxYTVjYjg0YjNiZWEwY2MwY2E3YTQ5ZjgwNzc4M2IifQ==</vt:lpwstr>
  </property>
</Properties>
</file>