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58044D">
      <w:pPr>
        <w:spacing w:line="560" w:lineRule="exact"/>
        <w:ind w:right="0" w:firstLine="0" w:firstLineChars="0"/>
        <w:jc w:val="center"/>
        <w:rPr>
          <w:rFonts w:hint="eastAsia" w:ascii="仿宋" w:hAnsi="仿宋" w:eastAsia="仿宋" w:cs="华文仿宋"/>
          <w:b w:val="0"/>
          <w:bCs w:val="0"/>
          <w:sz w:val="30"/>
          <w:szCs w:val="30"/>
        </w:rPr>
      </w:pPr>
      <w:r>
        <w:rPr>
          <w:rFonts w:hint="eastAsia" w:ascii="方正小标宋_GBK" w:hAnsi="方正小标宋_GBK" w:eastAsia="方正小标宋_GBK" w:cs="方正小标宋_GBK"/>
          <w:b/>
          <w:bCs/>
          <w:sz w:val="36"/>
          <w:szCs w:val="36"/>
        </w:rPr>
        <w:t>湘潭县人民政府行政复议决定书</w:t>
      </w:r>
    </w:p>
    <w:p w14:paraId="2794C0C2">
      <w:pPr>
        <w:spacing w:line="560" w:lineRule="exact"/>
        <w:ind w:firstLine="600" w:firstLineChars="200"/>
        <w:jc w:val="right"/>
        <w:rPr>
          <w:rFonts w:hint="eastAsia" w:ascii="仿宋" w:hAnsi="仿宋" w:eastAsia="仿宋" w:cs="华文仿宋"/>
          <w:sz w:val="30"/>
          <w:szCs w:val="30"/>
          <w:lang w:eastAsia="zh-CN"/>
        </w:rPr>
      </w:pPr>
      <w:r>
        <w:rPr>
          <w:rFonts w:hint="eastAsia" w:ascii="仿宋" w:hAnsi="仿宋" w:eastAsia="仿宋" w:cs="华文仿宋"/>
          <w:sz w:val="30"/>
          <w:szCs w:val="30"/>
        </w:rPr>
        <w:t>潭县复决〔202</w:t>
      </w:r>
      <w:r>
        <w:rPr>
          <w:rFonts w:hint="eastAsia" w:ascii="仿宋" w:hAnsi="仿宋" w:eastAsia="仿宋" w:cs="华文仿宋"/>
          <w:sz w:val="30"/>
          <w:szCs w:val="30"/>
          <w:lang w:val="en-US" w:eastAsia="zh-CN"/>
        </w:rPr>
        <w:t>4</w:t>
      </w:r>
      <w:r>
        <w:rPr>
          <w:rFonts w:hint="eastAsia" w:ascii="仿宋" w:hAnsi="仿宋" w:eastAsia="仿宋" w:cs="华文仿宋"/>
          <w:sz w:val="30"/>
          <w:szCs w:val="30"/>
        </w:rPr>
        <w:t>〕</w:t>
      </w:r>
      <w:r>
        <w:rPr>
          <w:rFonts w:hint="eastAsia" w:ascii="仿宋" w:hAnsi="仿宋" w:eastAsia="仿宋" w:cs="华文仿宋"/>
          <w:sz w:val="30"/>
          <w:szCs w:val="30"/>
          <w:lang w:val="en-US" w:eastAsia="zh-CN"/>
        </w:rPr>
        <w:t>422</w:t>
      </w:r>
      <w:r>
        <w:rPr>
          <w:rFonts w:hint="eastAsia" w:ascii="仿宋" w:hAnsi="仿宋" w:eastAsia="仿宋" w:cs="华文仿宋"/>
          <w:sz w:val="30"/>
          <w:szCs w:val="30"/>
        </w:rPr>
        <w:t>号</w:t>
      </w:r>
    </w:p>
    <w:p w14:paraId="7BF8B0E7">
      <w:p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吴**</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男，</w:t>
      </w:r>
      <w:r>
        <w:rPr>
          <w:rFonts w:hint="eastAsia" w:ascii="仿宋_GB2312" w:hAnsi="仿宋_GB2312" w:eastAsia="仿宋_GB2312" w:cs="仿宋_GB2312"/>
          <w:sz w:val="30"/>
          <w:szCs w:val="30"/>
          <w:lang w:val="en-US" w:eastAsia="zh-CN"/>
        </w:rPr>
        <w:t>19**年*月*日出生，居民身份证住址江西省……，通讯住址湖南省……</w:t>
      </w:r>
      <w:r>
        <w:rPr>
          <w:rFonts w:hint="eastAsia" w:ascii="仿宋_GB2312" w:hAnsi="仿宋_GB2312" w:eastAsia="仿宋_GB2312" w:cs="仿宋_GB2312"/>
          <w:sz w:val="30"/>
          <w:szCs w:val="30"/>
          <w:lang w:eastAsia="zh-CN"/>
        </w:rPr>
        <w:t>。</w:t>
      </w:r>
    </w:p>
    <w:p w14:paraId="0BB19FE9">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被申请人湘潭县市场监督管理局，住所地易俗河镇金雀西路；</w:t>
      </w:r>
    </w:p>
    <w:p w14:paraId="7FD40465">
      <w:pPr>
        <w:spacing w:line="560" w:lineRule="exact"/>
        <w:ind w:firstLine="600" w:firstLineChars="200"/>
        <w:rPr>
          <w:rFonts w:hint="eastAsia" w:ascii="仿宋_GB2312" w:hAnsi="仿宋_GB2312" w:eastAsia="仿宋_GB2312" w:cs="仿宋_GB2312"/>
          <w:sz w:val="30"/>
          <w:szCs w:val="30"/>
          <w:lang w:eastAsia="zh-CN"/>
        </w:rPr>
      </w:pPr>
      <w:r>
        <w:rPr>
          <w:rFonts w:hint="eastAsia" w:ascii="仿宋" w:hAnsi="仿宋" w:eastAsia="仿宋" w:cs="仿宋"/>
          <w:sz w:val="30"/>
          <w:szCs w:val="30"/>
          <w:lang w:eastAsia="zh-CN"/>
        </w:rPr>
        <w:t>主要负责人曹立明（副局长）。</w:t>
      </w:r>
    </w:p>
    <w:p w14:paraId="32156BCF">
      <w:p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吴**</w:t>
      </w:r>
      <w:r>
        <w:rPr>
          <w:rFonts w:hint="eastAsia" w:ascii="仿宋_GB2312" w:hAnsi="仿宋_GB2312" w:eastAsia="仿宋_GB2312" w:cs="仿宋_GB2312"/>
          <w:sz w:val="30"/>
          <w:szCs w:val="30"/>
        </w:rPr>
        <w:t>不服被申请人湘潭县</w:t>
      </w:r>
      <w:r>
        <w:rPr>
          <w:rFonts w:hint="eastAsia" w:ascii="仿宋_GB2312" w:hAnsi="仿宋_GB2312" w:eastAsia="仿宋_GB2312" w:cs="仿宋_GB2312"/>
          <w:sz w:val="30"/>
          <w:szCs w:val="30"/>
          <w:lang w:eastAsia="zh-CN"/>
        </w:rPr>
        <w:t>市场监督管理局对其举报事项不予立案</w:t>
      </w:r>
      <w:r>
        <w:rPr>
          <w:rFonts w:hint="eastAsia" w:ascii="仿宋_GB2312" w:hAnsi="仿宋_GB2312" w:eastAsia="仿宋_GB2312" w:cs="仿宋_GB2312"/>
          <w:sz w:val="30"/>
          <w:szCs w:val="30"/>
        </w:rPr>
        <w:t>而申请行政复议，本机关依法受理。现复议审理终结。</w:t>
      </w:r>
    </w:p>
    <w:p w14:paraId="1D1C3B4E">
      <w:pPr>
        <w:spacing w:line="560" w:lineRule="exact"/>
        <w:ind w:firstLine="602" w:firstLineChars="200"/>
        <w:rPr>
          <w:rFonts w:hint="eastAsia" w:ascii="黑体" w:hAnsi="黑体" w:eastAsia="黑体" w:cs="黑体"/>
          <w:sz w:val="30"/>
          <w:szCs w:val="30"/>
        </w:rPr>
      </w:pPr>
      <w:r>
        <w:rPr>
          <w:rFonts w:hint="eastAsia" w:ascii="黑体" w:hAnsi="黑体" w:eastAsia="黑体" w:cs="黑体"/>
          <w:b/>
          <w:bCs/>
          <w:sz w:val="30"/>
          <w:szCs w:val="30"/>
        </w:rPr>
        <w:t>申请人复议请求：</w:t>
      </w:r>
    </w:p>
    <w:p w14:paraId="1F4E8B6A">
      <w:pPr>
        <w:spacing w:line="560" w:lineRule="exact"/>
        <w:ind w:firstLine="600" w:firstLineChars="200"/>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请求撤销被申请人2024年12月</w:t>
      </w:r>
      <w:r>
        <w:rPr>
          <w:rFonts w:hint="eastAsia" w:ascii="仿宋_GB2312" w:hAnsi="仿宋_GB2312" w:eastAsia="仿宋_GB2312" w:cs="仿宋_GB2312"/>
          <w:b w:val="0"/>
          <w:bCs w:val="0"/>
          <w:sz w:val="30"/>
          <w:szCs w:val="30"/>
          <w:lang w:val="en-US" w:eastAsia="zh-CN"/>
        </w:rPr>
        <w:t>23</w:t>
      </w:r>
      <w:r>
        <w:rPr>
          <w:rFonts w:hint="eastAsia" w:ascii="仿宋_GB2312" w:hAnsi="仿宋_GB2312" w:eastAsia="仿宋_GB2312" w:cs="仿宋_GB2312"/>
          <w:b w:val="0"/>
          <w:bCs w:val="0"/>
          <w:sz w:val="30"/>
          <w:szCs w:val="30"/>
        </w:rPr>
        <w:t>日就本人举报作出的不予立案决定并责令限期重作。</w:t>
      </w:r>
    </w:p>
    <w:p w14:paraId="5F2E4071">
      <w:p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申请人称：</w:t>
      </w:r>
    </w:p>
    <w:p w14:paraId="7FDD0DE9">
      <w:pPr>
        <w:spacing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申请人于2024年12月25日得知举报不予立案决定的行政行为，特申请行政复议，主要事实和理由如下：</w:t>
      </w:r>
    </w:p>
    <w:p w14:paraId="2D81BCFA">
      <w:pPr>
        <w:spacing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申请人于2024年12月7日在12315平台向被申请人举报：湖南某食品股份有限公司生产销售违反《中华人民共和国食品安全法》超生产许可范围生产食品，被申请人2024年12月23日作出不予立案决定，本人对此决定不服。</w:t>
      </w:r>
    </w:p>
    <w:p w14:paraId="1244933B">
      <w:pPr>
        <w:spacing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被申请人在不予立案原因中表明：经查，涉案产品加工方式为冷加工，属于食品类别糕点中的冷加工糕点，与《食品生产许可证》其许可品种明细“食品类别”：糕点、类别编号2401、类别名称：热加工糕点不符，违反了《食品生产许可办法》第三十二条第一款的规定。至核查日，被举报人已经改正该违法行为。鉴于该违法行为不符合《市场监督管理行政处罚程序规定》第十九条第一款第（二）项规定的立案条件，就你举报事项不予立案。该回复中，被申请人承认湖南某食品股份有限公司违法行为，但认为违法行为不符合《市场监督管理行政处罚程序规定》第十九条第一款第（二）项规定的立案条件，不予立案。申请人认为该适用依据错误，就轻微认定没有法律依据，轻微的认定是不影响食品安全，该公司超生产许可范围生产食品，生产的食品肯定不安全。根据《食品生产许可管理办法》第四十九条，食品生产者生产的食品不属于食品生产许可证上载明的食品类别的，视为未取得食品生产许可从事食品生产活动，应依照《中华人民共和国食品安全法》第一百二十二条的规定给予处罚。</w:t>
      </w:r>
    </w:p>
    <w:p w14:paraId="2D545854">
      <w:pPr>
        <w:spacing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在本次举报中，被申请人未能准确判断举报事项的性质及相关事实，错误做出不予立案的决定，严重损害了申请人的合法权益，也未能有效履行市场监督管理的职责。</w:t>
      </w:r>
    </w:p>
    <w:p w14:paraId="06E1661A">
      <w:pPr>
        <w:spacing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综上所述，恳请复议机关依法审查并支持申请人的复议请求，以维护市场的正常秩序和申请人的合法权益。</w:t>
      </w:r>
    </w:p>
    <w:p w14:paraId="60E48BD5">
      <w:p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被申请人</w:t>
      </w:r>
      <w:r>
        <w:rPr>
          <w:rFonts w:hint="eastAsia" w:ascii="黑体" w:hAnsi="黑体" w:eastAsia="黑体" w:cs="黑体"/>
          <w:b/>
          <w:bCs/>
          <w:sz w:val="30"/>
          <w:szCs w:val="30"/>
          <w:lang w:eastAsia="zh-CN"/>
        </w:rPr>
        <w:t>未答辩举证。</w:t>
      </w:r>
    </w:p>
    <w:p w14:paraId="74EC72BE">
      <w:p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复议查明：</w:t>
      </w:r>
    </w:p>
    <w:p w14:paraId="0C9C4E7D">
      <w:pPr>
        <w:spacing w:line="54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2024年11月22日，</w:t>
      </w:r>
      <w:r>
        <w:rPr>
          <w:rFonts w:hint="eastAsia" w:ascii="仿宋_GB2312" w:hAnsi="仿宋_GB2312" w:eastAsia="仿宋_GB2312" w:cs="仿宋_GB2312"/>
          <w:sz w:val="30"/>
          <w:szCs w:val="30"/>
          <w:lang w:eastAsia="zh-CN"/>
        </w:rPr>
        <w:t>申请人吴**</w:t>
      </w:r>
      <w:r>
        <w:rPr>
          <w:rFonts w:hint="eastAsia" w:ascii="仿宋_GB2312" w:hAnsi="仿宋_GB2312" w:eastAsia="仿宋_GB2312" w:cs="仿宋_GB2312"/>
          <w:sz w:val="30"/>
          <w:szCs w:val="30"/>
          <w:lang w:val="en-US" w:eastAsia="zh-CN"/>
        </w:rPr>
        <w:t>在拼多多“某食品官方旗舰店”支付9.49元购买了手工桔红糕一盒，2024年12月7日向全国12315平台提交举报，举报内容为：我在拼多多店铺《某食品官方旗舰店》买了桔红糕250g，该产品标签上显示加工方式：冷加工。经食品生产许可获证企业信息查询平台查询，该糕点公司生产范围仅有热加工糕点，而该产品为冷加工糕点。该公司该产品超出许可范围生产食品属于未经许可从事食品生产经营活动。诉求奖励，赔偿，处罚。</w:t>
      </w:r>
    </w:p>
    <w:p w14:paraId="6B90EE81">
      <w:pPr>
        <w:spacing w:line="540" w:lineRule="exact"/>
        <w:ind w:firstLine="600" w:firstLineChars="200"/>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2024年12月24日，湘潭县市场监督管理局在全国12315平台对申请人进行回复，回复内容：该举报事项不予立案。</w:t>
      </w:r>
    </w:p>
    <w:p w14:paraId="1CD1E05A">
      <w:pPr>
        <w:spacing w:line="54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申请人吴**</w:t>
      </w:r>
      <w:r>
        <w:rPr>
          <w:rFonts w:hint="eastAsia" w:ascii="仿宋_GB2312" w:hAnsi="仿宋_GB2312" w:eastAsia="仿宋_GB2312" w:cs="仿宋_GB2312"/>
          <w:sz w:val="30"/>
          <w:szCs w:val="30"/>
        </w:rPr>
        <w:t>不服</w:t>
      </w:r>
      <w:r>
        <w:rPr>
          <w:rFonts w:hint="eastAsia" w:ascii="仿宋_GB2312" w:hAnsi="仿宋_GB2312" w:eastAsia="仿宋_GB2312" w:cs="仿宋_GB2312"/>
          <w:sz w:val="30"/>
          <w:szCs w:val="30"/>
          <w:lang w:eastAsia="zh-CN"/>
        </w:rPr>
        <w:t>被申请人对其举报不予立案</w:t>
      </w:r>
      <w:r>
        <w:rPr>
          <w:rFonts w:hint="eastAsia" w:ascii="仿宋_GB2312" w:hAnsi="仿宋_GB2312" w:eastAsia="仿宋_GB2312" w:cs="仿宋_GB2312"/>
          <w:sz w:val="30"/>
          <w:szCs w:val="30"/>
        </w:rPr>
        <w:t>，202</w:t>
      </w: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12</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26</w:t>
      </w:r>
      <w:r>
        <w:rPr>
          <w:rFonts w:hint="eastAsia" w:ascii="仿宋_GB2312" w:hAnsi="仿宋_GB2312" w:eastAsia="仿宋_GB2312" w:cs="仿宋_GB2312"/>
          <w:sz w:val="30"/>
          <w:szCs w:val="30"/>
        </w:rPr>
        <w:t>日向本</w:t>
      </w:r>
      <w:r>
        <w:rPr>
          <w:rFonts w:hint="eastAsia" w:ascii="仿宋_GB2312" w:hAnsi="仿宋_GB2312" w:eastAsia="仿宋_GB2312" w:cs="仿宋_GB2312"/>
          <w:sz w:val="30"/>
          <w:szCs w:val="30"/>
          <w:lang w:eastAsia="zh-CN"/>
        </w:rPr>
        <w:t>复议</w:t>
      </w:r>
      <w:r>
        <w:rPr>
          <w:rFonts w:hint="eastAsia" w:ascii="仿宋_GB2312" w:hAnsi="仿宋_GB2312" w:eastAsia="仿宋_GB2312" w:cs="仿宋_GB2312"/>
          <w:sz w:val="30"/>
          <w:szCs w:val="30"/>
        </w:rPr>
        <w:t>机关申请行政复议。</w:t>
      </w:r>
    </w:p>
    <w:p w14:paraId="0922E724">
      <w:pPr>
        <w:spacing w:line="54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以上事实有</w:t>
      </w:r>
      <w:r>
        <w:rPr>
          <w:rFonts w:hint="eastAsia" w:ascii="仿宋_GB2312" w:hAnsi="仿宋_GB2312" w:eastAsia="仿宋_GB2312" w:cs="仿宋_GB2312"/>
          <w:sz w:val="30"/>
          <w:szCs w:val="30"/>
          <w:lang w:eastAsia="zh-CN"/>
        </w:rPr>
        <w:t>申请人提供全国</w:t>
      </w:r>
      <w:r>
        <w:rPr>
          <w:rFonts w:hint="eastAsia" w:ascii="仿宋_GB2312" w:hAnsi="仿宋_GB2312" w:eastAsia="仿宋_GB2312" w:cs="仿宋_GB2312"/>
          <w:sz w:val="30"/>
          <w:szCs w:val="30"/>
          <w:lang w:val="en-US" w:eastAsia="zh-CN"/>
        </w:rPr>
        <w:t>12315平台举报页面截图、拼多多平台涉案商品购买记录、产品外包装图片、个人银行交易明细证明、举报不予立案告知书</w:t>
      </w:r>
      <w:r>
        <w:rPr>
          <w:rFonts w:hint="eastAsia" w:ascii="仿宋_GB2312" w:hAnsi="仿宋_GB2312" w:eastAsia="仿宋_GB2312" w:cs="仿宋_GB2312"/>
          <w:sz w:val="30"/>
          <w:szCs w:val="30"/>
        </w:rPr>
        <w:t>等证据材料附卷证实。</w:t>
      </w:r>
    </w:p>
    <w:p w14:paraId="6F97C4E0">
      <w:p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复议认为：</w:t>
      </w:r>
    </w:p>
    <w:p w14:paraId="7F223DFE">
      <w:p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市场监督管理投诉举报处理暂行办法》第四条规定，县级以上地方市场监督管理部门负责本行政区域内的投诉举报处理工作。第二十五条规定，举报由被举报行为发生地的县级以上市场监督管理部门处理。被举报人经营场所</w:t>
      </w:r>
      <w:r>
        <w:rPr>
          <w:rFonts w:hint="eastAsia" w:ascii="仿宋_GB2312" w:hAnsi="仿宋_GB2312" w:eastAsia="仿宋_GB2312" w:cs="仿宋_GB2312"/>
          <w:color w:val="auto"/>
          <w:sz w:val="30"/>
          <w:szCs w:val="30"/>
          <w:lang w:eastAsia="zh-CN"/>
        </w:rPr>
        <w:t>在湘潭县石鼓镇，而</w:t>
      </w:r>
      <w:r>
        <w:rPr>
          <w:rFonts w:hint="eastAsia" w:ascii="仿宋_GB2312" w:hAnsi="仿宋_GB2312" w:eastAsia="仿宋_GB2312" w:cs="仿宋_GB2312"/>
          <w:sz w:val="30"/>
          <w:szCs w:val="30"/>
          <w:lang w:eastAsia="zh-CN"/>
        </w:rPr>
        <w:t>被申请人作为湘潭县市场监管部门对所辖区域内市场主体的举报应当依法作出相应处理，履行法定职责，故本案被申请人主体适格。</w:t>
      </w:r>
    </w:p>
    <w:p w14:paraId="14076BA4">
      <w:p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中华人民共和国行政复议法》第四十四条规定，被申请人对其作出的行政行为的合法性、适当性负有举证责任。第四十八条规定，被申请人应当自收到行政复议申请书副本或者行政复议申请笔录复印件之日起十日内，提出书面答复，并提交作出行政行为的证据、依据和其他有关材料。第七十条规定，被申请人不按照本法第四十八条、第五十四条的规定提出书面答复、提交作出行政行为的证据、依据和其他有关材料的，视为该行政行为没有证据、依据，行政复议机关决定撤销、部分撤销该行政行为，确认该行政行为违法、无效或者决定被申请人在一定期限内履行</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在本案复议审理期间，被申请人未向本机关提交作出行政行为的证据、依据和其他有关材料</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视为该行政行为没有证据、依据。</w:t>
      </w:r>
      <w:bookmarkStart w:id="1" w:name="_GoBack"/>
      <w:bookmarkEnd w:id="1"/>
    </w:p>
    <w:p w14:paraId="345A530E">
      <w:pPr>
        <w:widowControl/>
        <w:numPr>
          <w:ilvl w:val="0"/>
          <w:numId w:val="0"/>
        </w:numPr>
        <w:spacing w:line="560" w:lineRule="exact"/>
        <w:ind w:firstLine="600" w:firstLineChars="200"/>
        <w:jc w:val="left"/>
        <w:rPr>
          <w:rFonts w:ascii="仿宋_GB2312" w:hAnsi="仿宋_GB2312" w:eastAsia="仿宋_GB2312" w:cs="仿宋_GB2312"/>
          <w:color w:val="auto"/>
          <w:sz w:val="30"/>
          <w:szCs w:val="30"/>
          <w:lang w:bidi="ar"/>
        </w:rPr>
      </w:pPr>
      <w:r>
        <w:rPr>
          <w:rFonts w:hint="eastAsia" w:ascii="仿宋_GB2312" w:hAnsi="仿宋_GB2312" w:eastAsia="仿宋_GB2312" w:cs="仿宋_GB2312"/>
          <w:sz w:val="30"/>
          <w:szCs w:val="30"/>
        </w:rPr>
        <w:t>综上，被申请人</w:t>
      </w:r>
      <w:r>
        <w:rPr>
          <w:rFonts w:hint="eastAsia" w:ascii="仿宋_GB2312" w:hAnsi="仿宋_GB2312" w:eastAsia="仿宋_GB2312" w:cs="仿宋_GB2312"/>
          <w:sz w:val="30"/>
          <w:szCs w:val="30"/>
          <w:lang w:val="en-US" w:eastAsia="zh-CN"/>
        </w:rPr>
        <w:t>2024年12月23日</w:t>
      </w:r>
      <w:r>
        <w:rPr>
          <w:rFonts w:hint="eastAsia" w:ascii="仿宋_GB2312" w:hAnsi="仿宋_GB2312" w:eastAsia="仿宋_GB2312" w:cs="仿宋_GB2312"/>
          <w:sz w:val="30"/>
          <w:szCs w:val="30"/>
          <w:lang w:eastAsia="zh-CN"/>
        </w:rPr>
        <w:t>对吴**举报事项作出的举报不予立案决定没有证据、依据，</w:t>
      </w:r>
      <w:r>
        <w:rPr>
          <w:rFonts w:hint="eastAsia" w:ascii="仿宋_GB2312" w:hAnsi="仿宋_GB2312" w:eastAsia="仿宋_GB2312" w:cs="仿宋_GB2312"/>
          <w:sz w:val="30"/>
          <w:szCs w:val="30"/>
          <w:lang w:bidi="ar"/>
        </w:rPr>
        <w:t>根据《中华人民共和国行政复议法》第</w:t>
      </w:r>
      <w:r>
        <w:rPr>
          <w:rFonts w:hint="eastAsia" w:ascii="仿宋_GB2312" w:hAnsi="仿宋_GB2312" w:eastAsia="仿宋_GB2312" w:cs="仿宋_GB2312"/>
          <w:sz w:val="30"/>
          <w:szCs w:val="30"/>
          <w:lang w:eastAsia="zh-CN" w:bidi="ar"/>
        </w:rPr>
        <w:t>六十四条、第七十条</w:t>
      </w:r>
      <w:r>
        <w:rPr>
          <w:rFonts w:hint="eastAsia" w:ascii="仿宋_GB2312" w:hAnsi="仿宋_GB2312" w:eastAsia="仿宋_GB2312" w:cs="仿宋_GB2312"/>
          <w:sz w:val="30"/>
          <w:szCs w:val="30"/>
          <w:lang w:bidi="ar"/>
        </w:rPr>
        <w:t>之规定，本机</w:t>
      </w:r>
      <w:r>
        <w:rPr>
          <w:rFonts w:hint="eastAsia" w:ascii="仿宋_GB2312" w:hAnsi="仿宋_GB2312" w:eastAsia="仿宋_GB2312" w:cs="仿宋_GB2312"/>
          <w:color w:val="auto"/>
          <w:sz w:val="30"/>
          <w:szCs w:val="30"/>
          <w:lang w:bidi="ar"/>
        </w:rPr>
        <w:t>关决定：</w:t>
      </w:r>
    </w:p>
    <w:p w14:paraId="2B79CB7D">
      <w:pPr>
        <w:spacing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lang w:eastAsia="zh-CN"/>
        </w:rPr>
        <w:t>撤销湘潭县市场监督管理局</w:t>
      </w:r>
      <w:r>
        <w:rPr>
          <w:rFonts w:hint="eastAsia" w:ascii="仿宋_GB2312" w:hAnsi="仿宋_GB2312" w:eastAsia="仿宋_GB2312" w:cs="仿宋_GB2312"/>
          <w:sz w:val="30"/>
          <w:szCs w:val="30"/>
          <w:lang w:val="en-US" w:eastAsia="zh-CN"/>
        </w:rPr>
        <w:t>2024年12月23日</w:t>
      </w:r>
      <w:r>
        <w:rPr>
          <w:rFonts w:hint="eastAsia" w:ascii="仿宋_GB2312" w:hAnsi="仿宋_GB2312" w:eastAsia="仿宋_GB2312" w:cs="仿宋_GB2312"/>
          <w:sz w:val="30"/>
          <w:szCs w:val="30"/>
          <w:lang w:eastAsia="zh-CN"/>
        </w:rPr>
        <w:t>对吴**举报作出的不予立案决定；</w:t>
      </w:r>
    </w:p>
    <w:p w14:paraId="1307C7D4">
      <w:pPr>
        <w:spacing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lang w:eastAsia="zh-CN"/>
        </w:rPr>
        <w:t>责令湘潭县市场监督管理局</w:t>
      </w:r>
      <w:r>
        <w:rPr>
          <w:rFonts w:hint="eastAsia" w:ascii="仿宋_GB2312" w:hAnsi="仿宋_GB2312" w:eastAsia="仿宋_GB2312" w:cs="仿宋_GB2312"/>
          <w:sz w:val="30"/>
          <w:szCs w:val="30"/>
          <w:lang w:val="en-US" w:eastAsia="zh-CN"/>
        </w:rPr>
        <w:t>自收到本复议决定之日起15日内</w:t>
      </w:r>
      <w:r>
        <w:rPr>
          <w:rFonts w:hint="eastAsia" w:ascii="仿宋_GB2312" w:hAnsi="仿宋_GB2312" w:eastAsia="仿宋_GB2312" w:cs="仿宋_GB2312"/>
          <w:color w:val="auto"/>
          <w:sz w:val="30"/>
          <w:szCs w:val="30"/>
        </w:rPr>
        <w:t>重新作出</w:t>
      </w:r>
      <w:r>
        <w:rPr>
          <w:rFonts w:hint="eastAsia" w:ascii="仿宋_GB2312" w:hAnsi="仿宋_GB2312" w:eastAsia="仿宋_GB2312" w:cs="仿宋_GB2312"/>
          <w:color w:val="auto"/>
          <w:sz w:val="30"/>
          <w:szCs w:val="30"/>
          <w:lang w:val="en-US" w:eastAsia="zh-CN"/>
        </w:rPr>
        <w:t>是否立案决定，并</w:t>
      </w:r>
      <w:r>
        <w:rPr>
          <w:rFonts w:hint="eastAsia" w:ascii="仿宋_GB2312" w:hAnsi="仿宋_GB2312" w:eastAsia="仿宋_GB2312" w:cs="仿宋_GB2312"/>
          <w:sz w:val="30"/>
          <w:szCs w:val="30"/>
          <w:lang w:eastAsia="zh-CN"/>
        </w:rPr>
        <w:t>自作出是否立案决定之日起五个工作日内告知</w:t>
      </w:r>
      <w:r>
        <w:rPr>
          <w:rFonts w:hint="eastAsia" w:ascii="仿宋_GB2312" w:hAnsi="仿宋_GB2312" w:eastAsia="仿宋_GB2312" w:cs="仿宋_GB2312"/>
          <w:sz w:val="30"/>
          <w:szCs w:val="30"/>
          <w:lang w:val="en-US" w:eastAsia="zh-CN"/>
        </w:rPr>
        <w:t>申请人吴**。</w:t>
      </w:r>
    </w:p>
    <w:p w14:paraId="6ED78558">
      <w:p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吴**</w:t>
      </w:r>
      <w:r>
        <w:rPr>
          <w:rFonts w:hint="eastAsia" w:ascii="仿宋_GB2312" w:hAnsi="仿宋_GB2312" w:eastAsia="仿宋_GB2312" w:cs="仿宋_GB2312"/>
          <w:sz w:val="30"/>
          <w:szCs w:val="30"/>
        </w:rPr>
        <w:t>如不服本复议决定，</w:t>
      </w:r>
      <w:r>
        <w:rPr>
          <w:rFonts w:hint="eastAsia" w:ascii="仿宋_GB2312" w:hAnsi="仿宋_GB2312" w:eastAsia="仿宋_GB2312" w:cs="仿宋_GB2312"/>
          <w:color w:val="auto"/>
          <w:sz w:val="30"/>
          <w:szCs w:val="30"/>
        </w:rPr>
        <w:t>可在收到本复议决定书之日起十五日内，向湘潭市</w:t>
      </w:r>
      <w:r>
        <w:rPr>
          <w:rFonts w:hint="eastAsia" w:ascii="仿宋_GB2312" w:hAnsi="仿宋_GB2312" w:eastAsia="仿宋_GB2312" w:cs="仿宋_GB2312"/>
          <w:color w:val="auto"/>
          <w:sz w:val="30"/>
          <w:szCs w:val="30"/>
          <w:lang w:eastAsia="zh-CN"/>
        </w:rPr>
        <w:t>中级</w:t>
      </w:r>
      <w:r>
        <w:rPr>
          <w:rFonts w:hint="eastAsia" w:ascii="仿宋_GB2312" w:hAnsi="仿宋_GB2312" w:eastAsia="仿宋_GB2312" w:cs="仿宋_GB2312"/>
          <w:color w:val="auto"/>
          <w:sz w:val="30"/>
          <w:szCs w:val="30"/>
        </w:rPr>
        <w:t>人民法院提起行政诉讼</w:t>
      </w:r>
      <w:r>
        <w:rPr>
          <w:rFonts w:hint="eastAsia" w:ascii="仿宋_GB2312" w:hAnsi="仿宋_GB2312" w:eastAsia="仿宋_GB2312" w:cs="仿宋_GB2312"/>
          <w:sz w:val="30"/>
          <w:szCs w:val="30"/>
        </w:rPr>
        <w:t>。</w:t>
      </w:r>
    </w:p>
    <w:p w14:paraId="7BA278BD">
      <w:pPr>
        <w:spacing w:line="560" w:lineRule="exact"/>
        <w:ind w:firstLine="600" w:firstLineChars="200"/>
        <w:rPr>
          <w:rFonts w:hint="eastAsia" w:ascii="仿宋_GB2312" w:hAnsi="仿宋_GB2312" w:eastAsia="仿宋_GB2312" w:cs="仿宋_GB2312"/>
          <w:sz w:val="30"/>
          <w:szCs w:val="30"/>
        </w:rPr>
      </w:pPr>
    </w:p>
    <w:p w14:paraId="785658C0">
      <w:pPr>
        <w:spacing w:line="560" w:lineRule="exact"/>
        <w:ind w:firstLine="600" w:firstLineChars="200"/>
        <w:jc w:val="righ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湘潭县人民政府</w:t>
      </w:r>
    </w:p>
    <w:p w14:paraId="2C6511C7">
      <w:pPr>
        <w:spacing w:line="560" w:lineRule="exact"/>
        <w:ind w:firstLine="600" w:firstLineChars="200"/>
        <w:jc w:val="righ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二〇二</w:t>
      </w:r>
      <w:r>
        <w:rPr>
          <w:rFonts w:hint="eastAsia" w:ascii="仿宋_GB2312" w:hAnsi="仿宋_GB2312" w:eastAsia="仿宋_GB2312" w:cs="仿宋_GB2312"/>
          <w:sz w:val="30"/>
          <w:szCs w:val="30"/>
          <w:lang w:eastAsia="zh-CN"/>
        </w:rPr>
        <w:t>五</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二</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二十六</w:t>
      </w:r>
      <w:r>
        <w:rPr>
          <w:rFonts w:hint="eastAsia" w:ascii="仿宋_GB2312" w:hAnsi="仿宋_GB2312" w:eastAsia="仿宋_GB2312" w:cs="仿宋_GB2312"/>
          <w:sz w:val="30"/>
          <w:szCs w:val="30"/>
        </w:rPr>
        <w:t>日</w:t>
      </w:r>
    </w:p>
    <w:p w14:paraId="62CED4F9">
      <w:pPr>
        <w:snapToGrid/>
        <w:spacing w:line="560" w:lineRule="exact"/>
        <w:ind w:firstLine="600" w:firstLineChars="200"/>
        <w:rPr>
          <w:rFonts w:hint="eastAsia" w:ascii="仿宋_GB2312" w:hAnsi="仿宋_GB2312" w:eastAsia="仿宋_GB2312" w:cs="仿宋_GB2312"/>
          <w:sz w:val="30"/>
          <w:szCs w:val="30"/>
        </w:rPr>
      </w:pPr>
    </w:p>
    <w:p w14:paraId="4E83AF58">
      <w:pPr>
        <w:snapToGrid/>
        <w:spacing w:line="560" w:lineRule="exact"/>
        <w:ind w:firstLine="600" w:firstLineChars="200"/>
        <w:rPr>
          <w:rFonts w:hint="eastAsia" w:ascii="仿宋_GB2312" w:hAnsi="仿宋_GB2312" w:eastAsia="仿宋_GB2312" w:cs="仿宋_GB2312"/>
          <w:sz w:val="30"/>
          <w:szCs w:val="30"/>
        </w:rPr>
      </w:pPr>
    </w:p>
    <w:p w14:paraId="5D877353">
      <w:pPr>
        <w:spacing w:line="560" w:lineRule="exact"/>
        <w:ind w:firstLine="5400" w:firstLineChars="1800"/>
        <w:rPr>
          <w:rFonts w:ascii="仿宋" w:hAnsi="仿宋" w:eastAsia="仿宋" w:cs="仿宋"/>
          <w:sz w:val="30"/>
          <w:szCs w:val="30"/>
        </w:rPr>
      </w:pPr>
    </w:p>
    <w:p w14:paraId="031BA9EC">
      <w:pPr>
        <w:spacing w:line="560" w:lineRule="exact"/>
        <w:rPr>
          <w:rFonts w:hint="eastAsia" w:ascii="仿宋" w:hAnsi="仿宋" w:eastAsia="仿宋" w:cs="仿宋"/>
          <w:sz w:val="30"/>
          <w:szCs w:val="30"/>
          <w:lang w:eastAsia="zh-CN"/>
        </w:rPr>
      </w:pPr>
      <w:r>
        <w:rPr>
          <w:rFonts w:ascii="仿宋" w:hAnsi="仿宋" w:eastAsia="仿宋" w:cs="仿宋"/>
          <w:sz w:val="30"/>
          <w:szCs w:val="30"/>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12700</wp:posOffset>
                </wp:positionV>
                <wp:extent cx="5724525" cy="38100"/>
                <wp:effectExtent l="0" t="4445" r="9525" b="14605"/>
                <wp:wrapNone/>
                <wp:docPr id="2" name="直接连接符 2"/>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1pt;height:3pt;width:450.75pt;z-index:251659264;mso-width-relative:page;mso-height-relative:page;" filled="f" stroked="t" coordsize="21600,21600" o:gfxdata="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ETuyrVAAAABwEAAA8AAAAAAAAAAQAgAAAAIgAAAGRycy9kb3du&#10;cmV2LnhtbFBLAQIUABQAAAAIAIdO4kCxYqkjAgIAAOEDAAAOAAAAAAAAAAEAIAAAACQBAABkcnMv&#10;ZTJvRG9jLnhtbFBLBQYAAAAABgAGAFkBAACYBQAAAAA=&#10;">
                <v:fill on="f" focussize="0,0"/>
                <v:stroke weight="0.5pt" color="#000000" miterlimit="8" joinstyle="miter"/>
                <v:imagedata o:title=""/>
                <o:lock v:ext="edit" aspectratio="f"/>
              </v:line>
            </w:pict>
          </mc:Fallback>
        </mc:AlternateContent>
      </w:r>
      <w:r>
        <w:rPr>
          <w:rFonts w:ascii="仿宋" w:hAnsi="仿宋" w:eastAsia="仿宋" w:cs="仿宋"/>
          <w:sz w:val="30"/>
          <w:szCs w:val="30"/>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332105</wp:posOffset>
                </wp:positionV>
                <wp:extent cx="5724525" cy="38100"/>
                <wp:effectExtent l="0" t="4445" r="9525" b="14605"/>
                <wp:wrapNone/>
                <wp:docPr id="4" name="直接连接符 4"/>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26.15pt;height:3pt;width:450.75pt;z-index:251660288;mso-width-relative:page;mso-height-relative:page;" filled="f" stroked="t" coordsize="21600,21600" o:gfxdata="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M2hbYAAAACQEAAA8AAAAAAAAAAQAgAAAAIgAAAGRycy9k&#10;b3ducmV2LnhtbFBLAQIUABQAAAAIAIdO4kDk7k9VAgIAAOEDAAAOAAAAAAAAAAEAIAAAACcBAABk&#10;cnMvZTJvRG9jLnhtbFBLBQYAAAAABgAGAFkBAACbBQAAAAA=&#10;">
                <v:fill on="f" focussize="0,0"/>
                <v:stroke weight="0.5pt" color="#000000" miterlimit="8" joinstyle="miter"/>
                <v:imagedata o:title=""/>
                <o:lock v:ext="edit" aspectratio="f"/>
              </v:line>
            </w:pict>
          </mc:Fallback>
        </mc:AlternateContent>
      </w:r>
      <w:r>
        <w:rPr>
          <w:rFonts w:hint="eastAsia" w:ascii="仿宋" w:hAnsi="仿宋" w:eastAsia="仿宋" w:cs="仿宋"/>
          <w:sz w:val="30"/>
          <w:szCs w:val="30"/>
        </w:rPr>
        <w:t>抄送：湘潭市</w:t>
      </w:r>
      <w:r>
        <w:rPr>
          <w:rFonts w:hint="eastAsia" w:ascii="仿宋" w:hAnsi="仿宋" w:eastAsia="仿宋" w:cs="仿宋"/>
          <w:sz w:val="30"/>
          <w:szCs w:val="30"/>
          <w:lang w:eastAsia="zh-CN"/>
        </w:rPr>
        <w:t>市场监督管理局</w:t>
      </w:r>
    </w:p>
    <w:p w14:paraId="20C5C1FF">
      <w:pPr>
        <w:spacing w:line="560" w:lineRule="exact"/>
        <w:rPr>
          <w:rFonts w:hint="eastAsia" w:ascii="仿宋" w:hAnsi="仿宋" w:eastAsia="仿宋" w:cs="仿宋"/>
          <w:sz w:val="30"/>
          <w:szCs w:val="30"/>
        </w:rPr>
      </w:pPr>
    </w:p>
    <w:p w14:paraId="60089A12">
      <w:pPr>
        <w:spacing w:line="560" w:lineRule="exact"/>
        <w:rPr>
          <w:rFonts w:hint="eastAsia" w:ascii="仿宋" w:hAnsi="仿宋" w:eastAsia="仿宋" w:cs="仿宋"/>
          <w:sz w:val="30"/>
          <w:szCs w:val="30"/>
        </w:rPr>
      </w:pPr>
    </w:p>
    <w:p w14:paraId="14764CB0">
      <w:pPr>
        <w:spacing w:line="560" w:lineRule="exact"/>
        <w:rPr>
          <w:rFonts w:hint="eastAsia" w:ascii="仿宋" w:hAnsi="仿宋" w:eastAsia="仿宋" w:cs="仿宋"/>
          <w:sz w:val="30"/>
          <w:szCs w:val="30"/>
        </w:rPr>
      </w:pPr>
    </w:p>
    <w:p w14:paraId="663D4DD5">
      <w:pPr>
        <w:spacing w:line="560" w:lineRule="exact"/>
        <w:rPr>
          <w:rFonts w:ascii="仿宋" w:hAnsi="仿宋" w:eastAsia="仿宋" w:cs="仿宋"/>
          <w:sz w:val="30"/>
          <w:szCs w:val="30"/>
        </w:rPr>
      </w:pPr>
      <w:r>
        <w:rPr>
          <w:rFonts w:hint="eastAsia" w:ascii="仿宋" w:hAnsi="仿宋" w:eastAsia="仿宋" w:cs="仿宋"/>
          <w:sz w:val="30"/>
          <w:szCs w:val="30"/>
        </w:rPr>
        <w:t>附有关法律法规规定：</w:t>
      </w:r>
    </w:p>
    <w:p w14:paraId="6666FC5A">
      <w:pPr>
        <w:widowControl/>
        <w:spacing w:line="560" w:lineRule="exact"/>
        <w:ind w:firstLine="602"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b/>
          <w:bCs/>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579F1CE4">
      <w:pPr>
        <w:widowControl/>
        <w:spacing w:line="560" w:lineRule="exact"/>
        <w:ind w:firstLine="602"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b/>
          <w:bCs/>
          <w:color w:val="auto"/>
          <w:sz w:val="30"/>
          <w:szCs w:val="30"/>
        </w:rPr>
        <w:t>第六十四条</w:t>
      </w:r>
      <w:r>
        <w:rPr>
          <w:rFonts w:hint="eastAsia" w:ascii="仿宋_GB2312" w:hAnsi="仿宋_GB2312" w:eastAsia="仿宋_GB2312" w:cs="仿宋_GB2312"/>
          <w:color w:val="auto"/>
          <w:sz w:val="30"/>
          <w:szCs w:val="30"/>
        </w:rPr>
        <w:t>　行政行为有下列情形之一的，行政复议机关决定撤销或者部分撤销该行政行为，并可以责令被申请人在一定期限内重新作出行政行为：</w:t>
      </w:r>
    </w:p>
    <w:p w14:paraId="573FEA7E">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（一）主要事实不清、证据不足；</w:t>
      </w:r>
    </w:p>
    <w:p w14:paraId="62995097">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（二）违反法定程序；</w:t>
      </w:r>
    </w:p>
    <w:p w14:paraId="2A84AB47">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（三）适用的依据不合法；</w:t>
      </w:r>
    </w:p>
    <w:p w14:paraId="4D96ED87">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（四）超越职权或者滥用职权。</w:t>
      </w:r>
    </w:p>
    <w:p w14:paraId="37A6C868">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行政复议机关责令被申请人重新作出行政行为的，被申请人不得以同一事实和理由作出与被申请行政复议的行政行为相同或者基本相同的行政行为，但是行政复议机关以违反法定程序为由决定撤销或者部分撤销的除外。</w:t>
      </w:r>
    </w:p>
    <w:p w14:paraId="578A2598">
      <w:pPr>
        <w:widowControl/>
        <w:numPr>
          <w:ilvl w:val="0"/>
          <w:numId w:val="0"/>
        </w:numPr>
        <w:spacing w:line="560" w:lineRule="exact"/>
        <w:ind w:firstLine="602" w:firstLineChars="200"/>
        <w:jc w:val="left"/>
        <w:rPr>
          <w:rFonts w:hint="eastAsia" w:ascii="仿宋_GB2312" w:hAnsi="仿宋_GB2312" w:eastAsia="仿宋_GB2312" w:cs="仿宋_GB2312"/>
          <w:color w:val="auto"/>
          <w:sz w:val="30"/>
          <w:szCs w:val="30"/>
        </w:rPr>
      </w:pPr>
      <w:bookmarkStart w:id="0" w:name="No294_Z5T65K1"/>
      <w:bookmarkEnd w:id="0"/>
      <w:r>
        <w:rPr>
          <w:rFonts w:hint="eastAsia" w:ascii="仿宋_GB2312" w:hAnsi="仿宋_GB2312" w:eastAsia="仿宋_GB2312" w:cs="仿宋_GB2312"/>
          <w:b/>
          <w:bCs/>
          <w:color w:val="auto"/>
          <w:sz w:val="30"/>
          <w:szCs w:val="30"/>
          <w:lang w:eastAsia="zh-CN"/>
        </w:rPr>
        <w:t>第七十条</w:t>
      </w:r>
      <w:r>
        <w:rPr>
          <w:rFonts w:hint="eastAsia" w:ascii="仿宋_GB2312" w:hAnsi="仿宋_GB2312" w:eastAsia="仿宋_GB2312" w:cs="仿宋_GB2312"/>
          <w:b w:val="0"/>
          <w:bCs w:val="0"/>
          <w:color w:val="auto"/>
          <w:sz w:val="30"/>
          <w:szCs w:val="30"/>
        </w:rPr>
        <w:t>被申请人不按照本法第四十八条、第五十四条的规定提出书面答复、提交作出行政行为的证据、依据和其他有关材料的，视为该行政行为没有证据、依据，行政复议机关决定撤销、部分撤销该行政行为，确认该行政行为违法、无效或者决定被申请人在一定期限内履行，但是行政行为涉及第三人合法权益，第三人提供证据的除外。</w:t>
      </w:r>
    </w:p>
    <w:p w14:paraId="0FD9D4FB">
      <w:pPr>
        <w:widowControl/>
        <w:spacing w:line="560" w:lineRule="exact"/>
        <w:ind w:firstLine="602" w:firstLineChars="200"/>
        <w:rPr>
          <w:rFonts w:hint="eastAsia" w:ascii="仿宋_GB2312" w:hAnsi="仿宋_GB2312" w:eastAsia="仿宋_GB2312" w:cs="仿宋_GB2312"/>
          <w:b/>
          <w:sz w:val="30"/>
          <w:szCs w:val="30"/>
          <w:lang w:val="en-US" w:eastAsia="zh-CN"/>
        </w:rPr>
      </w:pPr>
    </w:p>
    <w:p w14:paraId="140E7802"/>
    <w:p w14:paraId="59ED8D39"/>
    <w:sectPr>
      <w:footerReference r:id="rId3" w:type="default"/>
      <w:pgSz w:w="11906" w:h="16838"/>
      <w:pgMar w:top="1440" w:right="1474" w:bottom="1440"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B83FC3">
    <w:pPr>
      <w:pStyle w:val="2"/>
      <w:jc w:val="center"/>
    </w:pPr>
    <w:r>
      <w:fldChar w:fldCharType="begin"/>
    </w:r>
    <w:r>
      <w:instrText xml:space="preserve"> PAGE   \* MERGEFORMAT </w:instrText>
    </w:r>
    <w:r>
      <w:fldChar w:fldCharType="separate"/>
    </w:r>
    <w:r>
      <w:rPr>
        <w:lang w:val="zh-CN"/>
      </w:rPr>
      <w:t>1</w:t>
    </w:r>
    <w:r>
      <w:fldChar w:fldCharType="end"/>
    </w:r>
  </w:p>
  <w:p w14:paraId="6B8057A7">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DF33E8"/>
    <w:rsid w:val="09BE38DC"/>
    <w:rsid w:val="10C510AA"/>
    <w:rsid w:val="112B2239"/>
    <w:rsid w:val="27982240"/>
    <w:rsid w:val="28AA11A7"/>
    <w:rsid w:val="2914274D"/>
    <w:rsid w:val="2AD17185"/>
    <w:rsid w:val="2EAA0A4C"/>
    <w:rsid w:val="31024E1A"/>
    <w:rsid w:val="3E107A74"/>
    <w:rsid w:val="3FBB3D75"/>
    <w:rsid w:val="3FE94341"/>
    <w:rsid w:val="43940ABD"/>
    <w:rsid w:val="494D7DBF"/>
    <w:rsid w:val="49A10689"/>
    <w:rsid w:val="541D6D95"/>
    <w:rsid w:val="5DE9062E"/>
    <w:rsid w:val="60E34A87"/>
    <w:rsid w:val="6245462F"/>
    <w:rsid w:val="66CE5632"/>
    <w:rsid w:val="69DB32EB"/>
    <w:rsid w:val="6BBFAF6B"/>
    <w:rsid w:val="6DDE2C65"/>
    <w:rsid w:val="7549483F"/>
    <w:rsid w:val="757E5B9F"/>
    <w:rsid w:val="795934A7"/>
    <w:rsid w:val="7BCEFB13"/>
    <w:rsid w:val="7C9B5288"/>
    <w:rsid w:val="7D3BAF98"/>
    <w:rsid w:val="7EDF33E8"/>
    <w:rsid w:val="7F003201"/>
    <w:rsid w:val="7F8C2C66"/>
    <w:rsid w:val="DEAF14A2"/>
    <w:rsid w:val="F47F1C2E"/>
    <w:rsid w:val="F77FD9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2417</Words>
  <Characters>2504</Characters>
  <Lines>0</Lines>
  <Paragraphs>0</Paragraphs>
  <TotalTime>2</TotalTime>
  <ScaleCrop>false</ScaleCrop>
  <LinksUpToDate>false</LinksUpToDate>
  <CharactersWithSpaces>2505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2025-02-20T06:58:00Z</dcterms:created>
  <dc:creator>user</dc:creator>
  <cp:lastModifiedBy>He凯</cp:lastModifiedBy>
  <dcterms:modified xsi:type="dcterms:W3CDTF">2025-06-30T02:34:31Z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DE9C503029E2484DB25A4EAABDBDDE4A_13</vt:lpwstr>
  </property>
  <property fmtid="{D5CDD505-2E9C-101B-9397-08002B2CF9AE}" pid="4" name="KSOTemplateDocerSaveRecord">
    <vt:lpwstr>eyJoZGlkIjoiZGY3MzUwYWNiZTVmYzQwNDE1NzhjZDE4ODNmNjk0MjciLCJ1c2VySWQiOiIxMzczMDcwOTY4In0=</vt:lpwstr>
  </property>
</Properties>
</file>