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6DFF19">
      <w:pPr>
        <w:keepNext w:val="0"/>
        <w:keepLines w:val="0"/>
        <w:pageBreakBefore w:val="0"/>
        <w:kinsoku/>
        <w:wordWrap w:val="0"/>
        <w:overflowPunct/>
        <w:topLinePunct w:val="0"/>
        <w:autoSpaceDE/>
        <w:autoSpaceDN/>
        <w:bidi w:val="0"/>
        <w:adjustRightInd w:val="0"/>
        <w:snapToGrid/>
        <w:spacing w:line="560" w:lineRule="exact"/>
        <w:ind w:right="0" w:firstLine="0" w:firstLineChars="0"/>
        <w:jc w:val="center"/>
        <w:textAlignment w:val="auto"/>
        <w:rPr>
          <w:rFonts w:hint="eastAsia" w:ascii="楷体" w:hAnsi="楷体" w:eastAsia="方正小标宋_GBK" w:cs="仿宋"/>
          <w:color w:val="auto"/>
          <w:sz w:val="32"/>
          <w:szCs w:val="32"/>
          <w:lang w:eastAsia="zh-CN"/>
        </w:rPr>
      </w:pPr>
      <w:r>
        <w:rPr>
          <w:rFonts w:hint="eastAsia" w:ascii="方正小标宋_GBK" w:hAnsi="方正小标宋_GBK" w:eastAsia="方正小标宋_GBK" w:cs="方正小标宋_GBK"/>
          <w:color w:val="auto"/>
          <w:sz w:val="36"/>
          <w:szCs w:val="36"/>
        </w:rPr>
        <w:t>湘潭县人民政府行政复议决定书</w:t>
      </w:r>
      <w:r>
        <w:rPr>
          <w:rFonts w:hint="eastAsia" w:ascii="方正小标宋_GBK" w:hAnsi="方正小标宋_GBK" w:eastAsia="方正小标宋_GBK" w:cs="方正小标宋_GBK"/>
          <w:color w:val="auto"/>
          <w:sz w:val="36"/>
          <w:szCs w:val="36"/>
          <w:lang w:val="en-US" w:eastAsia="zh-CN"/>
        </w:rPr>
        <w:t xml:space="preserve"> </w:t>
      </w:r>
    </w:p>
    <w:p w14:paraId="463632A7">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2"/>
          <w:szCs w:val="32"/>
          <w:lang w:eastAsia="zh-CN"/>
        </w:rPr>
      </w:pPr>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19</w:t>
      </w:r>
      <w:r>
        <w:rPr>
          <w:rFonts w:hint="eastAsia" w:ascii="仿宋_GB2312" w:hAnsi="仿宋_GB2312" w:eastAsia="仿宋_GB2312" w:cs="仿宋_GB2312"/>
          <w:color w:val="auto"/>
          <w:sz w:val="30"/>
          <w:szCs w:val="30"/>
        </w:rPr>
        <w:t>号</w:t>
      </w:r>
    </w:p>
    <w:p w14:paraId="665C3151">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吴**</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19</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江西省吉安市永丰县马镇店下村塘头自然村**</w:t>
      </w:r>
      <w:r>
        <w:rPr>
          <w:rFonts w:hint="eastAsia" w:ascii="仿宋_GB2312" w:hAnsi="仿宋_GB2312" w:eastAsia="仿宋_GB2312" w:cs="仿宋_GB2312"/>
          <w:color w:val="auto"/>
          <w:sz w:val="30"/>
          <w:szCs w:val="30"/>
          <w:lang w:val="en-US" w:eastAsia="zh-CN"/>
        </w:rPr>
        <w:t>号</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湖南省长沙市雨花区**小区</w:t>
      </w:r>
      <w:r>
        <w:rPr>
          <w:rFonts w:hint="eastAsia" w:ascii="仿宋_GB2312" w:hAnsi="仿宋_GB2312" w:eastAsia="仿宋_GB2312" w:cs="仿宋_GB2312"/>
          <w:color w:val="auto"/>
          <w:sz w:val="30"/>
          <w:szCs w:val="30"/>
          <w:highlight w:val="none"/>
        </w:rPr>
        <w:t>。</w:t>
      </w:r>
    </w:p>
    <w:p w14:paraId="12CE9A0A">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08F90CB2">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64C4DBD8">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李伟</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食品生产股股长，特别代理</w:t>
      </w:r>
      <w:r>
        <w:rPr>
          <w:rFonts w:hint="eastAsia" w:ascii="仿宋_GB2312" w:hAnsi="仿宋_GB2312" w:eastAsia="仿宋_GB2312" w:cs="仿宋_GB2312"/>
          <w:color w:val="auto"/>
          <w:sz w:val="30"/>
          <w:szCs w:val="30"/>
        </w:rPr>
        <w:t>。</w:t>
      </w:r>
    </w:p>
    <w:p w14:paraId="5841AB4A">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吴**</w:t>
      </w:r>
      <w:r>
        <w:rPr>
          <w:rFonts w:hint="eastAsia" w:ascii="仿宋_GB2312" w:hAnsi="仿宋_GB2312" w:eastAsia="仿宋_GB2312" w:cs="仿宋_GB2312"/>
          <w:color w:val="auto"/>
          <w:sz w:val="30"/>
          <w:szCs w:val="30"/>
        </w:rPr>
        <w:t>不服被申请人湘潭县市场监督管理局</w:t>
      </w:r>
      <w:r>
        <w:rPr>
          <w:rFonts w:hint="eastAsia" w:ascii="仿宋_GB2312" w:hAnsi="仿宋_GB2312" w:eastAsia="仿宋_GB2312" w:cs="仿宋_GB2312"/>
          <w:color w:val="auto"/>
          <w:sz w:val="30"/>
          <w:szCs w:val="30"/>
          <w:lang w:val="en-US" w:eastAsia="zh-CN"/>
        </w:rPr>
        <w:t>2025年1月13日</w:t>
      </w:r>
      <w:r>
        <w:rPr>
          <w:rFonts w:hint="eastAsia" w:ascii="仿宋_GB2312" w:hAnsi="仿宋_GB2312" w:eastAsia="仿宋_GB2312" w:cs="仿宋_GB2312"/>
          <w:color w:val="auto"/>
          <w:sz w:val="30"/>
          <w:szCs w:val="30"/>
        </w:rPr>
        <w:t>对其</w:t>
      </w:r>
      <w:r>
        <w:rPr>
          <w:rFonts w:hint="eastAsia" w:ascii="仿宋_GB2312" w:hAnsi="仿宋_GB2312" w:eastAsia="仿宋_GB2312" w:cs="仿宋_GB2312"/>
          <w:color w:val="auto"/>
          <w:sz w:val="30"/>
          <w:szCs w:val="30"/>
          <w:lang w:val="en-US" w:eastAsia="zh-CN"/>
        </w:rPr>
        <w:t>举报</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val="en-US" w:eastAsia="zh-CN"/>
        </w:rPr>
        <w:t>作出的举报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而申请行政复议，本机关依法受理申请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1F9D18CE">
      <w:pPr>
        <w:keepNext w:val="0"/>
        <w:keepLines w:val="0"/>
        <w:pageBreakBefore w:val="0"/>
        <w:kinsoku/>
        <w:wordWrap w:val="0"/>
        <w:overflowPunct/>
        <w:topLinePunct w:val="0"/>
        <w:autoSpaceDE/>
        <w:autoSpaceDN/>
        <w:bidi w:val="0"/>
        <w:adjustRightInd w:val="0"/>
        <w:snapToGrid/>
        <w:spacing w:afterLines="0"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245DDE97">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1.撤销被申请人202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1月13日</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的《举报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w:t>
      </w:r>
    </w:p>
    <w:p w14:paraId="0AFE6A20">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2.责令被申请人重新作出处理</w:t>
      </w:r>
      <w:r>
        <w:rPr>
          <w:rFonts w:hint="eastAsia" w:ascii="仿宋_GB2312" w:hAnsi="仿宋_GB2312" w:eastAsia="仿宋_GB2312" w:cs="仿宋_GB2312"/>
          <w:color w:val="auto"/>
          <w:sz w:val="30"/>
          <w:szCs w:val="30"/>
          <w:lang w:eastAsia="zh-CN"/>
        </w:rPr>
        <w:t>。</w:t>
      </w:r>
    </w:p>
    <w:p w14:paraId="789974CE">
      <w:pPr>
        <w:keepNext w:val="0"/>
        <w:keepLines w:val="0"/>
        <w:pageBreakBefore w:val="0"/>
        <w:kinsoku/>
        <w:wordWrap w:val="0"/>
        <w:overflowPunct/>
        <w:topLinePunct w:val="0"/>
        <w:autoSpaceDE/>
        <w:autoSpaceDN/>
        <w:bidi w:val="0"/>
        <w:adjustRightInd w:val="0"/>
        <w:snapToGrid/>
        <w:spacing w:afterLines="0"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205DB81B">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申请人于2025年1月16日得知该行政行为，特申请行政复议，主要事实和理由如下</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申请人于2024年12月24日</w:t>
      </w:r>
      <w:r>
        <w:rPr>
          <w:rFonts w:hint="eastAsia" w:ascii="仿宋_GB2312" w:hAnsi="仿宋_GB2312" w:eastAsia="仿宋_GB2312" w:cs="仿宋_GB2312"/>
          <w:color w:val="auto"/>
          <w:sz w:val="30"/>
          <w:szCs w:val="30"/>
          <w:lang w:val="en-US" w:eastAsia="zh-CN"/>
        </w:rPr>
        <w:t>通过12315平台</w:t>
      </w:r>
      <w:r>
        <w:rPr>
          <w:rFonts w:hint="eastAsia" w:ascii="仿宋_GB2312" w:hAnsi="仿宋_GB2312" w:eastAsia="仿宋_GB2312" w:cs="仿宋_GB2312"/>
          <w:color w:val="auto"/>
          <w:sz w:val="30"/>
          <w:szCs w:val="30"/>
        </w:rPr>
        <w:t>向被申请人</w:t>
      </w:r>
      <w:r>
        <w:rPr>
          <w:rFonts w:hint="eastAsia" w:ascii="仿宋_GB2312" w:hAnsi="仿宋_GB2312" w:eastAsia="仿宋_GB2312" w:cs="仿宋_GB2312"/>
          <w:color w:val="auto"/>
          <w:sz w:val="30"/>
          <w:szCs w:val="30"/>
          <w:lang w:val="en-US" w:eastAsia="zh-CN"/>
        </w:rPr>
        <w:t>提出</w:t>
      </w:r>
      <w:r>
        <w:rPr>
          <w:rFonts w:hint="eastAsia" w:ascii="仿宋_GB2312" w:hAnsi="仿宋_GB2312" w:eastAsia="仿宋_GB2312" w:cs="仿宋_GB2312"/>
          <w:color w:val="auto"/>
          <w:sz w:val="30"/>
          <w:szCs w:val="30"/>
        </w:rPr>
        <w:t>举报，举报“湘潭市丰福星食品有限公司”销售违反《</w:t>
      </w:r>
      <w:r>
        <w:rPr>
          <w:rFonts w:hint="eastAsia" w:ascii="仿宋_GB2312" w:hAnsi="仿宋_GB2312" w:eastAsia="仿宋_GB2312" w:cs="仿宋_GB2312"/>
          <w:color w:val="auto"/>
          <w:sz w:val="30"/>
          <w:szCs w:val="30"/>
          <w:lang w:eastAsia="zh-CN"/>
        </w:rPr>
        <w:t>中华人民共和国食品安全法</w:t>
      </w:r>
      <w:r>
        <w:rPr>
          <w:rFonts w:hint="eastAsia" w:ascii="仿宋_GB2312" w:hAnsi="仿宋_GB2312" w:eastAsia="仿宋_GB2312" w:cs="仿宋_GB2312"/>
          <w:color w:val="auto"/>
          <w:sz w:val="30"/>
          <w:szCs w:val="30"/>
        </w:rPr>
        <w:t>》的食品，被申请人2025年1月14日做出不予立案决定，本人对此决定不服</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被申请人在不予立案原因中写明了</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鉴于该违法行为不符合《市场监督管理行政处罚程序规定》第十九条第一款第</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二</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项规定的立案条件，就举报事项不予立案。</w:t>
      </w:r>
      <w:r>
        <w:rPr>
          <w:rFonts w:hint="eastAsia" w:ascii="仿宋_GB2312" w:hAnsi="仿宋_GB2312" w:eastAsia="仿宋_GB2312" w:cs="仿宋_GB2312"/>
          <w:color w:val="auto"/>
          <w:sz w:val="30"/>
          <w:szCs w:val="30"/>
          <w:lang w:eastAsia="zh-CN"/>
        </w:rPr>
        <w:t>市场监管局</w:t>
      </w:r>
      <w:r>
        <w:rPr>
          <w:rFonts w:hint="eastAsia" w:ascii="仿宋_GB2312" w:hAnsi="仿宋_GB2312" w:eastAsia="仿宋_GB2312" w:cs="仿宋_GB2312"/>
          <w:color w:val="auto"/>
          <w:sz w:val="30"/>
          <w:szCs w:val="30"/>
        </w:rPr>
        <w:t>认为当事人违法行为轻微，可看出被申请人认可该违法事实存在。但在本案调查过程中，被申请人未调查被举报店铺的销售该产品的具体违法时间以及获利金额。依据《中华人民共和国食品安全法实施条例》第六十七条规定，违法行为涉及的产品货值金额2万元以上或者违法行为持续时间3个月以上，应当从重处罚。本案的涉案产品属于食品安全违法。适用《中华人民共和国食品安全法实施条例》第六十七条规定从重处罚的前提条件，被申请人在未调查出该案件是否适用于从重处罚的前提下就认定了轻微违法，但未提供法律依据。被申请人并未证明本案的违法时间未超过三个月，以及产品货值金额，被申请人未仔细审查，对案件调查未全面，属于未全面履职，该行政行为应当给予撤销。被申请人说在此举报之前，已接到过该产品相同内容的投诉举报，被举报人已经改正该违法行为，但未提供已经整改的证据，既然改正，该店铺产品却仍在销售，同时，依据GBT30645</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糕点分类标准</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，夹心</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注心</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类糕点</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在两块熟制产品中通过夹心工序添加芯料而制成的糕点，该“爆浆麻薯”在烘烤后还需要进行夹心工艺，属于冷加工糕点的夹心类糕点，该工艺是在常温或低温中进行，烘烤类糕点和夹心类糕点因为工艺不同，厂家以烘烤类糕点的生产条件去生产夹心类糕点，会导致严重的食品安全隐患。在本次举报中，被申请人未能准确判断举报事项的性质及相关事实，错误做出不予立案的决定，严重损害了申请人的合法权益，也未能有效履行市场监督管理的职责，</w:t>
      </w:r>
    </w:p>
    <w:p w14:paraId="19F57CE5">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综上所述，恳请复议机关依法审查并支持申请人的复议请求，以维护市场的正常秩序和申请人的合法权益。。</w:t>
      </w:r>
    </w:p>
    <w:p w14:paraId="0359115B">
      <w:pPr>
        <w:keepNext w:val="0"/>
        <w:keepLines w:val="0"/>
        <w:pageBreakBefore w:val="0"/>
        <w:kinsoku/>
        <w:wordWrap w:val="0"/>
        <w:overflowPunct/>
        <w:topLinePunct w:val="0"/>
        <w:autoSpaceDE/>
        <w:autoSpaceDN/>
        <w:bidi w:val="0"/>
        <w:adjustRightInd w:val="0"/>
        <w:snapToGrid/>
        <w:spacing w:afterLines="0"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被申请人答辩称：</w:t>
      </w:r>
    </w:p>
    <w:p w14:paraId="554A870D">
      <w:pPr>
        <w:keepNext w:val="0"/>
        <w:keepLines w:val="0"/>
        <w:pageBreakBefore w:val="0"/>
        <w:numPr>
          <w:ilvl w:val="255"/>
          <w:numId w:val="0"/>
        </w:numPr>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一、本案调查事实</w:t>
      </w:r>
    </w:p>
    <w:p w14:paraId="6C8D10EF">
      <w:pPr>
        <w:keepNext w:val="0"/>
        <w:keepLines w:val="0"/>
        <w:pageBreakBefore w:val="0"/>
        <w:numPr>
          <w:ilvl w:val="255"/>
          <w:numId w:val="0"/>
        </w:numPr>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2024年12月24日，本局在12315平台我要举报页面收到申请人举报单，被举报人湘潭市丰福星食品有限公司，举报声称：“本人在拼多多店铺（百宝箱优选）买了一份“爆浆泡芙（扬枝甘露味）”，该产品标签产品类型烘焙类糕点，加工方式冷加工，依据GB/T30645（糕点分类标准）2.1.1.1烘烤糕点定义为：以烘烤为最终熟制工艺的糕点。该产品最后一步是夹心（注心）馅料，产品类型应该是夹心（注心）类糕点。该爆浆泡芙产品类型标注错误，违反了《中华人民共和国食品安全法》第71条，存在产品标签与实物不符合的上市销售，请求查处并奖励”。</w:t>
      </w:r>
    </w:p>
    <w:p w14:paraId="3AB3529D">
      <w:pPr>
        <w:keepNext w:val="0"/>
        <w:keepLines w:val="0"/>
        <w:pageBreakBefore w:val="0"/>
        <w:numPr>
          <w:ilvl w:val="255"/>
          <w:numId w:val="0"/>
        </w:numPr>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2025年1月3日，本局就申请人投诉举报事项对湘潭市丰福星食品有限公司生产经营场所实施现场核查。在成品库未发现有被举报的涉案产品。在包装材料间发现有“杨枝甘露味爆浆泡芙”产品的包装膜，包装膜标示有“产品名称、产品类型、配料、食品添加剂、执行标准、食用方法、生产许可证编号、营养成分表、贮存条件、保质期、生产日期、温馨提示、制造商、产地”等内容，其中涉案产品包装膜上标注为夹心（注心）类糕点，加工方式为冷加工。经查，当事人自2024年9月开始从事涉案产品生产，其工艺为搅拌、成胚、烘烤、冷却、注馅、包装。根据涉案产品的工艺和依据GB/T30645（糕点分类标准）中“2.1.2.4夹心（或注心）类在两块熟制糕点产品中通过夹心工序添加芯料而制成的糕点”的定义，涉案产品类型应当标示为夹心（注心）类糕点。当事人在标签上将涉案产品类型标示为烘焙类糕点，该行为违反了《中华人民共和国食品安全法》第七十一条第一款：“食品和食品添加剂的标签、说明书，不得含有虚假内容，不得涉及疾病预防、治疗功能。生产经营者对其提供的标签、说明书的内容负责”的规定，属于《中华人民共和国食品安全法》第一百二十五条第一款第（二）项所指的“生产经营标签不符合本法规定的食品”的违法行为。又经查明，2024年11月6日，当事人因该行为被投诉举报，经本局核查，发现当事人已于2024年11月2日主动向标签印制公司提交涉案产品标签标示的产品类型改为夹心（注心）类糕点的模版，至此核查，当事人已启用改版后的标签。经核查，我局认为当事人已不符合《市场监督管理行政处罚程序规定》第十九条第一款第二项规定的情形，因此2025年1月13日报请局领导批准，对被举报人不予立案调查。</w:t>
      </w:r>
    </w:p>
    <w:p w14:paraId="45F4937A">
      <w:pPr>
        <w:keepNext w:val="0"/>
        <w:keepLines w:val="0"/>
        <w:pageBreakBefore w:val="0"/>
        <w:numPr>
          <w:ilvl w:val="255"/>
          <w:numId w:val="0"/>
        </w:numPr>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二、请人的复议请求不能成立。</w:t>
      </w:r>
    </w:p>
    <w:p w14:paraId="5E33B1F6">
      <w:pPr>
        <w:keepNext w:val="0"/>
        <w:keepLines w:val="0"/>
        <w:pageBreakBefore w:val="0"/>
        <w:numPr>
          <w:ilvl w:val="0"/>
          <w:numId w:val="0"/>
        </w:numPr>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就申请人的举报事项，通过核查，发现当事人已于2024年11月2日主动向标签印制公司提交涉案产品标签标示的产品类型改为夹心（注心）类糕点的模版，至此次核查日，当事人已启用了改版后的标签，包装标签上已将产品类型标注为夹心（注心）类糕点。当事人已主动改正，已不符合《市场监督管理行政处罚程序规定》第十九条第一款第二项“依据市场监督管理法律、法规、规章应当给予行政处罚”规定申请人依据《市场监督管理行政处罚程序规定》第二十条：“经核查，有下列情形之一的，可以不予立案：（四）依法可以不予立案的其他情形”的规定。对被举报人不予立案调查。本案事实认定清楚，证据确凿，适用法律准确。</w:t>
      </w:r>
    </w:p>
    <w:p w14:paraId="3E3A60A6">
      <w:pPr>
        <w:keepNext w:val="0"/>
        <w:keepLines w:val="0"/>
        <w:pageBreakBefore w:val="0"/>
        <w:numPr>
          <w:ilvl w:val="0"/>
          <w:numId w:val="0"/>
        </w:numPr>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综上所述，答辩人就申请人的投诉履行法定职责，申请人的复议请求不应支持，恳请县人民政府维持答辩人所作的决定。</w:t>
      </w:r>
    </w:p>
    <w:p w14:paraId="613119DB">
      <w:pPr>
        <w:keepNext w:val="0"/>
        <w:keepLines w:val="0"/>
        <w:pageBreakBefore w:val="0"/>
        <w:numPr>
          <w:ilvl w:val="255"/>
          <w:numId w:val="0"/>
        </w:numPr>
        <w:kinsoku/>
        <w:wordWrap w:val="0"/>
        <w:overflowPunct/>
        <w:topLinePunct w:val="0"/>
        <w:autoSpaceDE/>
        <w:autoSpaceDN/>
        <w:bidi w:val="0"/>
        <w:adjustRightInd w:val="0"/>
        <w:snapToGrid/>
        <w:spacing w:afterLines="0"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79AD5F2F">
      <w:pPr>
        <w:keepNext w:val="0"/>
        <w:keepLines w:val="0"/>
        <w:pageBreakBefore w:val="0"/>
        <w:numPr>
          <w:ilvl w:val="0"/>
          <w:numId w:val="0"/>
        </w:numPr>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2024年</w:t>
      </w:r>
      <w:r>
        <w:rPr>
          <w:rFonts w:hint="eastAsia" w:ascii="仿宋_GB2312" w:hAnsi="仿宋_GB2312" w:eastAsia="仿宋_GB2312" w:cs="仿宋_GB2312"/>
          <w:color w:val="auto"/>
          <w:sz w:val="30"/>
          <w:szCs w:val="30"/>
          <w:lang w:val="en-US" w:eastAsia="zh-CN"/>
        </w:rPr>
        <w:t>12</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12</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w:t>
      </w:r>
      <w:r>
        <w:rPr>
          <w:rFonts w:hint="eastAsia" w:ascii="仿宋_GB2312" w:hAnsi="仿宋_GB2312" w:eastAsia="仿宋_GB2312" w:cs="仿宋_GB2312"/>
          <w:color w:val="auto"/>
          <w:sz w:val="30"/>
          <w:szCs w:val="30"/>
          <w:lang w:eastAsia="zh-CN"/>
        </w:rPr>
        <w:t>拼多多平台“</w:t>
      </w:r>
      <w:r>
        <w:rPr>
          <w:rFonts w:hint="eastAsia" w:ascii="仿宋_GB2312" w:hAnsi="仿宋_GB2312" w:eastAsia="仿宋_GB2312" w:cs="仿宋_GB2312"/>
          <w:color w:val="auto"/>
          <w:sz w:val="30"/>
          <w:szCs w:val="30"/>
          <w:lang w:val="en-US" w:eastAsia="zh-CN"/>
        </w:rPr>
        <w:t>百宝箱优选</w:t>
      </w:r>
      <w:r>
        <w:rPr>
          <w:rFonts w:hint="eastAsia" w:ascii="仿宋_GB2312" w:hAnsi="仿宋_GB2312" w:eastAsia="仿宋_GB2312" w:cs="仿宋_GB2312"/>
          <w:color w:val="auto"/>
          <w:sz w:val="30"/>
          <w:szCs w:val="30"/>
          <w:lang w:eastAsia="zh-CN"/>
        </w:rPr>
        <w:t>”店铺实际</w:t>
      </w:r>
      <w:r>
        <w:rPr>
          <w:rFonts w:hint="eastAsia" w:ascii="仿宋_GB2312" w:hAnsi="仿宋_GB2312" w:eastAsia="仿宋_GB2312" w:cs="仿宋_GB2312"/>
          <w:color w:val="auto"/>
          <w:sz w:val="30"/>
          <w:szCs w:val="30"/>
        </w:rPr>
        <w:t>支付</w:t>
      </w:r>
      <w:r>
        <w:rPr>
          <w:rFonts w:hint="eastAsia" w:ascii="仿宋_GB2312" w:hAnsi="仿宋_GB2312" w:eastAsia="仿宋_GB2312" w:cs="仿宋_GB2312"/>
          <w:color w:val="auto"/>
          <w:sz w:val="30"/>
          <w:szCs w:val="30"/>
          <w:lang w:val="en-US" w:eastAsia="zh-CN"/>
        </w:rPr>
        <w:t>8.8</w:t>
      </w:r>
      <w:r>
        <w:rPr>
          <w:rFonts w:hint="eastAsia" w:ascii="仿宋_GB2312" w:hAnsi="仿宋_GB2312" w:eastAsia="仿宋_GB2312" w:cs="仿宋_GB2312"/>
          <w:color w:val="auto"/>
          <w:sz w:val="30"/>
          <w:szCs w:val="30"/>
        </w:rPr>
        <w:t>元购买</w:t>
      </w:r>
      <w:r>
        <w:rPr>
          <w:rFonts w:hint="eastAsia" w:ascii="仿宋_GB2312" w:hAnsi="仿宋_GB2312" w:eastAsia="仿宋_GB2312" w:cs="仿宋_GB2312"/>
          <w:color w:val="auto"/>
          <w:sz w:val="30"/>
          <w:szCs w:val="30"/>
          <w:lang w:val="en-US" w:eastAsia="zh-CN"/>
        </w:rPr>
        <w:t>由湘潭市丰福星食品有限公司生产的</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爆浆泡芙</w:t>
      </w:r>
      <w:r>
        <w:rPr>
          <w:rFonts w:hint="eastAsia" w:ascii="仿宋_GB2312" w:hAnsi="仿宋_GB2312" w:eastAsia="仿宋_GB2312" w:cs="仿宋_GB2312"/>
          <w:color w:val="auto"/>
          <w:sz w:val="30"/>
          <w:szCs w:val="30"/>
        </w:rPr>
        <w:t>”一份</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2024年12月24日，申请人通过全国12315平台向被申请人提出举报，举报称：</w:t>
      </w:r>
      <w:r>
        <w:rPr>
          <w:rFonts w:hint="eastAsia" w:ascii="仿宋_GB2312" w:hAnsi="仿宋_GB2312" w:eastAsia="仿宋_GB2312" w:cs="仿宋_GB2312"/>
          <w:color w:val="auto"/>
          <w:sz w:val="30"/>
          <w:szCs w:val="30"/>
          <w:lang w:eastAsia="zh-CN"/>
        </w:rPr>
        <w:t>申请人在拼多多“百宝箱优选”店铺买了一份福德一品“杨枝甘露味爆浆泡芙”，该产品标签产品类型：烘焙类糕点，加工方式：冷加工，依据</w:t>
      </w:r>
      <w:r>
        <w:rPr>
          <w:rFonts w:hint="eastAsia" w:ascii="仿宋_GB2312" w:hAnsi="仿宋_GB2312" w:eastAsia="仿宋_GB2312" w:cs="仿宋_GB2312"/>
          <w:color w:val="auto"/>
          <w:sz w:val="30"/>
          <w:szCs w:val="30"/>
          <w:lang w:val="en-US" w:eastAsia="zh-CN"/>
        </w:rPr>
        <w:t>GB</w:t>
      </w:r>
      <w:r>
        <w:rPr>
          <w:rFonts w:hint="eastAsia" w:ascii="华文中宋" w:hAnsi="华文中宋" w:eastAsia="华文中宋" w:cs="华文中宋"/>
          <w:color w:val="auto"/>
          <w:sz w:val="30"/>
          <w:szCs w:val="30"/>
          <w:lang w:val="en-US" w:eastAsia="zh-CN"/>
        </w:rPr>
        <w:t>/</w:t>
      </w:r>
      <w:r>
        <w:rPr>
          <w:rFonts w:hint="eastAsia" w:ascii="仿宋_GB2312" w:hAnsi="仿宋_GB2312" w:eastAsia="仿宋_GB2312" w:cs="仿宋_GB2312"/>
          <w:color w:val="auto"/>
          <w:sz w:val="30"/>
          <w:szCs w:val="30"/>
          <w:lang w:val="en-US" w:eastAsia="zh-CN"/>
        </w:rPr>
        <w:t>T30645（糕点分类标准）2.1.1.1烘烤糕点的定义为：以烘烤为最终熟制工艺的糕点。该产品的最后一步是夹心（注心）馅料，产品类型应该是夹心（注心）类糕点。该爆浆泡芙产品类型标注错误，违反了《中华人民共和国食品安全法》第71条，存在产品标签与实物不符合的上市销售。</w:t>
      </w:r>
      <w:r>
        <w:rPr>
          <w:rFonts w:hint="eastAsia" w:ascii="仿宋_GB2312" w:hAnsi="仿宋_GB2312" w:eastAsia="仿宋_GB2312" w:cs="仿宋_GB2312"/>
          <w:color w:val="auto"/>
          <w:sz w:val="30"/>
          <w:szCs w:val="30"/>
          <w:lang w:eastAsia="zh-CN"/>
        </w:rPr>
        <w:t>请求查处并奖励。</w:t>
      </w:r>
    </w:p>
    <w:p w14:paraId="7CCDA01B">
      <w:pPr>
        <w:widowControl/>
        <w:adjustRightInd/>
        <w:spacing w:after="0" w:line="560" w:lineRule="exact"/>
        <w:ind w:firstLine="600" w:firstLineChars="200"/>
        <w:rPr>
          <w:rFonts w:hint="eastAsia" w:ascii="仿宋_GB2312" w:hAnsi="仿宋_GB2312" w:eastAsia="仿宋_GB2312" w:cs="仿宋_GB2312"/>
          <w:color w:val="auto"/>
          <w:sz w:val="30"/>
          <w:szCs w:val="30"/>
          <w:lang w:eastAsia="en-US"/>
        </w:rPr>
      </w:pPr>
      <w:r>
        <w:rPr>
          <w:rFonts w:hint="eastAsia" w:ascii="仿宋_GB2312" w:hAnsi="仿宋_GB2312" w:eastAsia="仿宋_GB2312" w:cs="仿宋_GB2312"/>
          <w:color w:val="auto"/>
          <w:sz w:val="30"/>
          <w:szCs w:val="30"/>
          <w:lang w:eastAsia="zh-CN"/>
        </w:rPr>
        <w:t>2024年1</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24</w:t>
      </w:r>
      <w:r>
        <w:rPr>
          <w:rFonts w:hint="eastAsia" w:ascii="仿宋_GB2312" w:hAnsi="仿宋_GB2312" w:eastAsia="仿宋_GB2312" w:cs="仿宋_GB2312"/>
          <w:color w:val="auto"/>
          <w:sz w:val="30"/>
          <w:szCs w:val="30"/>
          <w:lang w:eastAsia="zh-CN"/>
        </w:rPr>
        <w:t>日，被申请人收到申请人平台举报</w:t>
      </w:r>
      <w:r>
        <w:rPr>
          <w:rFonts w:hint="eastAsia" w:ascii="仿宋_GB2312" w:hAnsi="仿宋_GB2312" w:eastAsia="仿宋_GB2312" w:cs="仿宋_GB2312"/>
          <w:color w:val="auto"/>
          <w:sz w:val="30"/>
          <w:szCs w:val="30"/>
          <w:lang w:val="en-US" w:eastAsia="zh-CN"/>
        </w:rPr>
        <w:t>信</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12月25</w:t>
      </w:r>
      <w:r>
        <w:rPr>
          <w:rFonts w:hint="eastAsia" w:ascii="仿宋_GB2312" w:hAnsi="仿宋_GB2312" w:eastAsia="仿宋_GB2312" w:cs="仿宋_GB2312"/>
          <w:color w:val="auto"/>
          <w:sz w:val="30"/>
          <w:szCs w:val="30"/>
          <w:lang w:eastAsia="zh-CN"/>
        </w:rPr>
        <w:t>日办理案件来源登记。</w:t>
      </w:r>
      <w:r>
        <w:rPr>
          <w:rFonts w:hint="eastAsia" w:ascii="仿宋_GB2312" w:hAnsi="仿宋_GB2312" w:eastAsia="仿宋_GB2312" w:cs="仿宋_GB2312"/>
          <w:color w:val="auto"/>
          <w:sz w:val="30"/>
          <w:szCs w:val="30"/>
          <w:lang w:val="en-US" w:eastAsia="zh-CN"/>
        </w:rPr>
        <w:t>2025年1</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10</w:t>
      </w:r>
      <w:r>
        <w:rPr>
          <w:rFonts w:hint="eastAsia" w:ascii="仿宋_GB2312" w:hAnsi="仿宋_GB2312" w:eastAsia="仿宋_GB2312" w:cs="仿宋_GB2312"/>
          <w:color w:val="auto"/>
          <w:sz w:val="30"/>
          <w:szCs w:val="30"/>
          <w:lang w:eastAsia="zh-CN"/>
        </w:rPr>
        <w:t>日，申请人对被举报人生产场所现场核查。在包装材料间发现有“杨枝甘露味爆浆泡芙”产品的包装膜，包装膜标示有“产品名称、产品类型、配料、食品添加剂、执行标准、食用方法、生产许可证编号、营养成分表、贮存条件、保质期、生产日期、温馨提示、制造商、产地”等内容，其中涉案产品包装膜上标注为夹心（注心）类糕点，加工方式为冷加工。</w:t>
      </w:r>
      <w:r>
        <w:rPr>
          <w:rFonts w:hint="eastAsia" w:ascii="仿宋_GB2312" w:hAnsi="仿宋_GB2312" w:eastAsia="仿宋_GB2312" w:cs="仿宋_GB2312"/>
          <w:snapToGrid/>
          <w:color w:val="auto"/>
          <w:spacing w:val="0"/>
          <w:kern w:val="2"/>
          <w:sz w:val="30"/>
          <w:szCs w:val="30"/>
          <w:lang w:val="en-US" w:eastAsia="zh-CN" w:bidi="ar-SA"/>
        </w:rPr>
        <w:t>被投诉举报人称</w:t>
      </w:r>
      <w:r>
        <w:rPr>
          <w:rFonts w:hint="eastAsia" w:ascii="仿宋_GB2312" w:hAnsi="仿宋_GB2312" w:eastAsia="仿宋_GB2312" w:cs="仿宋_GB2312"/>
          <w:b w:val="0"/>
          <w:bCs w:val="0"/>
          <w:snapToGrid/>
          <w:color w:val="auto"/>
          <w:spacing w:val="0"/>
          <w:kern w:val="2"/>
          <w:sz w:val="30"/>
          <w:szCs w:val="30"/>
          <w:lang w:val="en-US" w:eastAsia="en-US" w:bidi="ar-SA"/>
        </w:rPr>
        <w:t>涉案产品</w:t>
      </w:r>
      <w:r>
        <w:rPr>
          <w:rFonts w:hint="eastAsia" w:ascii="仿宋_GB2312" w:hAnsi="仿宋_GB2312" w:eastAsia="仿宋_GB2312" w:cs="仿宋_GB2312"/>
          <w:snapToGrid/>
          <w:color w:val="auto"/>
          <w:spacing w:val="0"/>
          <w:kern w:val="2"/>
          <w:sz w:val="30"/>
          <w:szCs w:val="30"/>
          <w:lang w:val="en-US" w:eastAsia="zh-CN" w:bidi="ar-SA"/>
        </w:rPr>
        <w:t>生产加工的工艺流程是先用面粉、鸡蛋、白砂糖、植物油按比例混合搅拌，面团成形泡芙胚，再进行烘烤，冷却之后进行注馅；</w:t>
      </w:r>
      <w:r>
        <w:rPr>
          <w:rFonts w:hint="eastAsia" w:ascii="仿宋_GB2312" w:hAnsi="仿宋_GB2312" w:eastAsia="仿宋_GB2312" w:cs="仿宋_GB2312"/>
          <w:color w:val="auto"/>
          <w:sz w:val="30"/>
          <w:szCs w:val="30"/>
          <w:lang w:eastAsia="zh-CN"/>
        </w:rPr>
        <w:t>2024年10月份发现福德一品“爆浆泡芙（杨枝甘露味）标签上有错误，</w:t>
      </w:r>
      <w:r>
        <w:rPr>
          <w:rFonts w:hint="eastAsia" w:ascii="仿宋_GB2312" w:hAnsi="仿宋_GB2312" w:eastAsia="仿宋_GB2312" w:cs="仿宋_GB2312"/>
          <w:color w:val="auto"/>
          <w:sz w:val="30"/>
          <w:szCs w:val="30"/>
          <w:lang w:val="en-US" w:eastAsia="zh-CN"/>
        </w:rPr>
        <w:t>2024年11月2日</w:t>
      </w:r>
      <w:r>
        <w:rPr>
          <w:rFonts w:hint="eastAsia" w:ascii="仿宋_GB2312" w:hAnsi="仿宋_GB2312" w:eastAsia="仿宋_GB2312" w:cs="仿宋_GB2312"/>
          <w:color w:val="auto"/>
          <w:sz w:val="30"/>
          <w:szCs w:val="30"/>
          <w:lang w:eastAsia="zh-CN"/>
        </w:rPr>
        <w:t>重新设计了新的标签，2024年12月16日印制了58件，错误的标签全部当废品处理了，12月17日开始使用正确的福德一品“爆浆泡芙（杨枝甘露味）”标签进行包装。</w:t>
      </w:r>
    </w:p>
    <w:p w14:paraId="37D0568E">
      <w:pPr>
        <w:pStyle w:val="5"/>
        <w:adjustRightInd/>
        <w:spacing w:after="0" w:line="560" w:lineRule="exact"/>
        <w:ind w:firstLine="600" w:firstLineChars="200"/>
        <w:rPr>
          <w:rFonts w:hint="eastAsia" w:ascii="仿宋_GB2312" w:hAnsi="仿宋_GB2312" w:eastAsia="仿宋_GB2312" w:cs="仿宋_GB2312"/>
          <w:color w:val="auto"/>
          <w:sz w:val="30"/>
          <w:szCs w:val="30"/>
          <w:lang w:val="en-US" w:eastAsia="en-US"/>
        </w:rPr>
      </w:pPr>
      <w:r>
        <w:rPr>
          <w:rFonts w:hint="eastAsia" w:ascii="仿宋_GB2312" w:hAnsi="仿宋_GB2312" w:eastAsia="仿宋_GB2312" w:cs="仿宋_GB2312"/>
          <w:color w:val="auto"/>
          <w:sz w:val="30"/>
          <w:szCs w:val="30"/>
          <w:lang w:eastAsia="en-US"/>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en-US"/>
        </w:rPr>
        <w:t>年</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en-US"/>
        </w:rPr>
        <w:t>月</w:t>
      </w:r>
      <w:r>
        <w:rPr>
          <w:rFonts w:hint="eastAsia" w:ascii="仿宋_GB2312" w:hAnsi="仿宋_GB2312" w:eastAsia="仿宋_GB2312" w:cs="仿宋_GB2312"/>
          <w:color w:val="auto"/>
          <w:sz w:val="30"/>
          <w:szCs w:val="30"/>
          <w:lang w:val="en-US" w:eastAsia="zh-CN"/>
        </w:rPr>
        <w:t>13</w:t>
      </w:r>
      <w:r>
        <w:rPr>
          <w:rFonts w:hint="eastAsia" w:ascii="仿宋_GB2312" w:hAnsi="仿宋_GB2312" w:eastAsia="仿宋_GB2312" w:cs="仿宋_GB2312"/>
          <w:color w:val="auto"/>
          <w:sz w:val="30"/>
          <w:szCs w:val="30"/>
          <w:lang w:eastAsia="en-US"/>
        </w:rPr>
        <w:t>日，被申请人</w:t>
      </w:r>
      <w:r>
        <w:rPr>
          <w:rFonts w:hint="eastAsia" w:ascii="仿宋_GB2312" w:hAnsi="仿宋_GB2312" w:eastAsia="仿宋_GB2312" w:cs="仿宋_GB2312"/>
          <w:color w:val="auto"/>
          <w:sz w:val="30"/>
          <w:szCs w:val="30"/>
          <w:lang w:eastAsia="zh-CN"/>
        </w:rPr>
        <w:t>审批决定不予立案，</w:t>
      </w:r>
      <w:r>
        <w:rPr>
          <w:rFonts w:hint="eastAsia" w:ascii="仿宋_GB2312" w:hAnsi="仿宋_GB2312" w:eastAsia="仿宋_GB2312" w:cs="仿宋_GB2312"/>
          <w:color w:val="auto"/>
          <w:sz w:val="30"/>
          <w:szCs w:val="30"/>
          <w:lang w:eastAsia="en-US"/>
        </w:rPr>
        <w:t>作出举报不予立案告知书，告知书载明：“</w:t>
      </w:r>
      <w:r>
        <w:rPr>
          <w:rFonts w:hint="eastAsia" w:ascii="仿宋_GB2312" w:hAnsi="仿宋_GB2312" w:eastAsia="仿宋_GB2312" w:cs="仿宋_GB2312"/>
          <w:color w:val="auto"/>
          <w:sz w:val="30"/>
          <w:szCs w:val="30"/>
          <w:lang w:eastAsia="zh-CN"/>
        </w:rPr>
        <w:t>经查，涉案产品属于《糕点分类》</w:t>
      </w:r>
      <w:r>
        <w:rPr>
          <w:rFonts w:hint="eastAsia" w:ascii="仿宋_GB2312" w:hAnsi="仿宋_GB2312" w:eastAsia="仿宋_GB2312" w:cs="仿宋_GB2312"/>
          <w:color w:val="auto"/>
          <w:sz w:val="30"/>
          <w:szCs w:val="30"/>
          <w:lang w:val="en-US" w:eastAsia="zh-CN"/>
        </w:rPr>
        <w:t>GB</w:t>
      </w:r>
      <w:r>
        <w:rPr>
          <w:rFonts w:hint="eastAsia" w:ascii="华文中宋" w:hAnsi="华文中宋" w:eastAsia="华文中宋" w:cs="华文中宋"/>
          <w:color w:val="auto"/>
          <w:sz w:val="30"/>
          <w:szCs w:val="30"/>
          <w:lang w:val="en-US" w:eastAsia="zh-CN"/>
        </w:rPr>
        <w:t>/</w:t>
      </w:r>
      <w:r>
        <w:rPr>
          <w:rFonts w:hint="eastAsia" w:ascii="仿宋_GB2312" w:hAnsi="仿宋_GB2312" w:eastAsia="仿宋_GB2312" w:cs="仿宋_GB2312"/>
          <w:color w:val="auto"/>
          <w:sz w:val="30"/>
          <w:szCs w:val="30"/>
          <w:lang w:val="en-US" w:eastAsia="zh-CN"/>
        </w:rPr>
        <w:t>T 30645按生产工艺分类冷加工糕点中的夹心（注心）类，标签标示产品类型为烘烤类糕点，不符合《预包装食品标签通则》GB7718-2011第3.1条的规定，在此举报之前，我局已接到过该产品相同内容的投诉举报，被举报人已经改正该违法行为。</w:t>
      </w:r>
      <w:r>
        <w:rPr>
          <w:rFonts w:hint="eastAsia" w:ascii="仿宋_GB2312" w:hAnsi="仿宋_GB2312" w:eastAsia="仿宋_GB2312" w:cs="仿宋_GB2312"/>
          <w:snapToGrid/>
          <w:color w:val="auto"/>
          <w:spacing w:val="0"/>
          <w:kern w:val="2"/>
          <w:sz w:val="30"/>
          <w:szCs w:val="30"/>
          <w:lang w:val="en-US" w:eastAsia="en-US" w:bidi="ar-SA"/>
        </w:rPr>
        <w:t>鉴于该违法行为不符合《市场监督管理行政处罚程序规定》第十九条第一款第</w:t>
      </w:r>
      <w:r>
        <w:rPr>
          <w:rFonts w:hint="eastAsia" w:ascii="仿宋_GB2312" w:hAnsi="仿宋_GB2312" w:eastAsia="仿宋_GB2312" w:cs="仿宋_GB2312"/>
          <w:snapToGrid/>
          <w:color w:val="auto"/>
          <w:spacing w:val="0"/>
          <w:kern w:val="2"/>
          <w:sz w:val="30"/>
          <w:szCs w:val="30"/>
          <w:lang w:val="en-US" w:eastAsia="zh-CN" w:bidi="ar-SA"/>
        </w:rPr>
        <w:t>（</w:t>
      </w:r>
      <w:r>
        <w:rPr>
          <w:rFonts w:hint="eastAsia" w:ascii="仿宋_GB2312" w:hAnsi="仿宋_GB2312" w:eastAsia="仿宋_GB2312" w:cs="仿宋_GB2312"/>
          <w:snapToGrid/>
          <w:color w:val="auto"/>
          <w:spacing w:val="0"/>
          <w:kern w:val="2"/>
          <w:sz w:val="30"/>
          <w:szCs w:val="30"/>
          <w:lang w:val="en-US" w:eastAsia="en-US" w:bidi="ar-SA"/>
        </w:rPr>
        <w:t>二</w:t>
      </w:r>
      <w:r>
        <w:rPr>
          <w:rFonts w:hint="eastAsia" w:ascii="仿宋_GB2312" w:hAnsi="仿宋_GB2312" w:eastAsia="仿宋_GB2312" w:cs="仿宋_GB2312"/>
          <w:snapToGrid/>
          <w:color w:val="auto"/>
          <w:spacing w:val="0"/>
          <w:kern w:val="2"/>
          <w:sz w:val="30"/>
          <w:szCs w:val="30"/>
          <w:lang w:val="en-US" w:eastAsia="zh-CN" w:bidi="ar-SA"/>
        </w:rPr>
        <w:t>）</w:t>
      </w:r>
      <w:r>
        <w:rPr>
          <w:rFonts w:hint="eastAsia" w:ascii="仿宋_GB2312" w:hAnsi="仿宋_GB2312" w:eastAsia="仿宋_GB2312" w:cs="仿宋_GB2312"/>
          <w:snapToGrid/>
          <w:color w:val="auto"/>
          <w:spacing w:val="0"/>
          <w:kern w:val="2"/>
          <w:sz w:val="30"/>
          <w:szCs w:val="30"/>
          <w:lang w:val="en-US" w:eastAsia="en-US" w:bidi="ar-SA"/>
        </w:rPr>
        <w:t>项规定的立案条件，就举报事项不予立案。</w:t>
      </w:r>
      <w:r>
        <w:rPr>
          <w:rFonts w:hint="eastAsia" w:ascii="仿宋_GB2312" w:hAnsi="仿宋_GB2312" w:eastAsia="仿宋_GB2312" w:cs="仿宋_GB2312"/>
          <w:color w:val="auto"/>
          <w:kern w:val="2"/>
          <w:sz w:val="30"/>
          <w:szCs w:val="30"/>
          <w:lang w:val="en-US" w:eastAsia="en-US" w:bidi="ar-SA"/>
        </w:rPr>
        <w:t>”</w:t>
      </w:r>
      <w:r>
        <w:rPr>
          <w:rFonts w:hint="eastAsia" w:ascii="仿宋_GB2312" w:hAnsi="仿宋_GB2312" w:eastAsia="仿宋_GB2312" w:cs="仿宋_GB2312"/>
          <w:color w:val="auto"/>
          <w:kern w:val="2"/>
          <w:sz w:val="30"/>
          <w:szCs w:val="30"/>
          <w:lang w:val="en-US" w:eastAsia="zh-CN" w:bidi="ar-SA"/>
        </w:rPr>
        <w:t>2025年1月14日</w:t>
      </w:r>
      <w:r>
        <w:rPr>
          <w:rFonts w:hint="eastAsia" w:ascii="仿宋_GB2312" w:hAnsi="仿宋_GB2312" w:eastAsia="仿宋_GB2312" w:cs="仿宋_GB2312"/>
          <w:color w:val="auto"/>
          <w:kern w:val="2"/>
          <w:sz w:val="30"/>
          <w:szCs w:val="30"/>
          <w:lang w:val="en-US" w:eastAsia="en-US" w:bidi="ar-SA"/>
        </w:rPr>
        <w:t>被申请人</w:t>
      </w:r>
      <w:r>
        <w:rPr>
          <w:rFonts w:hint="eastAsia" w:ascii="仿宋_GB2312" w:hAnsi="仿宋_GB2312" w:eastAsia="仿宋_GB2312" w:cs="仿宋_GB2312"/>
          <w:color w:val="auto"/>
          <w:kern w:val="2"/>
          <w:sz w:val="30"/>
          <w:szCs w:val="30"/>
          <w:lang w:val="en-US" w:eastAsia="zh-CN" w:bidi="ar-SA"/>
        </w:rPr>
        <w:t>通过12315平台</w:t>
      </w:r>
      <w:r>
        <w:rPr>
          <w:rFonts w:hint="eastAsia" w:ascii="仿宋_GB2312" w:hAnsi="仿宋_GB2312" w:eastAsia="仿宋_GB2312" w:cs="仿宋_GB2312"/>
          <w:color w:val="auto"/>
          <w:kern w:val="2"/>
          <w:sz w:val="30"/>
          <w:szCs w:val="30"/>
          <w:lang w:val="en-US" w:eastAsia="en-US" w:bidi="ar-SA"/>
        </w:rPr>
        <w:t>将上述</w:t>
      </w:r>
      <w:r>
        <w:rPr>
          <w:rFonts w:hint="eastAsia" w:ascii="仿宋_GB2312" w:hAnsi="仿宋_GB2312" w:eastAsia="仿宋_GB2312" w:cs="仿宋_GB2312"/>
          <w:color w:val="auto"/>
          <w:kern w:val="2"/>
          <w:sz w:val="30"/>
          <w:szCs w:val="30"/>
          <w:lang w:val="en-US" w:eastAsia="zh-CN" w:bidi="ar-SA"/>
        </w:rPr>
        <w:t>不立案</w:t>
      </w:r>
      <w:r>
        <w:rPr>
          <w:rFonts w:hint="eastAsia" w:ascii="仿宋_GB2312" w:hAnsi="仿宋_GB2312" w:eastAsia="仿宋_GB2312" w:cs="仿宋_GB2312"/>
          <w:color w:val="auto"/>
          <w:kern w:val="2"/>
          <w:sz w:val="30"/>
          <w:szCs w:val="30"/>
          <w:lang w:val="en-US" w:eastAsia="en-US" w:bidi="ar-SA"/>
        </w:rPr>
        <w:t>决定</w:t>
      </w:r>
      <w:r>
        <w:rPr>
          <w:rFonts w:hint="eastAsia" w:ascii="仿宋_GB2312" w:hAnsi="仿宋_GB2312" w:eastAsia="仿宋_GB2312" w:cs="仿宋_GB2312"/>
          <w:color w:val="auto"/>
          <w:kern w:val="2"/>
          <w:sz w:val="30"/>
          <w:szCs w:val="30"/>
          <w:lang w:val="en-US" w:eastAsia="zh-CN" w:bidi="ar-SA"/>
        </w:rPr>
        <w:t>告知</w:t>
      </w:r>
      <w:r>
        <w:rPr>
          <w:rFonts w:hint="eastAsia" w:ascii="仿宋_GB2312" w:hAnsi="仿宋_GB2312" w:eastAsia="仿宋_GB2312" w:cs="仿宋_GB2312"/>
          <w:color w:val="auto"/>
          <w:kern w:val="2"/>
          <w:sz w:val="30"/>
          <w:szCs w:val="30"/>
          <w:lang w:val="en-US" w:eastAsia="en-US" w:bidi="ar-SA"/>
        </w:rPr>
        <w:t>申请人。</w:t>
      </w:r>
    </w:p>
    <w:p w14:paraId="0E6DFAAD">
      <w:pPr>
        <w:keepNext w:val="0"/>
        <w:keepLines w:val="0"/>
        <w:pageBreakBefore w:val="0"/>
        <w:numPr>
          <w:ilvl w:val="255"/>
          <w:numId w:val="0"/>
        </w:numPr>
        <w:kinsoku/>
        <w:wordWrap w:val="0"/>
        <w:overflowPunct/>
        <w:topLinePunct w:val="0"/>
        <w:autoSpaceDE/>
        <w:autoSpaceDN/>
        <w:bidi w:val="0"/>
        <w:adjustRightInd w:val="0"/>
        <w:snapToGrid/>
        <w:spacing w:afterLines="0"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eastAsia="en-US"/>
        </w:rPr>
        <w:t>另查明，</w:t>
      </w:r>
      <w:r>
        <w:rPr>
          <w:rFonts w:hint="eastAsia" w:ascii="仿宋_GB2312" w:hAnsi="仿宋_GB2312" w:eastAsia="仿宋_GB2312" w:cs="仿宋_GB2312"/>
          <w:color w:val="auto"/>
          <w:sz w:val="30"/>
          <w:szCs w:val="30"/>
          <w:lang w:eastAsia="zh-CN"/>
        </w:rPr>
        <w:t>被投诉举报人提供了湘潭市丰福星</w:t>
      </w:r>
      <w:r>
        <w:rPr>
          <w:rFonts w:hint="eastAsia" w:ascii="仿宋_GB2312" w:hAnsi="仿宋_GB2312" w:eastAsia="仿宋_GB2312" w:cs="仿宋_GB2312"/>
          <w:color w:val="auto"/>
          <w:sz w:val="30"/>
          <w:szCs w:val="30"/>
          <w:lang w:eastAsia="en-US"/>
        </w:rPr>
        <w:t>食品有限公司</w:t>
      </w:r>
      <w:r>
        <w:rPr>
          <w:rFonts w:hint="eastAsia" w:ascii="仿宋_GB2312" w:hAnsi="仿宋_GB2312" w:eastAsia="仿宋_GB2312" w:cs="仿宋_GB2312"/>
          <w:color w:val="auto"/>
          <w:sz w:val="30"/>
          <w:szCs w:val="30"/>
          <w:lang w:val="en-US" w:eastAsia="en-US"/>
        </w:rPr>
        <w:t>出厂检验报告单</w:t>
      </w:r>
      <w:r>
        <w:rPr>
          <w:rFonts w:hint="eastAsia" w:ascii="仿宋_GB2312" w:hAnsi="仿宋_GB2312" w:eastAsia="仿宋_GB2312" w:cs="仿宋_GB2312"/>
          <w:color w:val="auto"/>
          <w:sz w:val="30"/>
          <w:szCs w:val="30"/>
          <w:lang w:val="en-US" w:eastAsia="zh-CN"/>
        </w:rPr>
        <w:t>，拟证明</w:t>
      </w:r>
      <w:r>
        <w:rPr>
          <w:rFonts w:hint="eastAsia" w:ascii="仿宋_GB2312" w:hAnsi="仿宋_GB2312" w:eastAsia="仿宋_GB2312" w:cs="仿宋_GB2312"/>
          <w:color w:val="auto"/>
          <w:sz w:val="30"/>
          <w:szCs w:val="30"/>
          <w:lang w:val="en-US" w:eastAsia="en-US"/>
        </w:rPr>
        <w:t>涉案食品“</w:t>
      </w:r>
      <w:r>
        <w:rPr>
          <w:rFonts w:hint="eastAsia" w:ascii="仿宋_GB2312" w:hAnsi="仿宋_GB2312" w:eastAsia="仿宋_GB2312" w:cs="仿宋_GB2312"/>
          <w:color w:val="auto"/>
          <w:sz w:val="30"/>
          <w:szCs w:val="30"/>
          <w:lang w:val="en-US" w:eastAsia="zh-CN"/>
        </w:rPr>
        <w:t>爆浆泡芙</w:t>
      </w:r>
      <w:r>
        <w:rPr>
          <w:rFonts w:hint="eastAsia" w:ascii="仿宋_GB2312" w:hAnsi="仿宋_GB2312" w:eastAsia="仿宋_GB2312" w:cs="仿宋_GB2312"/>
          <w:color w:val="auto"/>
          <w:sz w:val="30"/>
          <w:szCs w:val="30"/>
          <w:lang w:val="en-US" w:eastAsia="en-US"/>
        </w:rPr>
        <w:t>”经检验为合格食品。</w:t>
      </w:r>
    </w:p>
    <w:p w14:paraId="32588702">
      <w:pPr>
        <w:numPr>
          <w:ilvl w:val="255"/>
          <w:numId w:val="0"/>
        </w:numPr>
        <w:wordWrap w:val="0"/>
        <w:adjustRightInd w:val="0"/>
        <w:spacing w:afterLines="0" w:line="560" w:lineRule="exact"/>
        <w:ind w:firstLine="600" w:firstLineChars="200"/>
        <w:rPr>
          <w:rFonts w:hint="eastAsia" w:ascii="仿宋_GB2312" w:hAnsi="仿宋_GB2312" w:eastAsia="仿宋_GB2312" w:cs="仿宋_GB2312"/>
          <w:color w:val="auto"/>
          <w:sz w:val="30"/>
          <w:szCs w:val="30"/>
          <w:lang w:eastAsia="en-US"/>
        </w:rPr>
      </w:pPr>
      <w:r>
        <w:rPr>
          <w:rFonts w:hint="eastAsia" w:ascii="仿宋_GB2312" w:hAnsi="仿宋_GB2312" w:eastAsia="仿宋_GB2312" w:cs="仿宋_GB2312"/>
          <w:color w:val="auto"/>
          <w:sz w:val="30"/>
          <w:szCs w:val="30"/>
          <w:lang w:eastAsia="en-US"/>
        </w:rPr>
        <w:t>申请人对被申请人202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en-US"/>
        </w:rPr>
        <w:t>年</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en-US"/>
        </w:rPr>
        <w:t>月</w:t>
      </w:r>
      <w:r>
        <w:rPr>
          <w:rFonts w:hint="eastAsia" w:ascii="仿宋_GB2312" w:hAnsi="仿宋_GB2312" w:eastAsia="仿宋_GB2312" w:cs="仿宋_GB2312"/>
          <w:color w:val="auto"/>
          <w:sz w:val="30"/>
          <w:szCs w:val="30"/>
          <w:lang w:val="en-US" w:eastAsia="zh-CN"/>
        </w:rPr>
        <w:t>13</w:t>
      </w:r>
      <w:r>
        <w:rPr>
          <w:rFonts w:hint="eastAsia" w:ascii="仿宋_GB2312" w:hAnsi="仿宋_GB2312" w:eastAsia="仿宋_GB2312" w:cs="仿宋_GB2312"/>
          <w:color w:val="auto"/>
          <w:sz w:val="30"/>
          <w:szCs w:val="30"/>
          <w:lang w:eastAsia="en-US"/>
        </w:rPr>
        <w:t>日作出</w:t>
      </w:r>
      <w:r>
        <w:rPr>
          <w:rFonts w:hint="eastAsia" w:ascii="仿宋_GB2312" w:hAnsi="仿宋_GB2312" w:eastAsia="仿宋_GB2312" w:cs="仿宋_GB2312"/>
          <w:color w:val="auto"/>
          <w:sz w:val="30"/>
          <w:szCs w:val="30"/>
          <w:lang w:eastAsia="zh-CN"/>
        </w:rPr>
        <w:t>的</w:t>
      </w:r>
      <w:r>
        <w:rPr>
          <w:rFonts w:hint="eastAsia" w:ascii="仿宋_GB2312" w:hAnsi="仿宋_GB2312" w:eastAsia="仿宋_GB2312" w:cs="仿宋_GB2312"/>
          <w:color w:val="auto"/>
          <w:sz w:val="30"/>
          <w:szCs w:val="30"/>
          <w:lang w:eastAsia="en-US"/>
        </w:rPr>
        <w:t>举报不予立案决定不服，向本机关</w:t>
      </w:r>
      <w:r>
        <w:rPr>
          <w:rFonts w:hint="eastAsia" w:ascii="仿宋_GB2312" w:hAnsi="仿宋_GB2312" w:eastAsia="仿宋_GB2312" w:cs="仿宋_GB2312"/>
          <w:color w:val="auto"/>
          <w:sz w:val="30"/>
          <w:szCs w:val="30"/>
          <w:lang w:val="en-US" w:eastAsia="en-US"/>
        </w:rPr>
        <w:t>邮寄</w:t>
      </w:r>
      <w:r>
        <w:rPr>
          <w:rFonts w:hint="eastAsia" w:ascii="仿宋_GB2312" w:hAnsi="仿宋_GB2312" w:eastAsia="仿宋_GB2312" w:cs="仿宋_GB2312"/>
          <w:color w:val="auto"/>
          <w:sz w:val="30"/>
          <w:szCs w:val="30"/>
          <w:lang w:eastAsia="en-US"/>
        </w:rPr>
        <w:t>提交复议申请。</w:t>
      </w:r>
    </w:p>
    <w:p w14:paraId="34E6473D">
      <w:pPr>
        <w:keepNext w:val="0"/>
        <w:keepLines w:val="0"/>
        <w:pageBreakBefore w:val="0"/>
        <w:widowControl/>
        <w:kinsoku/>
        <w:wordWrap w:val="0"/>
        <w:overflowPunct/>
        <w:topLinePunct w:val="0"/>
        <w:autoSpaceDE/>
        <w:autoSpaceDN/>
        <w:bidi w:val="0"/>
        <w:adjustRightInd w:val="0"/>
        <w:snapToGrid/>
        <w:spacing w:afterLines="0"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以上事实有申请人提供的行政复议申请书、</w:t>
      </w:r>
      <w:r>
        <w:rPr>
          <w:rFonts w:hint="eastAsia" w:ascii="仿宋_GB2312" w:hAnsi="仿宋_GB2312" w:eastAsia="仿宋_GB2312" w:cs="仿宋_GB2312"/>
          <w:color w:val="auto"/>
          <w:sz w:val="30"/>
          <w:szCs w:val="30"/>
          <w:lang w:eastAsia="zh-CN"/>
        </w:rPr>
        <w:t>居民身份证复印件、拼多多平台购物支付凭据、个人账户交易明细、案涉食品外包装及标签照片、平台举报详情截图、举报不予立案告知书</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平台举报详情截图</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案件来源登记表、营业执照、食品生产许可证、委托代理人居民身份证复印件、</w:t>
      </w:r>
      <w:r>
        <w:rPr>
          <w:rFonts w:hint="eastAsia" w:ascii="仿宋_GB2312" w:hAnsi="仿宋_GB2312" w:eastAsia="仿宋_GB2312" w:cs="仿宋_GB2312"/>
          <w:color w:val="auto"/>
          <w:sz w:val="30"/>
          <w:szCs w:val="30"/>
        </w:rPr>
        <w:t>现场笔录、</w:t>
      </w:r>
      <w:r>
        <w:rPr>
          <w:rFonts w:hint="eastAsia" w:ascii="仿宋_GB2312" w:hAnsi="仿宋_GB2312" w:eastAsia="仿宋_GB2312" w:cs="仿宋_GB2312"/>
          <w:color w:val="auto"/>
          <w:sz w:val="30"/>
          <w:szCs w:val="30"/>
          <w:lang w:eastAsia="zh-CN"/>
        </w:rPr>
        <w:t>询问笔录、现场照片、</w:t>
      </w:r>
      <w:r>
        <w:rPr>
          <w:rFonts w:hint="eastAsia" w:ascii="仿宋_GB2312" w:hAnsi="仿宋_GB2312" w:eastAsia="仿宋_GB2312" w:cs="仿宋_GB2312"/>
          <w:color w:val="auto"/>
          <w:sz w:val="30"/>
          <w:szCs w:val="30"/>
          <w:lang w:val="en-US" w:eastAsia="en-US"/>
        </w:rPr>
        <w:t>出厂检验报告单</w:t>
      </w:r>
      <w:r>
        <w:rPr>
          <w:rFonts w:hint="eastAsia" w:ascii="仿宋_GB2312" w:hAnsi="仿宋_GB2312" w:eastAsia="仿宋_GB2312" w:cs="仿宋_GB2312"/>
          <w:color w:val="auto"/>
          <w:sz w:val="30"/>
          <w:szCs w:val="30"/>
          <w:lang w:val="en-US" w:eastAsia="zh-CN"/>
        </w:rPr>
        <w:t>、不予立案审批表、</w:t>
      </w:r>
      <w:r>
        <w:rPr>
          <w:rFonts w:hint="eastAsia" w:ascii="仿宋_GB2312" w:hAnsi="仿宋_GB2312" w:eastAsia="仿宋_GB2312" w:cs="仿宋_GB2312"/>
          <w:color w:val="auto"/>
          <w:sz w:val="30"/>
          <w:szCs w:val="30"/>
          <w:lang w:eastAsia="zh-CN"/>
        </w:rPr>
        <w:t>举报不予立案告知书、</w:t>
      </w:r>
      <w:r>
        <w:rPr>
          <w:rFonts w:hint="eastAsia" w:ascii="仿宋_GB2312" w:hAnsi="仿宋_GB2312" w:eastAsia="仿宋_GB2312" w:cs="仿宋_GB2312"/>
          <w:color w:val="auto"/>
          <w:sz w:val="30"/>
          <w:szCs w:val="30"/>
          <w:lang w:val="en-US" w:eastAsia="zh-CN"/>
        </w:rPr>
        <w:t>文书送达回证</w:t>
      </w:r>
      <w:r>
        <w:rPr>
          <w:rFonts w:hint="eastAsia" w:ascii="仿宋_GB2312" w:hAnsi="仿宋_GB2312" w:eastAsia="仿宋_GB2312" w:cs="仿宋_GB2312"/>
          <w:color w:val="auto"/>
          <w:sz w:val="30"/>
          <w:szCs w:val="30"/>
        </w:rPr>
        <w:t>证据证实。</w:t>
      </w:r>
    </w:p>
    <w:p w14:paraId="186DE4AC">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4ECC32AF">
      <w:pPr>
        <w:widowControl/>
        <w:numPr>
          <w:ilvl w:val="255"/>
          <w:numId w:val="0"/>
        </w:numPr>
        <w:adjustRightInd w:val="0"/>
        <w:spacing w:afterLines="0" w:line="560" w:lineRule="exact"/>
        <w:ind w:firstLine="600" w:firstLineChars="2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《市场监督管理投诉举报处理暂行办法》第四条第二款规定，县级以上地方市场监督管理部门负责本行政区域内的投诉举报处理工作。</w:t>
      </w:r>
      <w:r>
        <w:rPr>
          <w:rFonts w:hint="eastAsia" w:ascii="仿宋_GB2312" w:hAnsi="仿宋_GB2312" w:eastAsia="仿宋_GB2312" w:cs="仿宋_GB2312"/>
          <w:color w:val="auto"/>
          <w:sz w:val="30"/>
          <w:szCs w:val="30"/>
        </w:rPr>
        <w:t>第二十五条规定，举报由被举报行为发生地的县级以上市场监督管理部门处理。本案被举报人位于湘潭</w:t>
      </w:r>
      <w:r>
        <w:rPr>
          <w:rFonts w:hint="eastAsia" w:ascii="仿宋_GB2312" w:hAnsi="仿宋_GB2312" w:eastAsia="仿宋_GB2312" w:cs="仿宋_GB2312"/>
          <w:color w:val="auto"/>
          <w:sz w:val="30"/>
          <w:szCs w:val="30"/>
          <w:lang w:eastAsia="zh-CN"/>
        </w:rPr>
        <w:t>易俗河</w:t>
      </w:r>
      <w:r>
        <w:rPr>
          <w:rFonts w:hint="eastAsia" w:ascii="仿宋_GB2312" w:hAnsi="仿宋_GB2312" w:eastAsia="仿宋_GB2312" w:cs="仿宋_GB2312"/>
          <w:color w:val="auto"/>
          <w:sz w:val="30"/>
          <w:szCs w:val="30"/>
        </w:rPr>
        <w:t>镇，被申请人作为湘潭县市场监督管理部门，负责本行政区域内的投诉举报处理工作，被申请人</w:t>
      </w:r>
      <w:r>
        <w:rPr>
          <w:rFonts w:hint="eastAsia" w:ascii="仿宋_GB2312" w:hAnsi="仿宋_GB2312" w:eastAsia="仿宋_GB2312" w:cs="仿宋_GB2312"/>
          <w:color w:val="auto"/>
          <w:sz w:val="30"/>
          <w:szCs w:val="30"/>
          <w:lang w:val="en-US" w:eastAsia="zh-CN"/>
        </w:rPr>
        <w:t>复议</w:t>
      </w:r>
      <w:r>
        <w:rPr>
          <w:rFonts w:hint="eastAsia" w:ascii="仿宋_GB2312" w:hAnsi="仿宋_GB2312" w:eastAsia="仿宋_GB2312" w:cs="仿宋_GB2312"/>
          <w:color w:val="auto"/>
          <w:sz w:val="30"/>
          <w:szCs w:val="30"/>
        </w:rPr>
        <w:t>主体适格。</w:t>
      </w:r>
    </w:p>
    <w:p w14:paraId="56874254">
      <w:pPr>
        <w:keepNext w:val="0"/>
        <w:keepLines w:val="0"/>
        <w:pageBreakBefore w:val="0"/>
        <w:widowControl/>
        <w:numPr>
          <w:ilvl w:val="-1"/>
          <w:numId w:val="0"/>
        </w:numPr>
        <w:kinsoku/>
        <w:wordWrap/>
        <w:overflowPunct/>
        <w:topLinePunct w:val="0"/>
        <w:autoSpaceDE/>
        <w:autoSpaceDN/>
        <w:bidi w:val="0"/>
        <w:adjustRightInd/>
        <w:snapToGrid/>
        <w:spacing w:before="0" w:afterLines="0" w:line="560" w:lineRule="exact"/>
        <w:ind w:left="0" w:firstLine="600" w:firstLineChars="200"/>
        <w:jc w:val="left"/>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i w:val="0"/>
          <w:iCs w:val="0"/>
          <w:caps w:val="0"/>
          <w:color w:val="auto"/>
          <w:spacing w:val="0"/>
          <w:kern w:val="2"/>
          <w:sz w:val="30"/>
          <w:szCs w:val="30"/>
          <w:shd w:val="clear" w:fill="auto"/>
          <w:lang w:val="en-US" w:eastAsia="zh-CN" w:bidi="ar"/>
        </w:rPr>
        <w:t>《中华人民共和国食品安全法》第七十一条第一款规定，食品和食品添加剂的标签、说明书，不得含有虚假内容，不得涉及疾病预防、治疗功能。生产经营者对其提供的标签、说明书的内容负责。</w:t>
      </w:r>
      <w:r>
        <w:rPr>
          <w:rFonts w:hint="eastAsia" w:ascii="仿宋_GB2312" w:hAnsi="仿宋_GB2312" w:eastAsia="仿宋_GB2312" w:cs="仿宋_GB2312"/>
          <w:color w:val="auto"/>
          <w:sz w:val="30"/>
          <w:szCs w:val="30"/>
          <w:lang w:eastAsia="zh-CN"/>
        </w:rPr>
        <w:t>第一百二十五条</w:t>
      </w:r>
      <w:r>
        <w:rPr>
          <w:rFonts w:hint="eastAsia" w:ascii="仿宋_GB2312" w:hAnsi="仿宋_GB2312" w:eastAsia="仿宋_GB2312" w:cs="仿宋_GB2312"/>
          <w:color w:val="auto"/>
          <w:sz w:val="30"/>
          <w:szCs w:val="30"/>
          <w:lang w:val="en-US" w:eastAsia="zh-CN"/>
        </w:rPr>
        <w:t>第二款</w:t>
      </w:r>
      <w:r>
        <w:rPr>
          <w:rFonts w:hint="eastAsia" w:ascii="仿宋_GB2312" w:hAnsi="仿宋_GB2312" w:eastAsia="仿宋_GB2312" w:cs="仿宋_GB2312"/>
          <w:color w:val="auto"/>
          <w:sz w:val="30"/>
          <w:szCs w:val="30"/>
          <w:shd w:val="clear" w:fill="auto"/>
          <w:lang w:val="en-US" w:eastAsia="zh-CN" w:bidi="ar"/>
        </w:rPr>
        <w:t>规定，</w:t>
      </w:r>
      <w:r>
        <w:rPr>
          <w:rFonts w:hint="eastAsia" w:ascii="仿宋_GB2312" w:hAnsi="仿宋_GB2312" w:eastAsia="仿宋_GB2312" w:cs="仿宋_GB2312"/>
          <w:snapToGrid/>
          <w:color w:val="auto"/>
          <w:spacing w:val="0"/>
          <w:kern w:val="2"/>
          <w:sz w:val="30"/>
          <w:szCs w:val="30"/>
          <w:shd w:val="clear" w:fill="auto"/>
          <w:lang w:val="en-US" w:eastAsia="zh-CN" w:bidi="ar"/>
        </w:rPr>
        <w:t>生产经营无标签的预包装食品、食品添加剂或者标签、说明书不符合本法规定的食品、食品添加剂的</w:t>
      </w:r>
      <w:r>
        <w:rPr>
          <w:rFonts w:hint="eastAsia" w:ascii="仿宋_GB2312" w:hAnsi="仿宋_GB2312" w:eastAsia="仿宋_GB2312" w:cs="仿宋_GB2312"/>
          <w:snapToGrid/>
          <w:color w:val="auto"/>
          <w:spacing w:val="0"/>
          <w:kern w:val="2"/>
          <w:sz w:val="30"/>
          <w:szCs w:val="30"/>
          <w:shd w:val="clear" w:fill="auto"/>
          <w:lang w:eastAsia="zh-CN" w:bidi="ar"/>
        </w:rPr>
        <w:t>，由县级以上人民政府食品安全监督管理部门没收违法所得和违法生产经营的食品、食品添加剂，并可以没收用于违法生产经营的工具、设备、原料等物品</w:t>
      </w:r>
      <w:r>
        <w:rPr>
          <w:rFonts w:hint="default" w:ascii="Arial" w:hAnsi="Arial" w:eastAsia="仿宋_GB2312" w:cs="Arial"/>
          <w:snapToGrid/>
          <w:color w:val="auto"/>
          <w:spacing w:val="0"/>
          <w:kern w:val="2"/>
          <w:sz w:val="30"/>
          <w:szCs w:val="30"/>
          <w:shd w:val="clear" w:fill="auto"/>
          <w:lang w:eastAsia="zh-CN" w:bidi="ar"/>
        </w:rPr>
        <w:t>…</w:t>
      </w:r>
      <w:r>
        <w:rPr>
          <w:rFonts w:hint="eastAsia" w:ascii="仿宋_GB2312" w:hAnsi="仿宋_GB2312" w:eastAsia="仿宋_GB2312" w:cs="仿宋_GB2312"/>
          <w:snapToGrid/>
          <w:color w:val="auto"/>
          <w:kern w:val="2"/>
          <w:sz w:val="30"/>
          <w:szCs w:val="30"/>
          <w:shd w:val="clear" w:fill="auto"/>
          <w:lang w:val="en-US" w:eastAsia="zh-CN" w:bidi="ar"/>
        </w:rPr>
        <w:t>。</w:t>
      </w:r>
      <w:r>
        <w:rPr>
          <w:rFonts w:hint="eastAsia" w:ascii="仿宋_GB2312" w:hAnsi="仿宋_GB2312" w:eastAsia="仿宋_GB2312" w:cs="仿宋_GB2312"/>
          <w:i w:val="0"/>
          <w:iCs w:val="0"/>
          <w:caps w:val="0"/>
          <w:color w:val="auto"/>
          <w:spacing w:val="0"/>
          <w:kern w:val="2"/>
          <w:sz w:val="30"/>
          <w:szCs w:val="30"/>
          <w:shd w:val="clear" w:fill="auto"/>
          <w:lang w:val="en-US" w:eastAsia="zh-CN" w:bidi="ar"/>
        </w:rPr>
        <w:t>《国家食品安全标准 预包装食品标签通则》GB7718-2011第3.1条规定，应符合法律法规的规定，并符合相应食品安全标准。GB/T30645（糕点分类标准）2.1.2.4规定，夹心（或注心）类在两块熟制糕点产品中通过夹心工序添加芯料而制成的糕点。</w:t>
      </w:r>
      <w:r>
        <w:rPr>
          <w:rFonts w:hint="eastAsia" w:ascii="仿宋_GB2312" w:hAnsi="仿宋_GB2312" w:eastAsia="仿宋_GB2312" w:cs="仿宋_GB2312"/>
          <w:i w:val="0"/>
          <w:iCs w:val="0"/>
          <w:caps w:val="0"/>
          <w:color w:val="auto"/>
          <w:spacing w:val="0"/>
          <w:kern w:val="2"/>
          <w:sz w:val="30"/>
          <w:szCs w:val="30"/>
          <w:shd w:val="clear"/>
          <w:lang w:val="en-US" w:eastAsia="zh-CN" w:bidi="ar"/>
        </w:rPr>
        <w:t>本案被举报人未按照</w:t>
      </w:r>
      <w:r>
        <w:rPr>
          <w:rFonts w:hint="eastAsia" w:ascii="仿宋_GB2312" w:hAnsi="仿宋_GB2312" w:eastAsia="仿宋_GB2312" w:cs="仿宋_GB2312"/>
          <w:i w:val="0"/>
          <w:iCs w:val="0"/>
          <w:caps w:val="0"/>
          <w:color w:val="auto"/>
          <w:spacing w:val="0"/>
          <w:kern w:val="2"/>
          <w:sz w:val="30"/>
          <w:szCs w:val="30"/>
          <w:shd w:val="clear" w:fill="auto"/>
          <w:lang w:val="en-US" w:eastAsia="zh-CN" w:bidi="ar"/>
        </w:rPr>
        <w:t>依据GB/T30645（糕点分类标准）中关于夹心糕点的定义标注涉案产品类型，违反了上述规定，被申请人认为其属于</w:t>
      </w:r>
      <w:r>
        <w:rPr>
          <w:rFonts w:hint="eastAsia" w:ascii="仿宋_GB2312" w:hAnsi="仿宋_GB2312" w:eastAsia="仿宋_GB2312" w:cs="仿宋_GB2312"/>
          <w:color w:val="auto"/>
          <w:sz w:val="30"/>
          <w:szCs w:val="30"/>
          <w:lang w:eastAsia="zh-CN"/>
        </w:rPr>
        <w:t>《中华人民共和国食品安全法》第一百二十五条第一款第（二）项所指的“生产经营标签不符合本法规定的食品”的违法行为，</w:t>
      </w:r>
      <w:r>
        <w:rPr>
          <w:rFonts w:hint="eastAsia" w:ascii="仿宋_GB2312" w:hAnsi="仿宋_GB2312" w:eastAsia="仿宋_GB2312" w:cs="仿宋_GB2312"/>
          <w:color w:val="auto"/>
          <w:sz w:val="30"/>
          <w:szCs w:val="30"/>
          <w:lang w:val="en-US" w:eastAsia="zh-CN"/>
        </w:rPr>
        <w:t>本机关予以认可。</w:t>
      </w:r>
    </w:p>
    <w:p w14:paraId="27FB74A1">
      <w:pPr>
        <w:keepNext w:val="0"/>
        <w:keepLines w:val="0"/>
        <w:pageBreakBefore w:val="0"/>
        <w:widowControl/>
        <w:numPr>
          <w:ilvl w:val="-1"/>
          <w:numId w:val="0"/>
        </w:numPr>
        <w:kinsoku/>
        <w:wordWrap/>
        <w:overflowPunct/>
        <w:topLinePunct w:val="0"/>
        <w:autoSpaceDE/>
        <w:autoSpaceDN/>
        <w:bidi w:val="0"/>
        <w:adjustRightInd/>
        <w:snapToGrid/>
        <w:spacing w:before="0" w:afterLines="0" w:line="560" w:lineRule="exact"/>
        <w:ind w:left="0" w:firstLine="600" w:firstLineChars="200"/>
        <w:jc w:val="left"/>
        <w:textAlignment w:val="auto"/>
        <w:rPr>
          <w:rFonts w:hint="eastAsia" w:ascii="仿宋_GB2312" w:hAnsi="仿宋_GB2312" w:eastAsia="仿宋_GB2312" w:cs="仿宋_GB2312"/>
          <w:snapToGrid/>
          <w:color w:val="auto"/>
          <w:spacing w:val="0"/>
          <w:kern w:val="2"/>
          <w:sz w:val="30"/>
          <w:szCs w:val="30"/>
          <w:u w:val="none"/>
          <w:lang w:val="en-US" w:eastAsia="zh-CN" w:bidi="ar-SA"/>
        </w:rPr>
      </w:pPr>
      <w:r>
        <w:rPr>
          <w:rFonts w:hint="eastAsia" w:ascii="仿宋_GB2312" w:hAnsi="仿宋_GB2312" w:eastAsia="仿宋_GB2312" w:cs="仿宋_GB2312"/>
          <w:color w:val="auto"/>
          <w:sz w:val="30"/>
          <w:szCs w:val="30"/>
          <w:lang w:eastAsia="zh-CN"/>
        </w:rPr>
        <w:t>《中华人民共和国行政处罚法》第三十三条第一款规定，违法行为轻微并及时改正，没有造成危害后果的，不予行政处罚。初次违法且危害后果轻微并及时改正的，可以不予行政处罚。《市场监督管理行政处罚程序规定》第十九条规定，经核查，符合下列条件的，应当立案：（一）有证据初步证明存在违反市场监督管理法律、法规、规章的行为；（二）依据市场监督管理法律、法规、规章应当给予行政处罚；（三）属于本部门管辖；（四）在给予行政处罚的法定期限内。</w:t>
      </w:r>
      <w:r>
        <w:rPr>
          <w:rFonts w:hint="eastAsia" w:ascii="仿宋_GB2312" w:hAnsi="仿宋_GB2312" w:eastAsia="仿宋_GB2312" w:cs="仿宋_GB2312"/>
          <w:color w:val="auto"/>
          <w:sz w:val="30"/>
          <w:szCs w:val="30"/>
          <w:lang w:val="en-US" w:eastAsia="zh-CN"/>
        </w:rPr>
        <w:t>本案</w:t>
      </w:r>
      <w:r>
        <w:rPr>
          <w:rFonts w:hint="eastAsia" w:ascii="仿宋_GB2312" w:hAnsi="仿宋_GB2312" w:eastAsia="仿宋_GB2312" w:cs="仿宋_GB2312"/>
          <w:snapToGrid/>
          <w:color w:val="auto"/>
          <w:spacing w:val="0"/>
          <w:kern w:val="2"/>
          <w:sz w:val="30"/>
          <w:szCs w:val="30"/>
          <w:lang w:val="en-US" w:eastAsia="zh-CN" w:bidi="ar-SA"/>
        </w:rPr>
        <w:t>被申请人认为被举报人</w:t>
      </w:r>
      <w:r>
        <w:rPr>
          <w:rFonts w:hint="eastAsia" w:ascii="仿宋_GB2312" w:hAnsi="仿宋_GB2312" w:eastAsia="仿宋_GB2312" w:cs="仿宋_GB2312"/>
          <w:color w:val="auto"/>
          <w:sz w:val="30"/>
          <w:szCs w:val="30"/>
          <w:lang w:val="en-US" w:eastAsia="zh-CN"/>
        </w:rPr>
        <w:t>在此举报之前，因其生产的其他产品涉及相同内容的投诉举报，已对申请人举报的违法行为进行了改正，其本次被举报的违法行为</w:t>
      </w:r>
      <w:r>
        <w:rPr>
          <w:rFonts w:hint="eastAsia" w:ascii="仿宋_GB2312" w:hAnsi="仿宋_GB2312" w:eastAsia="仿宋_GB2312" w:cs="仿宋_GB2312"/>
          <w:snapToGrid/>
          <w:color w:val="auto"/>
          <w:spacing w:val="0"/>
          <w:kern w:val="2"/>
          <w:sz w:val="30"/>
          <w:szCs w:val="30"/>
          <w:lang w:val="en-US" w:eastAsia="en-US" w:bidi="ar-SA"/>
        </w:rPr>
        <w:t>不符合《市场监督管理行政处罚程序规定》第十九条第一款第</w:t>
      </w:r>
      <w:r>
        <w:rPr>
          <w:rFonts w:hint="eastAsia" w:ascii="仿宋_GB2312" w:hAnsi="仿宋_GB2312" w:eastAsia="仿宋_GB2312" w:cs="仿宋_GB2312"/>
          <w:snapToGrid/>
          <w:color w:val="auto"/>
          <w:spacing w:val="0"/>
          <w:kern w:val="2"/>
          <w:sz w:val="30"/>
          <w:szCs w:val="30"/>
          <w:lang w:val="en-US" w:eastAsia="zh-CN" w:bidi="ar-SA"/>
        </w:rPr>
        <w:t>（</w:t>
      </w:r>
      <w:r>
        <w:rPr>
          <w:rFonts w:hint="eastAsia" w:ascii="仿宋_GB2312" w:hAnsi="仿宋_GB2312" w:eastAsia="仿宋_GB2312" w:cs="仿宋_GB2312"/>
          <w:snapToGrid/>
          <w:color w:val="auto"/>
          <w:spacing w:val="0"/>
          <w:kern w:val="2"/>
          <w:sz w:val="30"/>
          <w:szCs w:val="30"/>
          <w:lang w:val="en-US" w:eastAsia="en-US" w:bidi="ar-SA"/>
        </w:rPr>
        <w:t>二</w:t>
      </w:r>
      <w:r>
        <w:rPr>
          <w:rFonts w:hint="eastAsia" w:ascii="仿宋_GB2312" w:hAnsi="仿宋_GB2312" w:eastAsia="仿宋_GB2312" w:cs="仿宋_GB2312"/>
          <w:snapToGrid/>
          <w:color w:val="auto"/>
          <w:spacing w:val="0"/>
          <w:kern w:val="2"/>
          <w:sz w:val="30"/>
          <w:szCs w:val="30"/>
          <w:lang w:val="en-US" w:eastAsia="zh-CN" w:bidi="ar-SA"/>
        </w:rPr>
        <w:t>）</w:t>
      </w:r>
      <w:r>
        <w:rPr>
          <w:rFonts w:hint="eastAsia" w:ascii="仿宋_GB2312" w:hAnsi="仿宋_GB2312" w:eastAsia="仿宋_GB2312" w:cs="仿宋_GB2312"/>
          <w:snapToGrid/>
          <w:color w:val="auto"/>
          <w:spacing w:val="0"/>
          <w:kern w:val="2"/>
          <w:sz w:val="30"/>
          <w:szCs w:val="30"/>
          <w:lang w:val="en-US" w:eastAsia="en-US" w:bidi="ar-SA"/>
        </w:rPr>
        <w:t>项规定的立案条件，</w:t>
      </w:r>
      <w:r>
        <w:rPr>
          <w:rFonts w:hint="eastAsia" w:ascii="仿宋_GB2312" w:hAnsi="仿宋_GB2312" w:eastAsia="仿宋_GB2312" w:cs="仿宋_GB2312"/>
          <w:snapToGrid/>
          <w:color w:val="auto"/>
          <w:spacing w:val="0"/>
          <w:kern w:val="2"/>
          <w:sz w:val="30"/>
          <w:szCs w:val="30"/>
          <w:lang w:val="en-US" w:eastAsia="zh-CN" w:bidi="ar-SA"/>
        </w:rPr>
        <w:t>从而对</w:t>
      </w:r>
      <w:r>
        <w:rPr>
          <w:rFonts w:hint="eastAsia" w:ascii="仿宋_GB2312" w:hAnsi="仿宋_GB2312" w:eastAsia="仿宋_GB2312" w:cs="仿宋_GB2312"/>
          <w:snapToGrid/>
          <w:color w:val="auto"/>
          <w:spacing w:val="0"/>
          <w:kern w:val="2"/>
          <w:sz w:val="30"/>
          <w:szCs w:val="30"/>
          <w:lang w:val="en-US" w:eastAsia="en-US" w:bidi="ar-SA"/>
        </w:rPr>
        <w:t>举报事项不予立案</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snapToGrid/>
          <w:color w:val="auto"/>
          <w:spacing w:val="0"/>
          <w:kern w:val="2"/>
          <w:sz w:val="30"/>
          <w:szCs w:val="30"/>
          <w:u w:val="none"/>
          <w:lang w:val="en-US" w:eastAsia="zh-CN" w:bidi="ar-SA"/>
        </w:rPr>
        <w:t>本机关予以认可。</w:t>
      </w:r>
    </w:p>
    <w:p w14:paraId="6FE522BE">
      <w:pPr>
        <w:widowControl/>
        <w:numPr>
          <w:ilvl w:val="255"/>
          <w:numId w:val="0"/>
        </w:numPr>
        <w:adjustRightInd w:val="0"/>
        <w:spacing w:afterLines="0"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《市场监督管理行政处罚程序规定》第十八条</w:t>
      </w:r>
      <w:r>
        <w:rPr>
          <w:rFonts w:hint="eastAsia" w:ascii="仿宋_GB2312" w:hAnsi="仿宋_GB2312" w:eastAsia="仿宋_GB2312" w:cs="仿宋_GB2312"/>
          <w:color w:val="auto"/>
          <w:sz w:val="30"/>
          <w:szCs w:val="30"/>
          <w:u w:val="none"/>
          <w:lang w:eastAsia="zh-CN"/>
        </w:rPr>
        <w:t>规定</w:t>
      </w:r>
      <w:r>
        <w:rPr>
          <w:rFonts w:hint="eastAsia" w:ascii="仿宋_GB2312" w:hAnsi="仿宋_GB2312" w:eastAsia="仿宋_GB2312" w:cs="仿宋_GB2312"/>
          <w:i w:val="0"/>
          <w:iCs w:val="0"/>
          <w:caps w:val="0"/>
          <w:color w:val="auto"/>
          <w:spacing w:val="0"/>
          <w:sz w:val="30"/>
          <w:szCs w:val="30"/>
          <w:u w:val="none"/>
          <w:shd w:val="clear" w:fill="auto"/>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仿宋_GB2312" w:hAnsi="仿宋_GB2312" w:eastAsia="仿宋_GB2312" w:cs="仿宋_GB2312"/>
          <w:color w:val="auto"/>
          <w:sz w:val="30"/>
          <w:szCs w:val="30"/>
          <w:u w:val="none"/>
          <w:lang w:eastAsia="zh-CN"/>
        </w:rPr>
        <w:t>《市场监督管理投诉举报处理暂行办法》第三十一条</w:t>
      </w:r>
      <w:r>
        <w:rPr>
          <w:rFonts w:hint="eastAsia" w:ascii="仿宋_GB2312" w:hAnsi="仿宋_GB2312" w:eastAsia="仿宋_GB2312" w:cs="仿宋_GB2312"/>
          <w:color w:val="auto"/>
          <w:sz w:val="30"/>
          <w:szCs w:val="30"/>
          <w:u w:val="none"/>
          <w:lang w:val="en-US" w:eastAsia="zh-CN"/>
        </w:rPr>
        <w:t>规定，</w:t>
      </w:r>
      <w:r>
        <w:rPr>
          <w:rFonts w:hint="eastAsia" w:ascii="仿宋_GB2312" w:hAnsi="仿宋_GB2312" w:eastAsia="仿宋_GB2312" w:cs="仿宋_GB2312"/>
          <w:i w:val="0"/>
          <w:iCs w:val="0"/>
          <w:caps w:val="0"/>
          <w:color w:val="auto"/>
          <w:spacing w:val="0"/>
          <w:sz w:val="30"/>
          <w:szCs w:val="30"/>
          <w:u w:val="none"/>
          <w:shd w:val="clear" w:fill="auto"/>
        </w:rPr>
        <w:t>市场监督管理部门应当按照市场监督管理行政处罚等有关规定处理举报。</w:t>
      </w:r>
      <w:bookmarkStart w:id="0" w:name="No102_T31K2"/>
      <w:bookmarkEnd w:id="0"/>
      <w:r>
        <w:rPr>
          <w:rFonts w:hint="eastAsia" w:ascii="仿宋_GB2312" w:hAnsi="仿宋_GB2312" w:eastAsia="仿宋_GB2312" w:cs="仿宋_GB2312"/>
          <w:i w:val="0"/>
          <w:iCs w:val="0"/>
          <w:caps w:val="0"/>
          <w:color w:val="auto"/>
          <w:spacing w:val="0"/>
          <w:sz w:val="30"/>
          <w:szCs w:val="30"/>
          <w:u w:val="none"/>
          <w:shd w:val="clear" w:fill="auto"/>
        </w:rPr>
        <w:t>举报人实名举报的，有处理权限的市场监督管理部门还应当自作出是否立案决定之日起五个工作日内告知举报人。</w:t>
      </w:r>
      <w:r>
        <w:rPr>
          <w:rFonts w:hint="eastAsia" w:ascii="仿宋_GB2312" w:hAnsi="仿宋_GB2312" w:eastAsia="仿宋_GB2312" w:cs="仿宋_GB2312"/>
          <w:color w:val="auto"/>
          <w:sz w:val="30"/>
          <w:szCs w:val="30"/>
          <w:lang w:val="en-US" w:eastAsia="zh-CN"/>
        </w:rPr>
        <w:t>本案</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2024年</w:t>
      </w:r>
      <w:r>
        <w:rPr>
          <w:rFonts w:hint="eastAsia" w:ascii="仿宋_GB2312" w:hAnsi="仿宋_GB2312" w:eastAsia="仿宋_GB2312" w:cs="仿宋_GB2312"/>
          <w:color w:val="auto"/>
          <w:sz w:val="30"/>
          <w:szCs w:val="30"/>
          <w:lang w:val="en-US" w:eastAsia="zh-CN"/>
        </w:rPr>
        <w:t>12月24日收到申请人举报，2025年1月10日实施现场核查</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同年1月13日</w:t>
      </w:r>
      <w:r>
        <w:rPr>
          <w:rFonts w:hint="eastAsia" w:ascii="仿宋_GB2312" w:hAnsi="仿宋_GB2312" w:eastAsia="仿宋_GB2312" w:cs="仿宋_GB2312"/>
          <w:color w:val="auto"/>
          <w:sz w:val="30"/>
          <w:szCs w:val="30"/>
        </w:rPr>
        <w:t>决定不予立案</w:t>
      </w:r>
      <w:r>
        <w:rPr>
          <w:rFonts w:hint="eastAsia" w:ascii="仿宋_GB2312" w:hAnsi="仿宋_GB2312" w:eastAsia="仿宋_GB2312" w:cs="仿宋_GB2312"/>
          <w:color w:val="auto"/>
          <w:sz w:val="30"/>
          <w:szCs w:val="30"/>
          <w:lang w:eastAsia="zh-CN"/>
        </w:rPr>
        <w:t>并</w:t>
      </w:r>
      <w:r>
        <w:rPr>
          <w:rFonts w:hint="eastAsia" w:ascii="仿宋_GB2312" w:hAnsi="仿宋_GB2312" w:eastAsia="仿宋_GB2312" w:cs="仿宋_GB2312"/>
          <w:color w:val="auto"/>
          <w:sz w:val="30"/>
          <w:szCs w:val="30"/>
        </w:rPr>
        <w:t>作</w:t>
      </w:r>
      <w:r>
        <w:rPr>
          <w:rFonts w:hint="eastAsia" w:ascii="仿宋_GB2312" w:hAnsi="仿宋_GB2312" w:eastAsia="仿宋_GB2312" w:cs="仿宋_GB2312"/>
          <w:color w:val="auto"/>
          <w:sz w:val="30"/>
          <w:szCs w:val="30"/>
          <w:lang w:eastAsia="zh-CN"/>
        </w:rPr>
        <w:t>出</w:t>
      </w:r>
      <w:r>
        <w:rPr>
          <w:rFonts w:hint="eastAsia" w:ascii="仿宋_GB2312" w:hAnsi="仿宋_GB2312" w:eastAsia="仿宋_GB2312" w:cs="仿宋_GB2312"/>
          <w:color w:val="auto"/>
          <w:sz w:val="30"/>
          <w:szCs w:val="30"/>
        </w:rPr>
        <w:t>市场监管〔202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〕第</w:t>
      </w:r>
      <w:r>
        <w:rPr>
          <w:rFonts w:hint="eastAsia" w:ascii="仿宋_GB2312" w:hAnsi="仿宋_GB2312" w:eastAsia="仿宋_GB2312" w:cs="仿宋_GB2312"/>
          <w:color w:val="auto"/>
          <w:sz w:val="30"/>
          <w:szCs w:val="30"/>
          <w:lang w:val="en-US" w:eastAsia="zh-CN"/>
        </w:rPr>
        <w:t>19</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010</w:t>
      </w:r>
      <w:r>
        <w:rPr>
          <w:rFonts w:hint="eastAsia" w:ascii="仿宋_GB2312" w:hAnsi="仿宋_GB2312" w:eastAsia="仿宋_GB2312" w:cs="仿宋_GB2312"/>
          <w:color w:val="auto"/>
          <w:sz w:val="30"/>
          <w:szCs w:val="30"/>
        </w:rPr>
        <w:t>号《举报不予立案告知书》</w:t>
      </w:r>
      <w:r>
        <w:rPr>
          <w:rFonts w:hint="eastAsia" w:ascii="仿宋_GB2312" w:hAnsi="仿宋_GB2312" w:eastAsia="仿宋_GB2312" w:cs="仿宋_GB2312"/>
          <w:color w:val="auto"/>
          <w:sz w:val="30"/>
          <w:szCs w:val="30"/>
          <w:lang w:val="en-US" w:eastAsia="zh-CN"/>
        </w:rPr>
        <w:t>。2025年1月14日</w:t>
      </w:r>
      <w:r>
        <w:rPr>
          <w:rFonts w:hint="eastAsia" w:ascii="仿宋_GB2312" w:hAnsi="仿宋_GB2312" w:eastAsia="仿宋_GB2312" w:cs="仿宋_GB2312"/>
          <w:color w:val="auto"/>
          <w:sz w:val="30"/>
          <w:szCs w:val="30"/>
          <w:lang w:eastAsia="zh-CN"/>
        </w:rPr>
        <w:t>被申请人通过</w:t>
      </w:r>
      <w:r>
        <w:rPr>
          <w:rFonts w:hint="eastAsia" w:ascii="仿宋_GB2312" w:hAnsi="仿宋_GB2312" w:eastAsia="仿宋_GB2312" w:cs="仿宋_GB2312"/>
          <w:color w:val="auto"/>
          <w:sz w:val="30"/>
          <w:szCs w:val="30"/>
          <w:lang w:val="en-US" w:eastAsia="zh-CN"/>
        </w:rPr>
        <w:t>12315平台</w:t>
      </w:r>
      <w:r>
        <w:rPr>
          <w:rFonts w:hint="eastAsia" w:ascii="仿宋_GB2312" w:hAnsi="仿宋_GB2312" w:eastAsia="仿宋_GB2312" w:cs="仿宋_GB2312"/>
          <w:color w:val="auto"/>
          <w:sz w:val="30"/>
          <w:szCs w:val="30"/>
          <w:lang w:eastAsia="zh-CN"/>
        </w:rPr>
        <w:t>将上述</w:t>
      </w:r>
      <w:r>
        <w:rPr>
          <w:rFonts w:hint="eastAsia" w:ascii="仿宋_GB2312" w:hAnsi="仿宋_GB2312" w:eastAsia="仿宋_GB2312" w:cs="仿宋_GB2312"/>
          <w:color w:val="auto"/>
          <w:sz w:val="30"/>
          <w:szCs w:val="30"/>
        </w:rPr>
        <w:t>举报不予立案</w:t>
      </w:r>
      <w:r>
        <w:rPr>
          <w:rFonts w:hint="eastAsia" w:ascii="仿宋_GB2312" w:hAnsi="仿宋_GB2312" w:eastAsia="仿宋_GB2312" w:cs="仿宋_GB2312"/>
          <w:color w:val="auto"/>
          <w:sz w:val="30"/>
          <w:szCs w:val="30"/>
          <w:lang w:eastAsia="zh-CN"/>
        </w:rPr>
        <w:t>决定</w:t>
      </w:r>
      <w:r>
        <w:rPr>
          <w:rFonts w:hint="eastAsia" w:ascii="仿宋_GB2312" w:hAnsi="仿宋_GB2312" w:eastAsia="仿宋_GB2312" w:cs="仿宋_GB2312"/>
          <w:color w:val="auto"/>
          <w:sz w:val="30"/>
          <w:szCs w:val="30"/>
        </w:rPr>
        <w:t>告知</w:t>
      </w:r>
      <w:r>
        <w:rPr>
          <w:rFonts w:hint="eastAsia" w:ascii="仿宋_GB2312" w:hAnsi="仿宋_GB2312" w:eastAsia="仿宋_GB2312" w:cs="仿宋_GB2312"/>
          <w:color w:val="auto"/>
          <w:sz w:val="30"/>
          <w:szCs w:val="30"/>
          <w:lang w:eastAsia="zh-CN"/>
        </w:rPr>
        <w:t>申请人，被申请人</w:t>
      </w:r>
      <w:r>
        <w:rPr>
          <w:rFonts w:hint="eastAsia" w:ascii="仿宋_GB2312" w:hAnsi="仿宋_GB2312" w:eastAsia="仿宋_GB2312" w:cs="仿宋_GB2312"/>
          <w:color w:val="auto"/>
          <w:sz w:val="30"/>
          <w:szCs w:val="30"/>
          <w:lang w:val="en-US" w:eastAsia="zh-CN"/>
        </w:rPr>
        <w:t>举报处理程序合法。</w:t>
      </w:r>
    </w:p>
    <w:p w14:paraId="60CA0866">
      <w:pPr>
        <w:widowControl/>
        <w:spacing w:afterLines="0"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w:t>
      </w:r>
      <w:r>
        <w:rPr>
          <w:rFonts w:hint="eastAsia" w:ascii="仿宋_GB2312" w:hAnsi="仿宋_GB2312" w:eastAsia="仿宋_GB2312" w:cs="仿宋_GB2312"/>
          <w:color w:val="auto"/>
          <w:sz w:val="30"/>
          <w:szCs w:val="30"/>
          <w:lang w:val="en-US" w:eastAsia="zh-CN"/>
        </w:rPr>
        <w:t>举报事项的</w:t>
      </w:r>
      <w:r>
        <w:rPr>
          <w:rFonts w:hint="eastAsia" w:ascii="仿宋_GB2312" w:hAnsi="仿宋_GB2312" w:eastAsia="仿宋_GB2312" w:cs="仿宋_GB2312"/>
          <w:color w:val="auto"/>
          <w:sz w:val="30"/>
          <w:szCs w:val="30"/>
          <w:lang w:eastAsia="zh-CN"/>
        </w:rPr>
        <w:t>处理认定</w:t>
      </w:r>
      <w:r>
        <w:rPr>
          <w:rFonts w:hint="eastAsia" w:ascii="仿宋_GB2312" w:hAnsi="仿宋_GB2312" w:eastAsia="仿宋_GB2312" w:cs="仿宋_GB2312"/>
          <w:color w:val="auto"/>
          <w:sz w:val="30"/>
          <w:szCs w:val="30"/>
        </w:rPr>
        <w:t>事实清楚，证据确凿，适用依据正确，程序合法，内容适当，</w:t>
      </w:r>
      <w:r>
        <w:rPr>
          <w:rFonts w:hint="eastAsia" w:ascii="仿宋_GB2312" w:hAnsi="仿宋_GB2312" w:eastAsia="仿宋_GB2312" w:cs="仿宋_GB2312"/>
          <w:color w:val="auto"/>
          <w:sz w:val="30"/>
          <w:szCs w:val="30"/>
          <w:lang w:bidi="ar"/>
        </w:rPr>
        <w:t>根据《中华人民共和国行政复议法》第六十</w:t>
      </w:r>
      <w:r>
        <w:rPr>
          <w:rFonts w:hint="eastAsia" w:ascii="仿宋_GB2312" w:hAnsi="仿宋_GB2312" w:eastAsia="仿宋_GB2312" w:cs="仿宋_GB2312"/>
          <w:color w:val="auto"/>
          <w:sz w:val="30"/>
          <w:szCs w:val="30"/>
          <w:lang w:eastAsia="zh-CN" w:bidi="ar"/>
        </w:rPr>
        <w:t>八</w:t>
      </w:r>
      <w:r>
        <w:rPr>
          <w:rFonts w:hint="eastAsia" w:ascii="仿宋_GB2312" w:hAnsi="仿宋_GB2312" w:eastAsia="仿宋_GB2312" w:cs="仿宋_GB2312"/>
          <w:color w:val="auto"/>
          <w:sz w:val="30"/>
          <w:szCs w:val="30"/>
          <w:lang w:bidi="ar"/>
        </w:rPr>
        <w:t>条之规定，本机关决定：</w:t>
      </w:r>
    </w:p>
    <w:p w14:paraId="3F69CC5E">
      <w:pPr>
        <w:widowControl/>
        <w:numPr>
          <w:ilvl w:val="255"/>
          <w:numId w:val="0"/>
        </w:numPr>
        <w:spacing w:afterLines="0"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维持</w:t>
      </w:r>
      <w:r>
        <w:rPr>
          <w:rFonts w:hint="eastAsia" w:ascii="仿宋_GB2312" w:hAnsi="仿宋_GB2312" w:eastAsia="仿宋_GB2312" w:cs="仿宋_GB2312"/>
          <w:color w:val="auto"/>
          <w:sz w:val="30"/>
          <w:szCs w:val="30"/>
          <w:lang w:val="en-US" w:eastAsia="zh-CN"/>
        </w:rPr>
        <w:t>湘潭县市场监督管理局</w:t>
      </w:r>
      <w:r>
        <w:rPr>
          <w:rFonts w:hint="eastAsia" w:ascii="仿宋_GB2312" w:hAnsi="仿宋_GB2312" w:eastAsia="仿宋_GB2312" w:cs="仿宋_GB2312"/>
          <w:color w:val="auto"/>
          <w:sz w:val="30"/>
          <w:szCs w:val="30"/>
          <w:lang w:eastAsia="zh-CN"/>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lang w:eastAsia="zh-CN"/>
        </w:rPr>
        <w:t>年</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月</w:t>
      </w:r>
      <w:r>
        <w:rPr>
          <w:rFonts w:hint="eastAsia" w:ascii="仿宋_GB2312" w:hAnsi="仿宋_GB2312" w:eastAsia="仿宋_GB2312" w:cs="仿宋_GB2312"/>
          <w:color w:val="auto"/>
          <w:sz w:val="30"/>
          <w:szCs w:val="30"/>
          <w:lang w:val="en-US" w:eastAsia="zh-CN"/>
        </w:rPr>
        <w:t>13</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作出的</w:t>
      </w:r>
      <w:r>
        <w:rPr>
          <w:rFonts w:hint="eastAsia" w:ascii="仿宋_GB2312" w:hAnsi="仿宋_GB2312" w:eastAsia="仿宋_GB2312" w:cs="仿宋_GB2312"/>
          <w:color w:val="auto"/>
          <w:sz w:val="30"/>
          <w:szCs w:val="30"/>
          <w:lang w:val="en-US" w:eastAsia="zh-CN"/>
        </w:rPr>
        <w:t>市场监管</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第19-010</w:t>
      </w:r>
      <w:r>
        <w:rPr>
          <w:rFonts w:hint="eastAsia" w:ascii="仿宋_GB2312" w:hAnsi="仿宋_GB2312" w:eastAsia="仿宋_GB2312" w:cs="仿宋_GB2312"/>
          <w:color w:val="auto"/>
          <w:sz w:val="30"/>
          <w:szCs w:val="30"/>
        </w:rPr>
        <w:t>号</w:t>
      </w:r>
      <w:r>
        <w:rPr>
          <w:rFonts w:hint="eastAsia" w:ascii="仿宋_GB2312" w:hAnsi="仿宋_GB2312" w:eastAsia="仿宋_GB2312" w:cs="仿宋_GB2312"/>
          <w:color w:val="auto"/>
          <w:sz w:val="30"/>
          <w:szCs w:val="30"/>
          <w:lang w:eastAsia="zh-CN"/>
        </w:rPr>
        <w:t>《举报不予立案告知书》</w:t>
      </w:r>
      <w:r>
        <w:rPr>
          <w:rFonts w:hint="eastAsia" w:ascii="仿宋_GB2312" w:hAnsi="仿宋_GB2312" w:eastAsia="仿宋_GB2312" w:cs="仿宋_GB2312"/>
          <w:color w:val="auto"/>
          <w:sz w:val="30"/>
          <w:szCs w:val="30"/>
        </w:rPr>
        <w:t>。</w:t>
      </w:r>
    </w:p>
    <w:p w14:paraId="7B89F93E">
      <w:pPr>
        <w:widowControl/>
        <w:spacing w:afterLines="0"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吴**</w:t>
      </w:r>
      <w:r>
        <w:rPr>
          <w:rFonts w:hint="eastAsia" w:ascii="仿宋_GB2312" w:hAnsi="仿宋_GB2312" w:eastAsia="仿宋_GB2312" w:cs="仿宋_GB2312"/>
          <w:color w:val="auto"/>
          <w:sz w:val="30"/>
          <w:szCs w:val="30"/>
        </w:rPr>
        <w:t>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本决定之日起十五日内，向湘潭市雨湖区人民法院提起行政诉讼。</w:t>
      </w:r>
    </w:p>
    <w:p w14:paraId="0BFA4F71">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方正仿宋_GB2312" w:hAnsi="方正仿宋_GB2312" w:eastAsia="方正仿宋_GB2312" w:cs="方正仿宋_GB2312"/>
          <w:color w:val="auto"/>
          <w:sz w:val="30"/>
          <w:szCs w:val="30"/>
        </w:rPr>
      </w:pPr>
    </w:p>
    <w:p w14:paraId="34A4F918">
      <w:pPr>
        <w:keepNext w:val="0"/>
        <w:keepLines w:val="0"/>
        <w:pageBreakBefore w:val="0"/>
        <w:widowControl/>
        <w:numPr>
          <w:ilvl w:val="255"/>
          <w:numId w:val="0"/>
        </w:numPr>
        <w:kinsoku/>
        <w:wordWrap w:val="0"/>
        <w:overflowPunct/>
        <w:topLinePunct w:val="0"/>
        <w:autoSpaceDE/>
        <w:autoSpaceDN/>
        <w:bidi w:val="0"/>
        <w:adjustRightInd w:val="0"/>
        <w:snapToGrid/>
        <w:spacing w:afterLines="0" w:line="560" w:lineRule="exact"/>
        <w:ind w:firstLine="600" w:firstLineChars="200"/>
        <w:jc w:val="righ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358FE58E">
      <w:pPr>
        <w:keepNext w:val="0"/>
        <w:keepLines w:val="0"/>
        <w:pageBreakBefore w:val="0"/>
        <w:widowControl/>
        <w:numPr>
          <w:ilvl w:val="255"/>
          <w:numId w:val="0"/>
        </w:numPr>
        <w:kinsoku/>
        <w:wordWrap w:val="0"/>
        <w:overflowPunct/>
        <w:topLinePunct w:val="0"/>
        <w:autoSpaceDE/>
        <w:autoSpaceDN/>
        <w:bidi w:val="0"/>
        <w:adjustRightInd w:val="0"/>
        <w:snapToGrid/>
        <w:spacing w:afterLines="0" w:line="560" w:lineRule="exact"/>
        <w:ind w:firstLine="600" w:firstLineChars="200"/>
        <w:jc w:val="right"/>
        <w:textAlignment w:val="auto"/>
        <w:rPr>
          <w:rFonts w:ascii="方正仿宋_GB2312" w:hAnsi="方正仿宋_GB2312" w:eastAsia="方正仿宋_GB2312" w:cs="方正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四</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二十五</w:t>
      </w:r>
      <w:bookmarkStart w:id="1" w:name="_GoBack"/>
      <w:bookmarkEnd w:id="1"/>
      <w:r>
        <w:rPr>
          <w:rFonts w:hint="eastAsia" w:ascii="仿宋_GB2312" w:hAnsi="仿宋_GB2312" w:eastAsia="仿宋_GB2312" w:cs="仿宋_GB2312"/>
          <w:color w:val="auto"/>
          <w:sz w:val="30"/>
          <w:szCs w:val="30"/>
        </w:rPr>
        <w:t>日</w:t>
      </w:r>
    </w:p>
    <w:p w14:paraId="7AC75F36">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 w:hAnsi="仿宋" w:eastAsia="仿宋" w:cs="仿宋"/>
          <w:color w:val="auto"/>
          <w:sz w:val="30"/>
          <w:szCs w:val="30"/>
        </w:rPr>
      </w:pPr>
    </w:p>
    <w:p w14:paraId="14F7995E">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3CBE1F3F">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02F51E11">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14C25BF8">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hint="eastAsia" w:ascii="仿宋_GB2312" w:hAnsi="仿宋_GB2312" w:eastAsia="仿宋_GB2312" w:cs="仿宋_GB2312"/>
          <w:color w:val="auto"/>
          <w:sz w:val="30"/>
          <w:szCs w:val="30"/>
        </w:rPr>
      </w:pPr>
    </w:p>
    <w:p w14:paraId="0B58DE25">
      <w:pPr>
        <w:keepNext w:val="0"/>
        <w:keepLines w:val="0"/>
        <w:pageBreakBefore w:val="0"/>
        <w:kinsoku/>
        <w:wordWrap w:val="0"/>
        <w:overflowPunct/>
        <w:topLinePunct w:val="0"/>
        <w:autoSpaceDE/>
        <w:autoSpaceDN/>
        <w:bidi w:val="0"/>
        <w:adjustRightInd w:val="0"/>
        <w:snapToGrid/>
        <w:spacing w:afterLines="0"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61811444">
      <w:pPr>
        <w:keepNext w:val="0"/>
        <w:keepLines w:val="0"/>
        <w:pageBreakBefore w:val="0"/>
        <w:widowControl/>
        <w:kinsoku/>
        <w:wordWrap w:val="0"/>
        <w:overflowPunct/>
        <w:topLinePunct w:val="0"/>
        <w:autoSpaceDE/>
        <w:autoSpaceDN/>
        <w:bidi w:val="0"/>
        <w:adjustRightInd w:val="0"/>
        <w:snapToGrid/>
        <w:spacing w:afterLines="0"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43682F95">
      <w:pPr>
        <w:keepNext w:val="0"/>
        <w:keepLines w:val="0"/>
        <w:pageBreakBefore w:val="0"/>
        <w:widowControl/>
        <w:numPr>
          <w:ilvl w:val="255"/>
          <w:numId w:val="0"/>
        </w:numPr>
        <w:kinsoku/>
        <w:wordWrap w:val="0"/>
        <w:overflowPunct/>
        <w:topLinePunct w:val="0"/>
        <w:autoSpaceDE/>
        <w:autoSpaceDN/>
        <w:bidi w:val="0"/>
        <w:adjustRightInd w:val="0"/>
        <w:snapToGrid/>
        <w:spacing w:afterLines="0" w:line="560" w:lineRule="exact"/>
        <w:ind w:firstLine="602"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p w14:paraId="1B7C77BB">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020BDC3D">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70AC98E8"/>
    <w:p w14:paraId="5946B07E">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30165B7-F5F5-4A1C-9528-6AFBBCA0FBF6}"/>
  </w:font>
  <w:font w:name="黑体">
    <w:panose1 w:val="02010609060101010101"/>
    <w:charset w:val="86"/>
    <w:family w:val="auto"/>
    <w:pitch w:val="default"/>
    <w:sig w:usb0="800002BF" w:usb1="38CF7CFA" w:usb2="00000016" w:usb3="00000000" w:csb0="00040001" w:csb1="00000000"/>
    <w:embedRegular r:id="rId2" w:fontKey="{5B1FA16D-0909-48BF-8015-C8C8366B246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embedRegular r:id="rId3" w:fontKey="{4DB02EB0-94D7-4CCD-A104-67E49FEA2186}"/>
  </w:font>
  <w:font w:name="方正小标宋_GBK">
    <w:panose1 w:val="03000509000000000000"/>
    <w:charset w:val="86"/>
    <w:family w:val="script"/>
    <w:pitch w:val="default"/>
    <w:sig w:usb0="00000001" w:usb1="080E0000" w:usb2="00000000" w:usb3="00000000" w:csb0="00040000" w:csb1="00000000"/>
    <w:embedRegular r:id="rId4" w:fontKey="{787AF12E-D207-4F41-8930-7118E1A56A90}"/>
  </w:font>
  <w:font w:name="仿宋">
    <w:panose1 w:val="02010609060101010101"/>
    <w:charset w:val="86"/>
    <w:family w:val="modern"/>
    <w:pitch w:val="default"/>
    <w:sig w:usb0="800002BF" w:usb1="38CF7CFA" w:usb2="00000016" w:usb3="00000000" w:csb0="00040001" w:csb1="00000000"/>
    <w:embedRegular r:id="rId5" w:fontKey="{4998E70F-14A8-4C15-B6C1-6F406337D1A3}"/>
  </w:font>
  <w:font w:name="仿宋_GB2312">
    <w:panose1 w:val="02010609030101010101"/>
    <w:charset w:val="86"/>
    <w:family w:val="modern"/>
    <w:pitch w:val="default"/>
    <w:sig w:usb0="00000001" w:usb1="080E0000" w:usb2="00000000" w:usb3="00000000" w:csb0="00040000" w:csb1="00000000"/>
    <w:embedRegular r:id="rId6" w:fontKey="{091217B9-2BC6-40AD-82F7-688F93AEC3E5}"/>
  </w:font>
  <w:font w:name="华文中宋">
    <w:panose1 w:val="02010600040101010101"/>
    <w:charset w:val="86"/>
    <w:family w:val="auto"/>
    <w:pitch w:val="default"/>
    <w:sig w:usb0="00000287" w:usb1="080F0000" w:usb2="00000000" w:usb3="00000000" w:csb0="0004009F" w:csb1="DFD70000"/>
    <w:embedRegular r:id="rId7" w:fontKey="{0AF233D7-295F-40A1-AC2D-A98BA982AB9A}"/>
  </w:font>
  <w:font w:name="方正仿宋_GB2312">
    <w:panose1 w:val="02000000000000000000"/>
    <w:charset w:val="86"/>
    <w:family w:val="auto"/>
    <w:pitch w:val="default"/>
    <w:sig w:usb0="A00002BF" w:usb1="184F6CFA" w:usb2="00000012" w:usb3="00000000" w:csb0="00040001" w:csb1="00000000"/>
    <w:embedRegular r:id="rId8" w:fontKey="{7641F160-03C3-4FF9-A06C-A22DF2C56576}"/>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68C4EEF5">
        <w:pPr>
          <w:pStyle w:val="8"/>
          <w:jc w:val="center"/>
        </w:pPr>
        <w:r>
          <w:fldChar w:fldCharType="begin"/>
        </w:r>
        <w:r>
          <w:instrText xml:space="preserve"> PAGE   \* MERGEFORMAT </w:instrText>
        </w:r>
        <w:r>
          <w:fldChar w:fldCharType="separate"/>
        </w:r>
        <w:r>
          <w:rPr>
            <w:lang w:val="zh-CN"/>
          </w:rPr>
          <w:t>1</w:t>
        </w:r>
        <w:r>
          <w:fldChar w:fldCharType="end"/>
        </w:r>
      </w:p>
    </w:sdtContent>
  </w:sdt>
  <w:p w14:paraId="0FCDB811">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56BA"/>
    <w:rsid w:val="00FF6940"/>
    <w:rsid w:val="010F224A"/>
    <w:rsid w:val="01274B1B"/>
    <w:rsid w:val="01347A59"/>
    <w:rsid w:val="015E662E"/>
    <w:rsid w:val="01616198"/>
    <w:rsid w:val="0185764C"/>
    <w:rsid w:val="01983DFD"/>
    <w:rsid w:val="01BD2DFA"/>
    <w:rsid w:val="01CC0D9C"/>
    <w:rsid w:val="0206360D"/>
    <w:rsid w:val="021A6C4F"/>
    <w:rsid w:val="023738A5"/>
    <w:rsid w:val="023F66B6"/>
    <w:rsid w:val="026A2C65"/>
    <w:rsid w:val="02CA0627"/>
    <w:rsid w:val="02E54758"/>
    <w:rsid w:val="03205D78"/>
    <w:rsid w:val="03266B39"/>
    <w:rsid w:val="03863E70"/>
    <w:rsid w:val="03E976DD"/>
    <w:rsid w:val="03EC7B8D"/>
    <w:rsid w:val="03FA3061"/>
    <w:rsid w:val="04031410"/>
    <w:rsid w:val="044D18F9"/>
    <w:rsid w:val="04502D22"/>
    <w:rsid w:val="045330F4"/>
    <w:rsid w:val="04536448"/>
    <w:rsid w:val="049D013C"/>
    <w:rsid w:val="04B03763"/>
    <w:rsid w:val="04E46F4E"/>
    <w:rsid w:val="04FF6360"/>
    <w:rsid w:val="05322738"/>
    <w:rsid w:val="056621AB"/>
    <w:rsid w:val="05C70077"/>
    <w:rsid w:val="05C96278"/>
    <w:rsid w:val="06113EC5"/>
    <w:rsid w:val="0678105C"/>
    <w:rsid w:val="06832E03"/>
    <w:rsid w:val="069C6DB0"/>
    <w:rsid w:val="069D0573"/>
    <w:rsid w:val="06B1615B"/>
    <w:rsid w:val="06C66443"/>
    <w:rsid w:val="06C77B40"/>
    <w:rsid w:val="06D80E87"/>
    <w:rsid w:val="06DC097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FB7366"/>
    <w:rsid w:val="0A1D552E"/>
    <w:rsid w:val="0A3C5107"/>
    <w:rsid w:val="0A4E393A"/>
    <w:rsid w:val="0A5B64F8"/>
    <w:rsid w:val="0A763824"/>
    <w:rsid w:val="0A7B04A7"/>
    <w:rsid w:val="0A7C68CF"/>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43308A"/>
    <w:rsid w:val="0E6374AD"/>
    <w:rsid w:val="0E8325FF"/>
    <w:rsid w:val="0EED2EF8"/>
    <w:rsid w:val="0F29338B"/>
    <w:rsid w:val="0F3F328D"/>
    <w:rsid w:val="0F766FBE"/>
    <w:rsid w:val="0FE4208C"/>
    <w:rsid w:val="100E1475"/>
    <w:rsid w:val="10CD38FB"/>
    <w:rsid w:val="10D4446D"/>
    <w:rsid w:val="10E7087B"/>
    <w:rsid w:val="110B729A"/>
    <w:rsid w:val="1125116C"/>
    <w:rsid w:val="11335902"/>
    <w:rsid w:val="117D4B05"/>
    <w:rsid w:val="118B16AA"/>
    <w:rsid w:val="11A3314B"/>
    <w:rsid w:val="11A80A80"/>
    <w:rsid w:val="11B87ECD"/>
    <w:rsid w:val="11C2380E"/>
    <w:rsid w:val="11D61961"/>
    <w:rsid w:val="11F56AE8"/>
    <w:rsid w:val="12386C7D"/>
    <w:rsid w:val="124B7A87"/>
    <w:rsid w:val="126637EB"/>
    <w:rsid w:val="1288550F"/>
    <w:rsid w:val="128976FA"/>
    <w:rsid w:val="129E4D32"/>
    <w:rsid w:val="12A241EB"/>
    <w:rsid w:val="12AB6640"/>
    <w:rsid w:val="12E30C1F"/>
    <w:rsid w:val="12E7492B"/>
    <w:rsid w:val="12F74E05"/>
    <w:rsid w:val="13031039"/>
    <w:rsid w:val="130767EA"/>
    <w:rsid w:val="133B07D3"/>
    <w:rsid w:val="133C0117"/>
    <w:rsid w:val="135C498D"/>
    <w:rsid w:val="13821170"/>
    <w:rsid w:val="139129A8"/>
    <w:rsid w:val="13922BF1"/>
    <w:rsid w:val="13D36C5E"/>
    <w:rsid w:val="13EB7414"/>
    <w:rsid w:val="13F029C1"/>
    <w:rsid w:val="144E3FF1"/>
    <w:rsid w:val="14F96AB7"/>
    <w:rsid w:val="15001598"/>
    <w:rsid w:val="15745BF8"/>
    <w:rsid w:val="15745F64"/>
    <w:rsid w:val="15992531"/>
    <w:rsid w:val="15A65012"/>
    <w:rsid w:val="15BA6327"/>
    <w:rsid w:val="15D171CD"/>
    <w:rsid w:val="161B24DD"/>
    <w:rsid w:val="165D6CB3"/>
    <w:rsid w:val="16972CA0"/>
    <w:rsid w:val="16CD3D3A"/>
    <w:rsid w:val="16D6210A"/>
    <w:rsid w:val="16D65855"/>
    <w:rsid w:val="17033CFE"/>
    <w:rsid w:val="17223FB8"/>
    <w:rsid w:val="1758191D"/>
    <w:rsid w:val="175B7694"/>
    <w:rsid w:val="176C4AB8"/>
    <w:rsid w:val="177C3929"/>
    <w:rsid w:val="17B100C3"/>
    <w:rsid w:val="17DF16B3"/>
    <w:rsid w:val="17E86E1F"/>
    <w:rsid w:val="17F5EFB9"/>
    <w:rsid w:val="18117D55"/>
    <w:rsid w:val="182300F4"/>
    <w:rsid w:val="18697B91"/>
    <w:rsid w:val="18B6570D"/>
    <w:rsid w:val="190F698A"/>
    <w:rsid w:val="1913273A"/>
    <w:rsid w:val="19263CD4"/>
    <w:rsid w:val="193A152D"/>
    <w:rsid w:val="19436568"/>
    <w:rsid w:val="194648E3"/>
    <w:rsid w:val="19543092"/>
    <w:rsid w:val="195A7AA1"/>
    <w:rsid w:val="19826875"/>
    <w:rsid w:val="1A26274F"/>
    <w:rsid w:val="1A3F482E"/>
    <w:rsid w:val="1A6F6B27"/>
    <w:rsid w:val="1AA53A0E"/>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F77DC1"/>
    <w:rsid w:val="1DFE05A9"/>
    <w:rsid w:val="1E0D5BAF"/>
    <w:rsid w:val="1E1C7453"/>
    <w:rsid w:val="1E29229C"/>
    <w:rsid w:val="1E4E4190"/>
    <w:rsid w:val="1EB10230"/>
    <w:rsid w:val="1EFA3C38"/>
    <w:rsid w:val="1F584514"/>
    <w:rsid w:val="1F721A21"/>
    <w:rsid w:val="1F88739B"/>
    <w:rsid w:val="1FB931AC"/>
    <w:rsid w:val="1FCC1C23"/>
    <w:rsid w:val="1FE81CA9"/>
    <w:rsid w:val="2024673D"/>
    <w:rsid w:val="203459B1"/>
    <w:rsid w:val="20464D0F"/>
    <w:rsid w:val="208A1E70"/>
    <w:rsid w:val="20CE32DF"/>
    <w:rsid w:val="21581143"/>
    <w:rsid w:val="21731FC6"/>
    <w:rsid w:val="224065C6"/>
    <w:rsid w:val="225E1A32"/>
    <w:rsid w:val="227C6712"/>
    <w:rsid w:val="22B606A5"/>
    <w:rsid w:val="22C8411F"/>
    <w:rsid w:val="230B6BE1"/>
    <w:rsid w:val="230F6726"/>
    <w:rsid w:val="235A7381"/>
    <w:rsid w:val="23896639"/>
    <w:rsid w:val="23FE6BEB"/>
    <w:rsid w:val="240C0762"/>
    <w:rsid w:val="2417056F"/>
    <w:rsid w:val="243F2E36"/>
    <w:rsid w:val="24661428"/>
    <w:rsid w:val="24783AE8"/>
    <w:rsid w:val="24CF6569"/>
    <w:rsid w:val="24EB649B"/>
    <w:rsid w:val="25096983"/>
    <w:rsid w:val="25333A00"/>
    <w:rsid w:val="2539529B"/>
    <w:rsid w:val="25477BE6"/>
    <w:rsid w:val="25777D91"/>
    <w:rsid w:val="25C160B6"/>
    <w:rsid w:val="25F27417"/>
    <w:rsid w:val="264D0AF2"/>
    <w:rsid w:val="265F0A89"/>
    <w:rsid w:val="2677791D"/>
    <w:rsid w:val="268F115B"/>
    <w:rsid w:val="26B754F1"/>
    <w:rsid w:val="26C568DA"/>
    <w:rsid w:val="273C518D"/>
    <w:rsid w:val="274E7AE6"/>
    <w:rsid w:val="276F34B2"/>
    <w:rsid w:val="278247CB"/>
    <w:rsid w:val="281178FD"/>
    <w:rsid w:val="28580ADB"/>
    <w:rsid w:val="286F4FF3"/>
    <w:rsid w:val="28825BFB"/>
    <w:rsid w:val="288551E7"/>
    <w:rsid w:val="28926C90"/>
    <w:rsid w:val="295F08D4"/>
    <w:rsid w:val="295F64C3"/>
    <w:rsid w:val="296C52D4"/>
    <w:rsid w:val="298F28EB"/>
    <w:rsid w:val="29983A2E"/>
    <w:rsid w:val="29AB7B17"/>
    <w:rsid w:val="29C00339"/>
    <w:rsid w:val="29C65192"/>
    <w:rsid w:val="29F04814"/>
    <w:rsid w:val="29F144CC"/>
    <w:rsid w:val="2A036979"/>
    <w:rsid w:val="2A09659A"/>
    <w:rsid w:val="2A6D1FF3"/>
    <w:rsid w:val="2A9A40EC"/>
    <w:rsid w:val="2AC66FA8"/>
    <w:rsid w:val="2AF04F6E"/>
    <w:rsid w:val="2AFC5AFB"/>
    <w:rsid w:val="2B0A3BDA"/>
    <w:rsid w:val="2B2F07C6"/>
    <w:rsid w:val="2B3C1135"/>
    <w:rsid w:val="2B42499D"/>
    <w:rsid w:val="2B4851D7"/>
    <w:rsid w:val="2B4D3A55"/>
    <w:rsid w:val="2B894C74"/>
    <w:rsid w:val="2BC7BC1E"/>
    <w:rsid w:val="2BDA5D01"/>
    <w:rsid w:val="2BF1120B"/>
    <w:rsid w:val="2C0F71C6"/>
    <w:rsid w:val="2C180EE3"/>
    <w:rsid w:val="2C504E98"/>
    <w:rsid w:val="2C8150CE"/>
    <w:rsid w:val="2C923702"/>
    <w:rsid w:val="2CD800EF"/>
    <w:rsid w:val="2CF702D2"/>
    <w:rsid w:val="2D2C0156"/>
    <w:rsid w:val="2D757D3E"/>
    <w:rsid w:val="2D8A5990"/>
    <w:rsid w:val="2DCD5212"/>
    <w:rsid w:val="2DDEA86B"/>
    <w:rsid w:val="2DEB4B2A"/>
    <w:rsid w:val="2E2417B8"/>
    <w:rsid w:val="2E3F10E4"/>
    <w:rsid w:val="2E4F2F2D"/>
    <w:rsid w:val="2E850E66"/>
    <w:rsid w:val="2E900287"/>
    <w:rsid w:val="2EBA0EC3"/>
    <w:rsid w:val="2EC90F31"/>
    <w:rsid w:val="2EFCAD14"/>
    <w:rsid w:val="2F1034C5"/>
    <w:rsid w:val="2F193C67"/>
    <w:rsid w:val="2F503401"/>
    <w:rsid w:val="2F73052B"/>
    <w:rsid w:val="2F8D6403"/>
    <w:rsid w:val="2FA2210D"/>
    <w:rsid w:val="2FD61B58"/>
    <w:rsid w:val="2FDE595E"/>
    <w:rsid w:val="2FE93D71"/>
    <w:rsid w:val="2FF22D70"/>
    <w:rsid w:val="2FF36C4C"/>
    <w:rsid w:val="30163326"/>
    <w:rsid w:val="30183F1E"/>
    <w:rsid w:val="30264CD6"/>
    <w:rsid w:val="30AE5476"/>
    <w:rsid w:val="30B359F5"/>
    <w:rsid w:val="30D44AB8"/>
    <w:rsid w:val="310B6823"/>
    <w:rsid w:val="310D4644"/>
    <w:rsid w:val="315C7EF7"/>
    <w:rsid w:val="31726692"/>
    <w:rsid w:val="31E77834"/>
    <w:rsid w:val="31F9490F"/>
    <w:rsid w:val="32031192"/>
    <w:rsid w:val="320C339A"/>
    <w:rsid w:val="3287538B"/>
    <w:rsid w:val="32880196"/>
    <w:rsid w:val="32880242"/>
    <w:rsid w:val="32AF043E"/>
    <w:rsid w:val="32DD4FAB"/>
    <w:rsid w:val="330A2F23"/>
    <w:rsid w:val="33136C1F"/>
    <w:rsid w:val="33463F29"/>
    <w:rsid w:val="33691E57"/>
    <w:rsid w:val="337A7851"/>
    <w:rsid w:val="337F33E7"/>
    <w:rsid w:val="338226ED"/>
    <w:rsid w:val="33963EC1"/>
    <w:rsid w:val="339B6E55"/>
    <w:rsid w:val="33EA5929"/>
    <w:rsid w:val="341577D4"/>
    <w:rsid w:val="341964B7"/>
    <w:rsid w:val="343E6645"/>
    <w:rsid w:val="345A419C"/>
    <w:rsid w:val="34A11138"/>
    <w:rsid w:val="34E16FD5"/>
    <w:rsid w:val="34ED7969"/>
    <w:rsid w:val="350B72A5"/>
    <w:rsid w:val="352A11F5"/>
    <w:rsid w:val="353D2C02"/>
    <w:rsid w:val="359D0A22"/>
    <w:rsid w:val="35A115B8"/>
    <w:rsid w:val="35A83E4D"/>
    <w:rsid w:val="35B30145"/>
    <w:rsid w:val="35B77C4C"/>
    <w:rsid w:val="35F50137"/>
    <w:rsid w:val="35F75AA7"/>
    <w:rsid w:val="36133EE5"/>
    <w:rsid w:val="363F4E5F"/>
    <w:rsid w:val="364822F3"/>
    <w:rsid w:val="366B2BAE"/>
    <w:rsid w:val="36923616"/>
    <w:rsid w:val="36977881"/>
    <w:rsid w:val="36CE7571"/>
    <w:rsid w:val="36E87048"/>
    <w:rsid w:val="36F35415"/>
    <w:rsid w:val="36F404AC"/>
    <w:rsid w:val="370276D6"/>
    <w:rsid w:val="37405F27"/>
    <w:rsid w:val="374B5942"/>
    <w:rsid w:val="3776777C"/>
    <w:rsid w:val="379F6CD3"/>
    <w:rsid w:val="37F733FB"/>
    <w:rsid w:val="37FF6F6F"/>
    <w:rsid w:val="38240B98"/>
    <w:rsid w:val="383E64EC"/>
    <w:rsid w:val="38593B40"/>
    <w:rsid w:val="3862208C"/>
    <w:rsid w:val="387EDF85"/>
    <w:rsid w:val="388108C3"/>
    <w:rsid w:val="38975BFC"/>
    <w:rsid w:val="38C379B5"/>
    <w:rsid w:val="38C509BB"/>
    <w:rsid w:val="38DF7CCF"/>
    <w:rsid w:val="38F238BF"/>
    <w:rsid w:val="3967203B"/>
    <w:rsid w:val="3971469F"/>
    <w:rsid w:val="39901BA3"/>
    <w:rsid w:val="399B064A"/>
    <w:rsid w:val="39A67E82"/>
    <w:rsid w:val="39B6232E"/>
    <w:rsid w:val="3A0647A8"/>
    <w:rsid w:val="3A3B3E93"/>
    <w:rsid w:val="3A46647C"/>
    <w:rsid w:val="3A563FC1"/>
    <w:rsid w:val="3A8D477A"/>
    <w:rsid w:val="3ACC7DDF"/>
    <w:rsid w:val="3AEA76AE"/>
    <w:rsid w:val="3B0208F8"/>
    <w:rsid w:val="3B1A5441"/>
    <w:rsid w:val="3B224C33"/>
    <w:rsid w:val="3B2857D5"/>
    <w:rsid w:val="3B5322AF"/>
    <w:rsid w:val="3B7F790A"/>
    <w:rsid w:val="3B8D6426"/>
    <w:rsid w:val="3BA26D92"/>
    <w:rsid w:val="3BB75A86"/>
    <w:rsid w:val="3BC82C9D"/>
    <w:rsid w:val="3BF27D19"/>
    <w:rsid w:val="3C9F1CFE"/>
    <w:rsid w:val="3CA2012A"/>
    <w:rsid w:val="3CAC68E3"/>
    <w:rsid w:val="3CD66855"/>
    <w:rsid w:val="3CE05DDA"/>
    <w:rsid w:val="3CE358B4"/>
    <w:rsid w:val="3CF94719"/>
    <w:rsid w:val="3D166CE2"/>
    <w:rsid w:val="3D31661F"/>
    <w:rsid w:val="3D954E00"/>
    <w:rsid w:val="3DF00441"/>
    <w:rsid w:val="3E004349"/>
    <w:rsid w:val="3E193EFF"/>
    <w:rsid w:val="3E1A07D9"/>
    <w:rsid w:val="3E3444BC"/>
    <w:rsid w:val="3E3E7246"/>
    <w:rsid w:val="3E540312"/>
    <w:rsid w:val="3E693B97"/>
    <w:rsid w:val="3EA705E8"/>
    <w:rsid w:val="3F0D7BFA"/>
    <w:rsid w:val="3F3F80FD"/>
    <w:rsid w:val="3F5A70F8"/>
    <w:rsid w:val="3FB3677A"/>
    <w:rsid w:val="3FBAE496"/>
    <w:rsid w:val="3FC221AA"/>
    <w:rsid w:val="3FEF57BF"/>
    <w:rsid w:val="3FF66F6D"/>
    <w:rsid w:val="400431FA"/>
    <w:rsid w:val="40075906"/>
    <w:rsid w:val="404843AC"/>
    <w:rsid w:val="407427F0"/>
    <w:rsid w:val="40813632"/>
    <w:rsid w:val="408E501D"/>
    <w:rsid w:val="40A5594B"/>
    <w:rsid w:val="40E53934"/>
    <w:rsid w:val="413655BF"/>
    <w:rsid w:val="415118B0"/>
    <w:rsid w:val="41BD4926"/>
    <w:rsid w:val="41CC6917"/>
    <w:rsid w:val="42515CDB"/>
    <w:rsid w:val="42C972FA"/>
    <w:rsid w:val="42CE23A8"/>
    <w:rsid w:val="430640AA"/>
    <w:rsid w:val="432602A9"/>
    <w:rsid w:val="432B46F7"/>
    <w:rsid w:val="43DE4EDB"/>
    <w:rsid w:val="44561BBB"/>
    <w:rsid w:val="44650C44"/>
    <w:rsid w:val="44780FD8"/>
    <w:rsid w:val="449776B0"/>
    <w:rsid w:val="44AC5D46"/>
    <w:rsid w:val="44E447A9"/>
    <w:rsid w:val="44EB79E6"/>
    <w:rsid w:val="44FA19ED"/>
    <w:rsid w:val="44FB7652"/>
    <w:rsid w:val="45060392"/>
    <w:rsid w:val="454650B7"/>
    <w:rsid w:val="45743F52"/>
    <w:rsid w:val="457A7CBD"/>
    <w:rsid w:val="46146ADE"/>
    <w:rsid w:val="4621081D"/>
    <w:rsid w:val="46252A99"/>
    <w:rsid w:val="465F07C8"/>
    <w:rsid w:val="46652A90"/>
    <w:rsid w:val="4679208B"/>
    <w:rsid w:val="4685178A"/>
    <w:rsid w:val="469D2D23"/>
    <w:rsid w:val="46C01ECC"/>
    <w:rsid w:val="473EBFAA"/>
    <w:rsid w:val="47655843"/>
    <w:rsid w:val="47BD0D72"/>
    <w:rsid w:val="47C66632"/>
    <w:rsid w:val="47D00801"/>
    <w:rsid w:val="47F03ADF"/>
    <w:rsid w:val="47FD397C"/>
    <w:rsid w:val="486711AE"/>
    <w:rsid w:val="489B5295"/>
    <w:rsid w:val="48E22EC4"/>
    <w:rsid w:val="48EFFFB7"/>
    <w:rsid w:val="492F07AA"/>
    <w:rsid w:val="496976A0"/>
    <w:rsid w:val="496F0653"/>
    <w:rsid w:val="498521CD"/>
    <w:rsid w:val="49866DC9"/>
    <w:rsid w:val="4A183041"/>
    <w:rsid w:val="4A4F3650"/>
    <w:rsid w:val="4A633B90"/>
    <w:rsid w:val="4A8C3A4B"/>
    <w:rsid w:val="4B021EAA"/>
    <w:rsid w:val="4BE6298B"/>
    <w:rsid w:val="4BE92FFC"/>
    <w:rsid w:val="4BFB6776"/>
    <w:rsid w:val="4C137950"/>
    <w:rsid w:val="4C463B9B"/>
    <w:rsid w:val="4C5306B0"/>
    <w:rsid w:val="4C675977"/>
    <w:rsid w:val="4C787DC7"/>
    <w:rsid w:val="4C9E7414"/>
    <w:rsid w:val="4CF5766A"/>
    <w:rsid w:val="4DCD46A9"/>
    <w:rsid w:val="4E283A27"/>
    <w:rsid w:val="4E6143AC"/>
    <w:rsid w:val="4E7B76FB"/>
    <w:rsid w:val="4EA24CEF"/>
    <w:rsid w:val="4EAC675F"/>
    <w:rsid w:val="4EDB288F"/>
    <w:rsid w:val="4F0D376E"/>
    <w:rsid w:val="4F0E3372"/>
    <w:rsid w:val="4F5B752C"/>
    <w:rsid w:val="4F823DD9"/>
    <w:rsid w:val="4F8627FB"/>
    <w:rsid w:val="4F906B3E"/>
    <w:rsid w:val="4FB7BF96"/>
    <w:rsid w:val="5034292E"/>
    <w:rsid w:val="50451150"/>
    <w:rsid w:val="50542E6C"/>
    <w:rsid w:val="5059750F"/>
    <w:rsid w:val="508942AC"/>
    <w:rsid w:val="50B762A4"/>
    <w:rsid w:val="50F11284"/>
    <w:rsid w:val="51090B67"/>
    <w:rsid w:val="515E65F2"/>
    <w:rsid w:val="51647E65"/>
    <w:rsid w:val="516E1798"/>
    <w:rsid w:val="517EF261"/>
    <w:rsid w:val="518E5080"/>
    <w:rsid w:val="519B5459"/>
    <w:rsid w:val="51B62F6F"/>
    <w:rsid w:val="51DB6702"/>
    <w:rsid w:val="51E42676"/>
    <w:rsid w:val="51E63155"/>
    <w:rsid w:val="52100B78"/>
    <w:rsid w:val="523B2BB4"/>
    <w:rsid w:val="527821A3"/>
    <w:rsid w:val="52862B12"/>
    <w:rsid w:val="52E7714D"/>
    <w:rsid w:val="531A45CD"/>
    <w:rsid w:val="536D782E"/>
    <w:rsid w:val="536F446E"/>
    <w:rsid w:val="5373753A"/>
    <w:rsid w:val="53964FD7"/>
    <w:rsid w:val="53AF4616"/>
    <w:rsid w:val="53CA4C80"/>
    <w:rsid w:val="53DD34F6"/>
    <w:rsid w:val="53EB1324"/>
    <w:rsid w:val="53F2E4B1"/>
    <w:rsid w:val="54177124"/>
    <w:rsid w:val="54255B38"/>
    <w:rsid w:val="54302D35"/>
    <w:rsid w:val="545F1973"/>
    <w:rsid w:val="55414B88"/>
    <w:rsid w:val="55712AF8"/>
    <w:rsid w:val="5583149A"/>
    <w:rsid w:val="5583158B"/>
    <w:rsid w:val="55AD03B6"/>
    <w:rsid w:val="55AF31E5"/>
    <w:rsid w:val="55F25877"/>
    <w:rsid w:val="567031D4"/>
    <w:rsid w:val="56CA2798"/>
    <w:rsid w:val="57156660"/>
    <w:rsid w:val="573FA34A"/>
    <w:rsid w:val="57A74CCB"/>
    <w:rsid w:val="57AF01B4"/>
    <w:rsid w:val="57AF5A63"/>
    <w:rsid w:val="57B36D95"/>
    <w:rsid w:val="57C863EE"/>
    <w:rsid w:val="57D041FE"/>
    <w:rsid w:val="57E60AD3"/>
    <w:rsid w:val="57FA3D86"/>
    <w:rsid w:val="5807444A"/>
    <w:rsid w:val="580E02F4"/>
    <w:rsid w:val="5842572D"/>
    <w:rsid w:val="585F62DF"/>
    <w:rsid w:val="586C030E"/>
    <w:rsid w:val="58761D2A"/>
    <w:rsid w:val="587D4231"/>
    <w:rsid w:val="58805F03"/>
    <w:rsid w:val="58BB47B4"/>
    <w:rsid w:val="58DF507F"/>
    <w:rsid w:val="593A774E"/>
    <w:rsid w:val="593C011F"/>
    <w:rsid w:val="59575208"/>
    <w:rsid w:val="599F27D5"/>
    <w:rsid w:val="59CF1242"/>
    <w:rsid w:val="5A0709F2"/>
    <w:rsid w:val="5A260902"/>
    <w:rsid w:val="5A2C5B56"/>
    <w:rsid w:val="5A3F3598"/>
    <w:rsid w:val="5A536436"/>
    <w:rsid w:val="5A5615D8"/>
    <w:rsid w:val="5A6E6B8A"/>
    <w:rsid w:val="5A744C2A"/>
    <w:rsid w:val="5A751DEA"/>
    <w:rsid w:val="5AF91F68"/>
    <w:rsid w:val="5AFDE74E"/>
    <w:rsid w:val="5B000EEE"/>
    <w:rsid w:val="5B083DB2"/>
    <w:rsid w:val="5B413CE0"/>
    <w:rsid w:val="5B953DC6"/>
    <w:rsid w:val="5BD42B40"/>
    <w:rsid w:val="5BD963A8"/>
    <w:rsid w:val="5BDF9B26"/>
    <w:rsid w:val="5BFED281"/>
    <w:rsid w:val="5C191ECB"/>
    <w:rsid w:val="5C2A09B2"/>
    <w:rsid w:val="5C3E7FB9"/>
    <w:rsid w:val="5C517106"/>
    <w:rsid w:val="5C5477DD"/>
    <w:rsid w:val="5C7A1030"/>
    <w:rsid w:val="5CAE41E2"/>
    <w:rsid w:val="5D170F36"/>
    <w:rsid w:val="5D3A72AF"/>
    <w:rsid w:val="5D6A3A99"/>
    <w:rsid w:val="5D705525"/>
    <w:rsid w:val="5D720862"/>
    <w:rsid w:val="5D7243BE"/>
    <w:rsid w:val="5D873B8C"/>
    <w:rsid w:val="5D88069A"/>
    <w:rsid w:val="5DAC4336"/>
    <w:rsid w:val="5DC80482"/>
    <w:rsid w:val="5DD24D3F"/>
    <w:rsid w:val="5DF17B9C"/>
    <w:rsid w:val="5E06199D"/>
    <w:rsid w:val="5E2161CD"/>
    <w:rsid w:val="5E2B348B"/>
    <w:rsid w:val="5E331D87"/>
    <w:rsid w:val="5E465A3C"/>
    <w:rsid w:val="5E4B07C4"/>
    <w:rsid w:val="5E654710"/>
    <w:rsid w:val="5E7F832B"/>
    <w:rsid w:val="5E916B89"/>
    <w:rsid w:val="5EB96C36"/>
    <w:rsid w:val="5EF143CD"/>
    <w:rsid w:val="5F16521D"/>
    <w:rsid w:val="5F3F2144"/>
    <w:rsid w:val="5FB75E60"/>
    <w:rsid w:val="5FBF531E"/>
    <w:rsid w:val="601D4FE1"/>
    <w:rsid w:val="602045A6"/>
    <w:rsid w:val="603354FA"/>
    <w:rsid w:val="60455DBA"/>
    <w:rsid w:val="60811D0E"/>
    <w:rsid w:val="60912FA5"/>
    <w:rsid w:val="60D62EB6"/>
    <w:rsid w:val="60DA1397"/>
    <w:rsid w:val="611B2BA6"/>
    <w:rsid w:val="61256752"/>
    <w:rsid w:val="61261FAC"/>
    <w:rsid w:val="61357BDD"/>
    <w:rsid w:val="614B7400"/>
    <w:rsid w:val="61641588"/>
    <w:rsid w:val="61695559"/>
    <w:rsid w:val="61834D9A"/>
    <w:rsid w:val="618B64A9"/>
    <w:rsid w:val="61C64CD9"/>
    <w:rsid w:val="61CB5A43"/>
    <w:rsid w:val="621046E0"/>
    <w:rsid w:val="6210776D"/>
    <w:rsid w:val="623B1F9B"/>
    <w:rsid w:val="623C31ED"/>
    <w:rsid w:val="62830C7A"/>
    <w:rsid w:val="62C25536"/>
    <w:rsid w:val="62E37E9C"/>
    <w:rsid w:val="633705C9"/>
    <w:rsid w:val="635A392B"/>
    <w:rsid w:val="636D6842"/>
    <w:rsid w:val="636E3F6A"/>
    <w:rsid w:val="63D53B77"/>
    <w:rsid w:val="63EA6AC5"/>
    <w:rsid w:val="63ED29F1"/>
    <w:rsid w:val="641206A9"/>
    <w:rsid w:val="643B2B1B"/>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F7E77"/>
    <w:rsid w:val="65B35574"/>
    <w:rsid w:val="65CA5969"/>
    <w:rsid w:val="65F92442"/>
    <w:rsid w:val="65FC2212"/>
    <w:rsid w:val="66694FFC"/>
    <w:rsid w:val="66A43DDF"/>
    <w:rsid w:val="66AA7936"/>
    <w:rsid w:val="66CF35F6"/>
    <w:rsid w:val="66EF082E"/>
    <w:rsid w:val="66F70FB4"/>
    <w:rsid w:val="6736645D"/>
    <w:rsid w:val="67765819"/>
    <w:rsid w:val="67955879"/>
    <w:rsid w:val="67994D3C"/>
    <w:rsid w:val="67B04461"/>
    <w:rsid w:val="67BF2C90"/>
    <w:rsid w:val="67C021CA"/>
    <w:rsid w:val="67D6379C"/>
    <w:rsid w:val="67FF0F2E"/>
    <w:rsid w:val="683D4DCE"/>
    <w:rsid w:val="685272C6"/>
    <w:rsid w:val="686F385C"/>
    <w:rsid w:val="687507C6"/>
    <w:rsid w:val="68802085"/>
    <w:rsid w:val="68BA3505"/>
    <w:rsid w:val="68C97D85"/>
    <w:rsid w:val="690412D8"/>
    <w:rsid w:val="690A7BA1"/>
    <w:rsid w:val="69685105"/>
    <w:rsid w:val="69953851"/>
    <w:rsid w:val="69C376DE"/>
    <w:rsid w:val="69CA7330"/>
    <w:rsid w:val="69D8056C"/>
    <w:rsid w:val="6A1A02B8"/>
    <w:rsid w:val="6A682DD1"/>
    <w:rsid w:val="6A6E392C"/>
    <w:rsid w:val="6A943DA9"/>
    <w:rsid w:val="6AC66C31"/>
    <w:rsid w:val="6B2E009A"/>
    <w:rsid w:val="6B2F1B41"/>
    <w:rsid w:val="6BE4292B"/>
    <w:rsid w:val="6BE648F5"/>
    <w:rsid w:val="6C060AF4"/>
    <w:rsid w:val="6CB70AB4"/>
    <w:rsid w:val="6CB97B06"/>
    <w:rsid w:val="6CDB6C5C"/>
    <w:rsid w:val="6CDF30F3"/>
    <w:rsid w:val="6CF21078"/>
    <w:rsid w:val="6D130C55"/>
    <w:rsid w:val="6D176D30"/>
    <w:rsid w:val="6D535020"/>
    <w:rsid w:val="6D7101EF"/>
    <w:rsid w:val="6DA71E62"/>
    <w:rsid w:val="6E2E27A1"/>
    <w:rsid w:val="6E385204"/>
    <w:rsid w:val="6E3B3E98"/>
    <w:rsid w:val="6E5F7ED0"/>
    <w:rsid w:val="6E7B7112"/>
    <w:rsid w:val="6E82642B"/>
    <w:rsid w:val="6E9D63C6"/>
    <w:rsid w:val="6EA24C4D"/>
    <w:rsid w:val="6EBE28DC"/>
    <w:rsid w:val="6EDC5B3C"/>
    <w:rsid w:val="6F15104E"/>
    <w:rsid w:val="6F3C2A7E"/>
    <w:rsid w:val="6F432BB5"/>
    <w:rsid w:val="6F66523F"/>
    <w:rsid w:val="6F810870"/>
    <w:rsid w:val="6F9306DC"/>
    <w:rsid w:val="6FA58833"/>
    <w:rsid w:val="6FBD1ACE"/>
    <w:rsid w:val="6FBF7D75"/>
    <w:rsid w:val="6FDB28FF"/>
    <w:rsid w:val="6FF11ABB"/>
    <w:rsid w:val="6FF7515F"/>
    <w:rsid w:val="6FFCC4A3"/>
    <w:rsid w:val="6FFDBB43"/>
    <w:rsid w:val="70231A8E"/>
    <w:rsid w:val="702E4EC4"/>
    <w:rsid w:val="70967F6C"/>
    <w:rsid w:val="710B44B6"/>
    <w:rsid w:val="713068CC"/>
    <w:rsid w:val="71671BB3"/>
    <w:rsid w:val="71876F38"/>
    <w:rsid w:val="71A37770"/>
    <w:rsid w:val="71F96F8C"/>
    <w:rsid w:val="728A5FC4"/>
    <w:rsid w:val="730209FD"/>
    <w:rsid w:val="73212FAA"/>
    <w:rsid w:val="73225539"/>
    <w:rsid w:val="732E004E"/>
    <w:rsid w:val="73734595"/>
    <w:rsid w:val="73BF59B4"/>
    <w:rsid w:val="73DA4614"/>
    <w:rsid w:val="73E5505E"/>
    <w:rsid w:val="741D67C1"/>
    <w:rsid w:val="74257F85"/>
    <w:rsid w:val="7459071E"/>
    <w:rsid w:val="745A0877"/>
    <w:rsid w:val="745D14CD"/>
    <w:rsid w:val="74B11819"/>
    <w:rsid w:val="74D03FCD"/>
    <w:rsid w:val="74FF7F60"/>
    <w:rsid w:val="751E6781"/>
    <w:rsid w:val="754B0CEB"/>
    <w:rsid w:val="7564688B"/>
    <w:rsid w:val="75736ACE"/>
    <w:rsid w:val="759539C4"/>
    <w:rsid w:val="75AE311E"/>
    <w:rsid w:val="75BFF450"/>
    <w:rsid w:val="75E44E88"/>
    <w:rsid w:val="76021360"/>
    <w:rsid w:val="766A47AF"/>
    <w:rsid w:val="767832FE"/>
    <w:rsid w:val="76F97188"/>
    <w:rsid w:val="771FB694"/>
    <w:rsid w:val="77335560"/>
    <w:rsid w:val="7748251C"/>
    <w:rsid w:val="77C1275B"/>
    <w:rsid w:val="77EB7392"/>
    <w:rsid w:val="78157F2D"/>
    <w:rsid w:val="78895189"/>
    <w:rsid w:val="78CA4C57"/>
    <w:rsid w:val="78F8520E"/>
    <w:rsid w:val="792C3B64"/>
    <w:rsid w:val="796020E3"/>
    <w:rsid w:val="796023CA"/>
    <w:rsid w:val="79AB7D0F"/>
    <w:rsid w:val="79AC25AE"/>
    <w:rsid w:val="79B17A6A"/>
    <w:rsid w:val="79D02741"/>
    <w:rsid w:val="79EA29FC"/>
    <w:rsid w:val="7A120F79"/>
    <w:rsid w:val="7A276E16"/>
    <w:rsid w:val="7A287CF8"/>
    <w:rsid w:val="7A54553F"/>
    <w:rsid w:val="7A8157E9"/>
    <w:rsid w:val="7A893A0C"/>
    <w:rsid w:val="7AB80118"/>
    <w:rsid w:val="7AB932CD"/>
    <w:rsid w:val="7AC06311"/>
    <w:rsid w:val="7ACD2A9F"/>
    <w:rsid w:val="7ACD72FD"/>
    <w:rsid w:val="7B580D75"/>
    <w:rsid w:val="7B5D1DB2"/>
    <w:rsid w:val="7B7760B7"/>
    <w:rsid w:val="7B7F0047"/>
    <w:rsid w:val="7B8E4662"/>
    <w:rsid w:val="7B9D7783"/>
    <w:rsid w:val="7BB55321"/>
    <w:rsid w:val="7BD39BCE"/>
    <w:rsid w:val="7BF0305F"/>
    <w:rsid w:val="7BFF25E3"/>
    <w:rsid w:val="7BFF8B48"/>
    <w:rsid w:val="7C062CDA"/>
    <w:rsid w:val="7C4D2514"/>
    <w:rsid w:val="7C541895"/>
    <w:rsid w:val="7C8D7C2C"/>
    <w:rsid w:val="7C8F63CF"/>
    <w:rsid w:val="7CB84D3A"/>
    <w:rsid w:val="7CC0319C"/>
    <w:rsid w:val="7CC12956"/>
    <w:rsid w:val="7CEF1130"/>
    <w:rsid w:val="7D151A1A"/>
    <w:rsid w:val="7D28714F"/>
    <w:rsid w:val="7D366D5F"/>
    <w:rsid w:val="7D46794D"/>
    <w:rsid w:val="7D7E33C6"/>
    <w:rsid w:val="7D7E3AAA"/>
    <w:rsid w:val="7D9B0EF1"/>
    <w:rsid w:val="7DA77C5D"/>
    <w:rsid w:val="7DEF428F"/>
    <w:rsid w:val="7E3C48AF"/>
    <w:rsid w:val="7E3E27A1"/>
    <w:rsid w:val="7E851D4C"/>
    <w:rsid w:val="7EB937A4"/>
    <w:rsid w:val="7EC37E35"/>
    <w:rsid w:val="7EFD4CFB"/>
    <w:rsid w:val="7F3F9D58"/>
    <w:rsid w:val="7F565496"/>
    <w:rsid w:val="7F6D06ED"/>
    <w:rsid w:val="7F7A3BF4"/>
    <w:rsid w:val="7F7FA212"/>
    <w:rsid w:val="7F966A3B"/>
    <w:rsid w:val="7FBB512C"/>
    <w:rsid w:val="7FCC86CA"/>
    <w:rsid w:val="7FD60633"/>
    <w:rsid w:val="7FE72369"/>
    <w:rsid w:val="7FF31172"/>
    <w:rsid w:val="7FF52DA1"/>
    <w:rsid w:val="7FF695FF"/>
    <w:rsid w:val="8B5ADB49"/>
    <w:rsid w:val="97E18C11"/>
    <w:rsid w:val="A7EF2AF6"/>
    <w:rsid w:val="A9FFC550"/>
    <w:rsid w:val="AFFCAABB"/>
    <w:rsid w:val="B4FFF363"/>
    <w:rsid w:val="BDEF5769"/>
    <w:rsid w:val="BF3F0D44"/>
    <w:rsid w:val="BF5FE642"/>
    <w:rsid w:val="BF6F70C9"/>
    <w:rsid w:val="BFBF63A1"/>
    <w:rsid w:val="BFEFD4B7"/>
    <w:rsid w:val="CEEE243A"/>
    <w:rsid w:val="DBFDCC5D"/>
    <w:rsid w:val="DCFB3222"/>
    <w:rsid w:val="DD110A24"/>
    <w:rsid w:val="DFBF0932"/>
    <w:rsid w:val="DFFDB17A"/>
    <w:rsid w:val="E8FFF03E"/>
    <w:rsid w:val="EAF79777"/>
    <w:rsid w:val="EB976D05"/>
    <w:rsid w:val="EDBE670E"/>
    <w:rsid w:val="EE597F45"/>
    <w:rsid w:val="EE5FC20A"/>
    <w:rsid w:val="EEF57B23"/>
    <w:rsid w:val="EF5F6A32"/>
    <w:rsid w:val="EF77433F"/>
    <w:rsid w:val="F33E1373"/>
    <w:rsid w:val="F3FFB6A4"/>
    <w:rsid w:val="F47004EC"/>
    <w:rsid w:val="F529D511"/>
    <w:rsid w:val="F75FE0BB"/>
    <w:rsid w:val="F779A3C2"/>
    <w:rsid w:val="F79FF56E"/>
    <w:rsid w:val="F9754806"/>
    <w:rsid w:val="FB5C5F3C"/>
    <w:rsid w:val="FB658366"/>
    <w:rsid w:val="FB7B8C8B"/>
    <w:rsid w:val="FBB7FF07"/>
    <w:rsid w:val="FBBF5FE4"/>
    <w:rsid w:val="FBF818DB"/>
    <w:rsid w:val="FBFB46A8"/>
    <w:rsid w:val="FBFB6D75"/>
    <w:rsid w:val="FC7EE943"/>
    <w:rsid w:val="FC9DA932"/>
    <w:rsid w:val="FD6EC0EC"/>
    <w:rsid w:val="FDB35BD8"/>
    <w:rsid w:val="FDF7C1A8"/>
    <w:rsid w:val="FDFD1FF7"/>
    <w:rsid w:val="FE9D5B1F"/>
    <w:rsid w:val="FEF94015"/>
    <w:rsid w:val="FEFF70E7"/>
    <w:rsid w:val="FF619F99"/>
    <w:rsid w:val="FF77E933"/>
    <w:rsid w:val="FF7D4695"/>
    <w:rsid w:val="FF7DEB0F"/>
    <w:rsid w:val="FFDFBCB0"/>
    <w:rsid w:val="FFE9E0DD"/>
    <w:rsid w:val="FFEC84C4"/>
    <w:rsid w:val="FFF26F8D"/>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2"/>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qFormat/>
    <w:uiPriority w:val="0"/>
    <w:pPr>
      <w:jc w:val="left"/>
    </w:pPr>
  </w:style>
  <w:style w:type="paragraph" w:styleId="5">
    <w:name w:val="Body Text"/>
    <w:basedOn w:val="1"/>
    <w:qFormat/>
    <w:uiPriority w:val="0"/>
    <w:pPr>
      <w:spacing w:after="120" w:afterLines="0" w:afterAutospacing="0"/>
    </w:pPr>
  </w:style>
  <w:style w:type="paragraph" w:styleId="6">
    <w:name w:val="Date"/>
    <w:basedOn w:val="1"/>
    <w:next w:val="1"/>
    <w:link w:val="23"/>
    <w:qFormat/>
    <w:uiPriority w:val="0"/>
    <w:pPr>
      <w:ind w:left="100" w:leftChars="2500"/>
    </w:pPr>
  </w:style>
  <w:style w:type="paragraph" w:styleId="7">
    <w:name w:val="Balloon Text"/>
    <w:basedOn w:val="1"/>
    <w:link w:val="20"/>
    <w:qFormat/>
    <w:uiPriority w:val="0"/>
    <w:rPr>
      <w:sz w:val="18"/>
      <w:szCs w:val="18"/>
    </w:rPr>
  </w:style>
  <w:style w:type="paragraph" w:styleId="8">
    <w:name w:val="footer"/>
    <w:basedOn w:val="1"/>
    <w:link w:val="19"/>
    <w:qFormat/>
    <w:uiPriority w:val="99"/>
    <w:pPr>
      <w:tabs>
        <w:tab w:val="center" w:pos="4153"/>
        <w:tab w:val="right" w:pos="8306"/>
      </w:tabs>
      <w:snapToGrid w:val="0"/>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1">
    <w:name w:val="annotation subject"/>
    <w:basedOn w:val="4"/>
    <w:next w:val="4"/>
    <w:link w:val="30"/>
    <w:qFormat/>
    <w:uiPriority w:val="0"/>
    <w:rPr>
      <w:b/>
      <w:bCs/>
    </w:rPr>
  </w:style>
  <w:style w:type="character" w:styleId="14">
    <w:name w:val="Strong"/>
    <w:basedOn w:val="13"/>
    <w:qFormat/>
    <w:uiPriority w:val="22"/>
    <w:rPr>
      <w:b/>
      <w:bCs/>
    </w:rPr>
  </w:style>
  <w:style w:type="character" w:styleId="15">
    <w:name w:val="FollowedHyperlink"/>
    <w:basedOn w:val="13"/>
    <w:qFormat/>
    <w:uiPriority w:val="0"/>
    <w:rPr>
      <w:color w:val="000000"/>
      <w:u w:val="none"/>
    </w:rPr>
  </w:style>
  <w:style w:type="character" w:styleId="16">
    <w:name w:val="Hyperlink"/>
    <w:basedOn w:val="13"/>
    <w:unhideWhenUsed/>
    <w:qFormat/>
    <w:uiPriority w:val="99"/>
    <w:rPr>
      <w:color w:val="0000FF"/>
      <w:u w:val="single"/>
    </w:rPr>
  </w:style>
  <w:style w:type="character" w:styleId="17">
    <w:name w:val="annotation reference"/>
    <w:basedOn w:val="13"/>
    <w:qFormat/>
    <w:uiPriority w:val="0"/>
    <w:rPr>
      <w:sz w:val="21"/>
      <w:szCs w:val="21"/>
    </w:rPr>
  </w:style>
  <w:style w:type="character" w:customStyle="1" w:styleId="18">
    <w:name w:val="页眉 Char"/>
    <w:basedOn w:val="13"/>
    <w:link w:val="9"/>
    <w:qFormat/>
    <w:uiPriority w:val="0"/>
    <w:rPr>
      <w:rFonts w:asciiTheme="minorHAnsi" w:hAnsiTheme="minorHAnsi" w:eastAsiaTheme="minorEastAsia" w:cstheme="minorBidi"/>
      <w:kern w:val="2"/>
      <w:sz w:val="18"/>
      <w:szCs w:val="18"/>
    </w:rPr>
  </w:style>
  <w:style w:type="character" w:customStyle="1" w:styleId="19">
    <w:name w:val="页脚 Char"/>
    <w:basedOn w:val="13"/>
    <w:link w:val="8"/>
    <w:qFormat/>
    <w:uiPriority w:val="99"/>
    <w:rPr>
      <w:rFonts w:asciiTheme="minorHAnsi" w:hAnsiTheme="minorHAnsi" w:eastAsiaTheme="minorEastAsia" w:cstheme="minorBidi"/>
      <w:kern w:val="2"/>
      <w:sz w:val="18"/>
      <w:szCs w:val="18"/>
    </w:rPr>
  </w:style>
  <w:style w:type="character" w:customStyle="1" w:styleId="20">
    <w:name w:val="批注框文本 Char"/>
    <w:basedOn w:val="13"/>
    <w:link w:val="7"/>
    <w:qFormat/>
    <w:uiPriority w:val="0"/>
    <w:rPr>
      <w:rFonts w:asciiTheme="minorHAnsi" w:hAnsiTheme="minorHAnsi" w:eastAsiaTheme="minorEastAsia" w:cstheme="minorBidi"/>
      <w:kern w:val="2"/>
      <w:sz w:val="18"/>
      <w:szCs w:val="18"/>
    </w:rPr>
  </w:style>
  <w:style w:type="paragraph" w:styleId="21">
    <w:name w:val="List Paragraph"/>
    <w:basedOn w:val="1"/>
    <w:unhideWhenUsed/>
    <w:qFormat/>
    <w:uiPriority w:val="99"/>
    <w:pPr>
      <w:ind w:firstLine="420" w:firstLineChars="200"/>
    </w:pPr>
  </w:style>
  <w:style w:type="character" w:customStyle="1" w:styleId="22">
    <w:name w:val="标题 3 Char"/>
    <w:basedOn w:val="13"/>
    <w:link w:val="3"/>
    <w:qFormat/>
    <w:uiPriority w:val="9"/>
    <w:rPr>
      <w:rFonts w:ascii="宋体" w:hAnsi="宋体" w:cs="宋体"/>
      <w:b/>
      <w:bCs/>
      <w:sz w:val="27"/>
      <w:szCs w:val="27"/>
    </w:rPr>
  </w:style>
  <w:style w:type="character" w:customStyle="1" w:styleId="23">
    <w:name w:val="日期 Char"/>
    <w:basedOn w:val="13"/>
    <w:link w:val="6"/>
    <w:qFormat/>
    <w:uiPriority w:val="0"/>
    <w:rPr>
      <w:rFonts w:asciiTheme="minorHAnsi" w:hAnsiTheme="minorHAnsi" w:eastAsiaTheme="minorEastAsia" w:cstheme="minorBidi"/>
      <w:kern w:val="2"/>
      <w:sz w:val="21"/>
      <w:szCs w:val="24"/>
    </w:rPr>
  </w:style>
  <w:style w:type="paragraph" w:customStyle="1" w:styleId="24">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5">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6">
    <w:name w:val="f-article-txt-fb"/>
    <w:basedOn w:val="13"/>
    <w:qFormat/>
    <w:uiPriority w:val="0"/>
  </w:style>
  <w:style w:type="character" w:customStyle="1" w:styleId="27">
    <w:name w:val="标题 1 Char"/>
    <w:basedOn w:val="13"/>
    <w:link w:val="2"/>
    <w:qFormat/>
    <w:uiPriority w:val="0"/>
    <w:rPr>
      <w:rFonts w:asciiTheme="minorHAnsi" w:hAnsiTheme="minorHAnsi" w:eastAsiaTheme="minorEastAsia" w:cstheme="minorBidi"/>
      <w:b/>
      <w:bCs/>
      <w:kern w:val="44"/>
      <w:sz w:val="44"/>
      <w:szCs w:val="44"/>
    </w:rPr>
  </w:style>
  <w:style w:type="paragraph" w:customStyle="1" w:styleId="28">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9">
    <w:name w:val="批注文字 Char"/>
    <w:basedOn w:val="13"/>
    <w:link w:val="4"/>
    <w:qFormat/>
    <w:uiPriority w:val="0"/>
    <w:rPr>
      <w:rFonts w:asciiTheme="minorHAnsi" w:hAnsiTheme="minorHAnsi" w:eastAsiaTheme="minorEastAsia" w:cstheme="minorBidi"/>
      <w:kern w:val="2"/>
      <w:sz w:val="21"/>
      <w:szCs w:val="24"/>
    </w:rPr>
  </w:style>
  <w:style w:type="character" w:customStyle="1" w:styleId="30">
    <w:name w:val="批注主题 Char"/>
    <w:basedOn w:val="29"/>
    <w:link w:val="11"/>
    <w:qFormat/>
    <w:uiPriority w:val="0"/>
    <w:rPr>
      <w:rFonts w:asciiTheme="minorHAnsi" w:hAnsiTheme="minorHAnsi" w:eastAsiaTheme="minorEastAsia" w:cstheme="minorBidi"/>
      <w:b/>
      <w:bCs/>
      <w:kern w:val="2"/>
      <w:sz w:val="21"/>
      <w:szCs w:val="24"/>
    </w:rPr>
  </w:style>
  <w:style w:type="paragraph" w:customStyle="1" w:styleId="31">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2">
    <w:name w:val="fulltext-wrap_navtiao"/>
    <w:basedOn w:val="13"/>
    <w:qFormat/>
    <w:uiPriority w:val="0"/>
    <w:rPr>
      <w:b/>
      <w:bCs/>
    </w:rPr>
  </w:style>
  <w:style w:type="paragraph" w:customStyle="1" w:styleId="33">
    <w:name w:val="fulltext-wrap_title"/>
    <w:basedOn w:val="1"/>
    <w:qFormat/>
    <w:uiPriority w:val="0"/>
    <w:pPr>
      <w:jc w:val="center"/>
    </w:pPr>
    <w:rPr>
      <w:sz w:val="30"/>
      <w:szCs w:val="30"/>
    </w:rPr>
  </w:style>
  <w:style w:type="paragraph" w:customStyle="1" w:styleId="34">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9</Pages>
  <Words>5199</Words>
  <Characters>5470</Characters>
  <Lines>54</Lines>
  <Paragraphs>15</Paragraphs>
  <TotalTime>0</TotalTime>
  <ScaleCrop>false</ScaleCrop>
  <LinksUpToDate>false</LinksUpToDate>
  <CharactersWithSpaces>5477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2018-07-22T16:37:00Z</dcterms:created>
  <dc:creator>烟錵这麽錵</dc:creator>
  <cp:lastModifiedBy>凝</cp:lastModifiedBy>
  <cp:lastPrinted>2023-07-21T10:33:00Z</cp:lastPrinted>
  <dcterms:modified xsi:type="dcterms:W3CDTF">2025-06-22T03:06:42Z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8F139704530A44F6A87834DFFA6B8C94_13</vt:lpwstr>
  </property>
  <property fmtid="{D5CDD505-2E9C-101B-9397-08002B2CF9AE}" pid="4" name="KSOTemplateDocerSaveRecord">
    <vt:lpwstr>eyJoZGlkIjoiNTM4NDVlNmY2NmM5M2U0NzUwZjViYTNlODdkMDhlZjciLCJ1c2VySWQiOiIzNTE0OTY4MDEifQ==</vt:lpwstr>
  </property>
</Properties>
</file>