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A39AA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(2025年第12批）</w:t>
      </w:r>
    </w:p>
    <w:bookmarkEnd w:id="0"/>
    <w:p w14:paraId="2142AE91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104"/>
        <w:gridCol w:w="1093"/>
        <w:gridCol w:w="1213"/>
        <w:gridCol w:w="1881"/>
        <w:gridCol w:w="2474"/>
        <w:gridCol w:w="1350"/>
        <w:gridCol w:w="1650"/>
        <w:gridCol w:w="600"/>
      </w:tblGrid>
      <w:tr w14:paraId="60B747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3D469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0D19A5A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BA2319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23B8261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02614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24AB12A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09058F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45EFE64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0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A0179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939B7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740E848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70948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76183CC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3B6E1A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20D835E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37D24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1BB7F2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E7A8E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B05F05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3ED3D5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1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0DE876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81BE8E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动监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7926DCF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8B8CB1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周文斌未按照动物检疫证明载明的目的地运输生猪案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FCF48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周文斌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C272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83D23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周文斌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B5E0FA7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当事人未按照动物检疫证明载明的目的地运输生猪的行为，违反了《动物检疫管理办法》（中华人民共和国农业农村部令2022年第七号）第四十六条之规定，应当予以行政处罚。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3CF585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_GB2312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依据《动物检疫管理办理》（中华人民共和国农业农村部令2022年第七号）第四十九条之规定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参照《湖南省农业行政处罚自由裁量基准》（动物卫生监督）序号40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D5542A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F7E9365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2B038424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28EED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5635F793">
      <w:pPr>
        <w:tabs>
          <w:tab w:val="left" w:pos="5335"/>
        </w:tabs>
        <w:bidi w:val="0"/>
        <w:jc w:val="left"/>
        <w:rPr>
          <w:rFonts w:hint="eastAsia" w:ascii="Calibri" w:hAnsi="Calibri" w:eastAsia="宋体" w:cs="Times New Roman"/>
          <w:lang w:val="en-US" w:eastAsia="zh-CN"/>
        </w:rPr>
      </w:pPr>
    </w:p>
    <w:p w14:paraId="7BBBAED0"/>
    <w:sectPr>
      <w:pgSz w:w="16838" w:h="11906" w:orient="landscape"/>
      <w:pgMar w:top="1417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1010B"/>
    <w:rsid w:val="2611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2025-06-13T01:15:00Z</dcterms:created>
  <dc:creator>为于思周</dc:creator>
  <cp:lastModifiedBy>为于思周</cp:lastModifiedBy>
  <dcterms:modified xsi:type="dcterms:W3CDTF">2025-06-13T01:17:35Z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F41FA66777784E5DB61685D08E306A80_11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