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D17818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(2025年第8批）</w:t>
      </w:r>
    </w:p>
    <w:p w14:paraId="3FCA16F4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3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1123"/>
        <w:gridCol w:w="1478"/>
        <w:gridCol w:w="1090"/>
        <w:gridCol w:w="1107"/>
        <w:gridCol w:w="1213"/>
        <w:gridCol w:w="1881"/>
        <w:gridCol w:w="2474"/>
        <w:gridCol w:w="1350"/>
        <w:gridCol w:w="1650"/>
        <w:gridCol w:w="600"/>
      </w:tblGrid>
      <w:tr w14:paraId="7FBD06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7B6DA1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7656E09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1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1AA0D1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05ECEE0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7D7D6C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6672136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0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A3DFB9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6A405AC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11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277F03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2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0EEE5A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3A7B49B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43054A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093A049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4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EE6800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63E45A8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B47998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8D061A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7CA3D1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26ECFF9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244EE0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63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CAF044E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0925B87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潭县农（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渔业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）罚〔202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〕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号</w:t>
            </w:r>
          </w:p>
          <w:p w14:paraId="3395B044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D6F5587">
            <w:pPr>
              <w:spacing w:line="5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郭正军使用禁用渔具进行捕捞案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06ABF2C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郭正军</w:t>
            </w:r>
          </w:p>
        </w:tc>
        <w:tc>
          <w:tcPr>
            <w:tcW w:w="11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FEB562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9125537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郭正军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FEC8D50">
            <w:pPr>
              <w:spacing w:line="560" w:lineRule="exact"/>
              <w:jc w:val="center"/>
              <w:rPr>
                <w:rFonts w:hint="eastAsia" w:ascii="仿宋" w:hAnsi="仿宋" w:eastAsia="华文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</w:rPr>
              <w:t>当事人违反了《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val="en-US" w:eastAsia="zh-CN"/>
              </w:rPr>
              <w:t>中华人民共和国渔业法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</w:rPr>
              <w:t>》第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val="en-US" w:eastAsia="zh-CN"/>
              </w:rPr>
              <w:t>三十条“禁止在禁渔区、禁渔期进行捕捞”之规定在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eastAsia="zh-CN"/>
              </w:rPr>
              <w:t>湘江流域白沙洲附近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</w:rPr>
              <w:t>使用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eastAsia="zh-CN"/>
              </w:rPr>
              <w:t>可视锚鱼工具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</w:rPr>
              <w:t>进行捕捞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eastAsia="zh-CN"/>
              </w:rPr>
              <w:t>。</w:t>
            </w:r>
          </w:p>
        </w:tc>
        <w:tc>
          <w:tcPr>
            <w:tcW w:w="2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F795B6D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</w:rPr>
              <w:t>依据《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val="en-US" w:eastAsia="zh-CN"/>
              </w:rPr>
              <w:t>中华人民共和国渔业法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</w:rPr>
              <w:t>》第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val="en-US" w:eastAsia="zh-CN"/>
              </w:rPr>
              <w:t>三十八条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</w:rPr>
              <w:t>规定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eastAsia="zh-CN"/>
              </w:rPr>
              <w:t>，</w:t>
            </w:r>
          </w:p>
          <w:p w14:paraId="6125262B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val="en-US" w:eastAsia="zh-CN"/>
              </w:rPr>
              <w:t>参照《湖南省农业行政处罚自由裁量权适用规定》（湘农发〔2023〕11号）裁量基准“初次违反关于禁渔区、禁渔期的规定进行捕捞的，渔获物在50kg以下的，没收渔获物和违法所得，处2000元以上5000元以下的罚款。”之规定。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298DD24">
            <w:pPr>
              <w:autoSpaceDE w:val="0"/>
              <w:spacing w:line="40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15日内将罚款交纳到湘潭县非税收入汇缴结算户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BD4EE48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湘潭县农业农村局</w:t>
            </w:r>
          </w:p>
          <w:p w14:paraId="67A4DF90">
            <w:pP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D56157A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302335D3">
      <w:bookmarkStart w:id="0" w:name="_GoBack"/>
      <w:bookmarkEnd w:id="0"/>
    </w:p>
    <w:sectPr>
      <w:pgSz w:w="16838" w:h="11906" w:orient="landscape"/>
      <w:pgMar w:top="1463" w:right="1440" w:bottom="146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57087C"/>
    <w:rsid w:val="1D570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2025-05-28T01:15:00Z</dcterms:created>
  <dc:creator>为于思周</dc:creator>
  <cp:lastModifiedBy>为于思周</cp:lastModifiedBy>
  <dcterms:modified xsi:type="dcterms:W3CDTF">2025-05-28T01:16:20Z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D66EB7EA033149E1923FFE035B2F04BC_11</vt:lpwstr>
  </property>
  <property fmtid="{D5CDD505-2E9C-101B-9397-08002B2CF9AE}" pid="4" name="KSOTemplateDocerSaveRecord">
    <vt:lpwstr>eyJoZGlkIjoiYmUxMjNkZjM5N2QzMWM2ZTc5M2Y0ZTI3MWQ2NmUzMWEiLCJ1c2VySWQiOiI0Njc3Njc2NDIifQ==</vt:lpwstr>
  </property>
</Properties>
</file>