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FB31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湘潭县分水乡202</w:t>
      </w:r>
      <w:r>
        <w:rPr>
          <w:rFonts w:hint="eastAsia" w:ascii="方正小标宋_GBK" w:hAnsi="方正小标宋_GBK" w:eastAsia="方正小标宋_GBK" w:cs="方正小标宋_GBK"/>
          <w:sz w:val="44"/>
          <w:szCs w:val="44"/>
          <w:lang w:val="en-US" w:eastAsia="zh-CN"/>
        </w:rPr>
        <w:t>4</w:t>
      </w:r>
      <w:r>
        <w:rPr>
          <w:rFonts w:hint="eastAsia" w:ascii="方正小标宋_GBK" w:hAnsi="方正小标宋_GBK" w:eastAsia="方正小标宋_GBK" w:cs="方正小标宋_GBK"/>
          <w:sz w:val="44"/>
          <w:szCs w:val="44"/>
        </w:rPr>
        <w:t>年度法治政府建设</w:t>
      </w:r>
    </w:p>
    <w:p w14:paraId="164ECC7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工作报告</w:t>
      </w:r>
    </w:p>
    <w:p w14:paraId="41AA96D2">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_GBK" w:hAnsi="方正小标宋_GBK" w:eastAsia="方正小标宋_GBK" w:cs="方正小标宋_GBK"/>
          <w:sz w:val="44"/>
          <w:szCs w:val="44"/>
        </w:rPr>
      </w:pPr>
    </w:p>
    <w:p w14:paraId="1A947058">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0" w:firstLineChars="200"/>
        <w:jc w:val="lef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2024年，在县委、县政府的坚强领导下，在县委依法治县委员会办公室的精心指导下，分水乡坚持以习近平新时代中国特色社会主义思想为指导，认真贯彻落实习近平法治思想和习近平总书记关于全面依法治国新理念新思想新战略，紧紧围绕法治政府建设各项目标任务，把政府工作全面纳入法治轨道，不断提高依法决策、依法管理、依法行政水平，推进法治政府建设工作有序开展。现将我乡2024年度法治政府建设工作情况报告如下：</w:t>
      </w:r>
    </w:p>
    <w:p w14:paraId="194D21BE">
      <w:pPr>
        <w:pStyle w:val="2"/>
        <w:keepNext w:val="0"/>
        <w:keepLines w:val="0"/>
        <w:pageBreakBefore w:val="0"/>
        <w:widowControl/>
        <w:kinsoku/>
        <w:wordWrap/>
        <w:overflowPunct/>
        <w:topLinePunct w:val="0"/>
        <w:bidi w:val="0"/>
        <w:snapToGrid w:val="0"/>
        <w:spacing w:line="560" w:lineRule="exact"/>
        <w:ind w:firstLine="640" w:firstLineChars="200"/>
        <w:rPr>
          <w:rFonts w:hint="eastAsia" w:ascii="仿宋_GB2312" w:hAnsi="仿宋_GB2312" w:cs="Times New Roman"/>
          <w:color w:val="000000"/>
          <w:kern w:val="0"/>
          <w:sz w:val="32"/>
          <w:szCs w:val="32"/>
          <w:lang w:val="en-US" w:eastAsia="zh-CN"/>
        </w:rPr>
      </w:pPr>
      <w:r>
        <w:rPr>
          <w:rFonts w:hint="eastAsia" w:ascii="仿宋_GB2312" w:hAnsi="仿宋_GB2312" w:cs="Times New Roman"/>
          <w:color w:val="000000"/>
          <w:kern w:val="0"/>
          <w:sz w:val="32"/>
          <w:szCs w:val="32"/>
          <w:lang w:val="en-US" w:eastAsia="zh-CN"/>
        </w:rPr>
        <w:t>一、推进法治政府建设的主要举措和成效</w:t>
      </w:r>
    </w:p>
    <w:p w14:paraId="1FDA6E8C">
      <w:pPr>
        <w:pStyle w:val="2"/>
        <w:keepNext w:val="0"/>
        <w:keepLines w:val="0"/>
        <w:pageBreakBefore w:val="0"/>
        <w:widowControl/>
        <w:kinsoku/>
        <w:wordWrap/>
        <w:overflowPunct/>
        <w:topLinePunct w:val="0"/>
        <w:bidi w:val="0"/>
        <w:snapToGrid w:val="0"/>
        <w:spacing w:line="560" w:lineRule="exact"/>
        <w:ind w:firstLine="643" w:firstLineChars="20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（一）强化组织领导，大力推进法治政府建设工作</w:t>
      </w:r>
    </w:p>
    <w:p w14:paraId="0C60A557">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一是</w:t>
      </w:r>
      <w:r>
        <w:rPr>
          <w:rFonts w:hint="eastAsia" w:ascii="仿宋_GB2312" w:eastAsia="仿宋_GB2312"/>
          <w:sz w:val="32"/>
          <w:szCs w:val="32"/>
          <w:lang w:val="en-US" w:eastAsia="zh-CN"/>
        </w:rPr>
        <w:t>坚持党委全面领导，党政主要负责人履行推进法治政府建设第一责任人职责，成立了以乡党委书记为组长、乡长为常务副组长、分管领导（党委副书记）为副组长的法治政府建设工作领导小组，各部门全力落实，形成齐抓共管、分工推进的良好工作格局，每月定期召开会议，分析研判问题，研究部署落实法治政府建设工作任务；</w:t>
      </w:r>
      <w:r>
        <w:rPr>
          <w:rFonts w:hint="eastAsia" w:ascii="仿宋_GB2312" w:eastAsia="仿宋_GB2312"/>
          <w:b/>
          <w:bCs/>
          <w:sz w:val="32"/>
          <w:szCs w:val="32"/>
          <w:lang w:val="en-US" w:eastAsia="zh-CN"/>
        </w:rPr>
        <w:t>二是</w:t>
      </w:r>
      <w:r>
        <w:rPr>
          <w:rFonts w:hint="eastAsia" w:ascii="仿宋_GB2312" w:eastAsia="仿宋_GB2312"/>
          <w:sz w:val="32"/>
          <w:szCs w:val="32"/>
          <w:lang w:val="en-US" w:eastAsia="zh-CN"/>
        </w:rPr>
        <w:t>制定年度工作计划，定期召开专题会议，及时研究和解决法治政府建设工作中的重要事项和突出问题，常态化、制度化推进法治政府建设工作，激发干部主动学法用法，提高法治政府建设的工作积极性和工作水平。</w:t>
      </w:r>
    </w:p>
    <w:p w14:paraId="1FB092DE">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（二）狠抓普法宣传，营造浓厚法治政府建设氛围</w:t>
      </w:r>
    </w:p>
    <w:p w14:paraId="79AE0E82">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一是抓学习。</w:t>
      </w:r>
      <w:r>
        <w:rPr>
          <w:rFonts w:hint="eastAsia" w:ascii="仿宋_GB2312" w:eastAsia="仿宋_GB2312"/>
          <w:sz w:val="32"/>
          <w:szCs w:val="32"/>
          <w:lang w:val="en-US" w:eastAsia="zh-CN"/>
        </w:rPr>
        <w:t>利用周例会、乡村干部大会等契机，组织学习了《习近平法治思想学习纲要》《习近平法治思想概论》等法治书籍，全乡党员干部法治意识大幅提高；制定年度学法计划、理论学习中心组学习计划，党政主要负责人组织开展法治教育专题讲座3次，党政负责人会议安排法治专题学习4次，理论学习中心组专题学习了《习近平法治思想学习纲要》《习近平法治思想概论》。各站办所充分利用部门例会时间，深入探讨学习涉及本部门分管工作的法律、法规、条例等法律文本，并通过真实案例以案释法，入脑入心；2024年全乡机关干部如法网学法考试参考率和合格率均为100%；</w:t>
      </w:r>
      <w:r>
        <w:rPr>
          <w:rFonts w:hint="eastAsia" w:ascii="仿宋_GB2312" w:eastAsia="仿宋_GB2312"/>
          <w:b/>
          <w:bCs/>
          <w:sz w:val="32"/>
          <w:szCs w:val="32"/>
          <w:lang w:val="en-US" w:eastAsia="zh-CN"/>
        </w:rPr>
        <w:t>二是抓宣传。</w:t>
      </w:r>
      <w:r>
        <w:rPr>
          <w:rFonts w:hint="eastAsia" w:ascii="仿宋_GB2312" w:eastAsia="仿宋_GB2312"/>
          <w:sz w:val="32"/>
          <w:szCs w:val="32"/>
          <w:lang w:val="en-US" w:eastAsia="zh-CN"/>
        </w:rPr>
        <w:t>结合“国家宪法日”“国家安全教育日”“反邪教宣传月”“平安建设宣传月”等特定普法节日，充分利用微信群、电子屏、公众号等形式，运用横幅标语、宣传海报等形式广泛开展法治宣传，组织开展各类普法宣传。今年以来，在集市、学校等重点场所开展各类法制宣传活动10余场,发放各类宣传材料19000余份，受教育群众达21000余人。针对群众关注的社会热点难点问题，引导公民依法表达利益诉求，维护合法权益，推动法治政府建设工作家喻户晓、深入人心；</w:t>
      </w:r>
      <w:r>
        <w:rPr>
          <w:rFonts w:hint="eastAsia" w:ascii="仿宋_GB2312" w:eastAsia="仿宋_GB2312"/>
          <w:b/>
          <w:bCs/>
          <w:sz w:val="32"/>
          <w:szCs w:val="32"/>
          <w:lang w:val="en-US" w:eastAsia="zh-CN"/>
        </w:rPr>
        <w:t>三是抓普法。</w:t>
      </w:r>
      <w:r>
        <w:rPr>
          <w:rFonts w:hint="eastAsia" w:ascii="仿宋_GB2312" w:eastAsia="仿宋_GB2312"/>
          <w:sz w:val="32"/>
          <w:szCs w:val="32"/>
          <w:lang w:val="en-US" w:eastAsia="zh-CN"/>
        </w:rPr>
        <w:t>结合“八五”普法工作，以习近平法治思想为统领，坚持党对全面依法治国的领导，将习近平法治思想学习宣传与普法工作同步谋划、同步部署、同步推进，贯彻到普法工作各方面。</w:t>
      </w:r>
    </w:p>
    <w:p w14:paraId="53087BE7">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（三）注重实践运用，巩固法治政府建设工作成效</w:t>
      </w:r>
    </w:p>
    <w:p w14:paraId="21A84039">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一是</w:t>
      </w:r>
      <w:r>
        <w:rPr>
          <w:rFonts w:hint="eastAsia" w:ascii="仿宋_GB2312" w:eastAsia="仿宋_GB2312"/>
          <w:b w:val="0"/>
          <w:bCs w:val="0"/>
          <w:sz w:val="32"/>
          <w:szCs w:val="32"/>
          <w:lang w:val="en-US" w:eastAsia="zh-CN"/>
        </w:rPr>
        <w:t>落实政府信息公开制度，</w:t>
      </w:r>
      <w:r>
        <w:rPr>
          <w:rFonts w:hint="eastAsia" w:ascii="仿宋_GB2312" w:eastAsia="仿宋_GB2312"/>
          <w:sz w:val="32"/>
          <w:szCs w:val="32"/>
          <w:lang w:val="en-US" w:eastAsia="zh-CN"/>
        </w:rPr>
        <w:t>坚持“以公开为常态、不公开为例外”原则，积极稳妥推行政务公开清单制度，对符合法定条件要求的依申请公开政府信息都进行了及时答复。着力抓好政务公开栏、政务信息网站的建设，在网站上公布所属工作部门的权责清单、公共服务事项清单，并根据法律法规的变化实行动态调整，及时更新政务公开栏目信息，主动公开政务信息，明确分水乡人民政府网站公开内容、公开方式、申请公开流程、监督方式等，积极做好政策解读，切实发挥好信息公开平台的桥梁作用，保障了人民群众知情权、参与权、表达权和监督权。</w:t>
      </w:r>
      <w:r>
        <w:rPr>
          <w:rFonts w:hint="eastAsia" w:ascii="仿宋_GB2312" w:eastAsia="仿宋_GB2312"/>
          <w:b/>
          <w:bCs/>
          <w:sz w:val="32"/>
          <w:szCs w:val="32"/>
          <w:lang w:val="en-US" w:eastAsia="zh-CN"/>
        </w:rPr>
        <w:t>二是</w:t>
      </w:r>
      <w:r>
        <w:rPr>
          <w:rFonts w:hint="eastAsia" w:ascii="仿宋_GB2312" w:eastAsia="仿宋_GB2312"/>
          <w:b w:val="0"/>
          <w:bCs w:val="0"/>
          <w:sz w:val="32"/>
          <w:szCs w:val="32"/>
          <w:lang w:val="en-US" w:eastAsia="zh-CN"/>
        </w:rPr>
        <w:t>坚持“三重一大”事项报告制度，</w:t>
      </w:r>
      <w:r>
        <w:rPr>
          <w:rFonts w:hint="eastAsia" w:ascii="仿宋_GB2312" w:eastAsia="仿宋_GB2312"/>
          <w:sz w:val="32"/>
          <w:szCs w:val="32"/>
          <w:lang w:val="en-US" w:eastAsia="zh-CN"/>
        </w:rPr>
        <w:t>严格执行有关规定，凡是重大事项决策、重要干部任免、重要项目安排大额资金的使用，全部经集体讨论才作出决定，并且在决策过程中主动接受监管指导，听取意见建议，实现民主决策、科学决策；保障权力规范运行，对重大行政决策有关适用法律的重大问题，进行反复论证，保证重大行政决策合法适当。</w:t>
      </w:r>
      <w:r>
        <w:rPr>
          <w:rFonts w:hint="eastAsia" w:ascii="仿宋_GB2312" w:eastAsia="仿宋_GB2312"/>
          <w:b/>
          <w:bCs/>
          <w:sz w:val="32"/>
          <w:szCs w:val="32"/>
          <w:lang w:val="en-US" w:eastAsia="zh-CN"/>
        </w:rPr>
        <w:t>三是</w:t>
      </w:r>
      <w:r>
        <w:rPr>
          <w:rFonts w:hint="eastAsia" w:ascii="仿宋_GB2312" w:eastAsia="仿宋_GB2312"/>
          <w:b w:val="0"/>
          <w:bCs w:val="0"/>
          <w:sz w:val="32"/>
          <w:szCs w:val="32"/>
          <w:lang w:val="en-US" w:eastAsia="zh-CN"/>
        </w:rPr>
        <w:t>推进基层治理用法，</w:t>
      </w:r>
      <w:r>
        <w:rPr>
          <w:rFonts w:hint="eastAsia" w:ascii="仿宋_GB2312" w:eastAsia="仿宋_GB2312"/>
          <w:sz w:val="32"/>
          <w:szCs w:val="32"/>
          <w:lang w:val="en-US" w:eastAsia="zh-CN"/>
        </w:rPr>
        <w:t>始终把做好信访维稳工作作为推动法治政府、法治社会建设的重要抓手，高度重视信访和人民调解工作，始终致力于完善社会治理，依法化解矛盾，多次专题听取综治办等职能部门依法行政情况汇报，进一步畅通信访调解渠道，及时主动摸排各类重点人员情况，及时对辖区内重大问题情况做出综合分析研判。</w:t>
      </w:r>
    </w:p>
    <w:p w14:paraId="609D2AF3">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（四）着力常态长效，全面提升法治政府建设能力</w:t>
      </w:r>
    </w:p>
    <w:p w14:paraId="122B1187">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一是</w:t>
      </w:r>
      <w:r>
        <w:rPr>
          <w:rFonts w:hint="eastAsia" w:ascii="仿宋_GB2312" w:eastAsia="仿宋_GB2312"/>
          <w:sz w:val="32"/>
          <w:szCs w:val="32"/>
          <w:lang w:val="en-US" w:eastAsia="zh-CN"/>
        </w:rPr>
        <w:t>进一步树牢法治观念，始终坚持把法治学习和日常工作充分结合起来，定期组织全体机关干部切合岗位需求学习掌握相应的法律知识，有效提高了全体机关干部依法行政、依法办事的能力。同时，定期召开强化作风建设警示教育大会，通过以案明纪、以案说法，讲清违纪违法的政治根源和社会危害，充分发挥警示震慑作用；</w:t>
      </w:r>
      <w:r>
        <w:rPr>
          <w:rFonts w:hint="eastAsia" w:ascii="仿宋_GB2312" w:eastAsia="仿宋_GB2312"/>
          <w:b/>
          <w:bCs/>
          <w:sz w:val="32"/>
          <w:szCs w:val="32"/>
          <w:lang w:val="en-US" w:eastAsia="zh-CN"/>
        </w:rPr>
        <w:t>二是</w:t>
      </w:r>
      <w:r>
        <w:rPr>
          <w:rFonts w:hint="eastAsia" w:ascii="仿宋_GB2312" w:eastAsia="仿宋_GB2312"/>
          <w:sz w:val="32"/>
          <w:szCs w:val="32"/>
          <w:lang w:val="en-US" w:eastAsia="zh-CN"/>
        </w:rPr>
        <w:t>社会矛盾纠纷依法有效化解。利用“一站式”矛盾纠纷排查化解平台，对社会矛盾风险做到早预防、早发现、早控制、早解决，定期开展社会矛盾“大排查、大调处、大化解”工作。今年以来，累计摸排各类矛盾纠纷162起，调处化解157起，化解率97%，全乡未发生因矛盾纠纷调处不及时或调处不当而引发群体性事件和民转刑案件。</w:t>
      </w:r>
      <w:r>
        <w:rPr>
          <w:rFonts w:hint="eastAsia" w:ascii="仿宋_GB2312" w:eastAsia="仿宋_GB2312"/>
          <w:b/>
          <w:bCs/>
          <w:sz w:val="32"/>
          <w:szCs w:val="32"/>
          <w:lang w:val="en-US" w:eastAsia="zh-CN"/>
        </w:rPr>
        <w:t>三是</w:t>
      </w:r>
      <w:r>
        <w:rPr>
          <w:rFonts w:hint="eastAsia" w:ascii="仿宋_GB2312" w:eastAsia="仿宋_GB2312"/>
          <w:b w:val="0"/>
          <w:bCs w:val="0"/>
          <w:sz w:val="32"/>
          <w:szCs w:val="32"/>
          <w:lang w:val="en-US" w:eastAsia="zh-CN"/>
        </w:rPr>
        <w:t>公正文明行政执法，高度重视关系群众切身利益的重点领域，依法打击违法行为，及时查处违法案件，通过联合执法，查获非法储存烟花鞭炮1起，没收烟花爆竹15件（箱）；查处非法洗沙2起；查处林地破坏4起；开展燃气检查12次，发现问题隐患8起，整改8起；组织多部门对全乡学校、商店、农贸市场、餐饮店等进行专项检查36次，有力地提升了人民群众的安全感和满意度。</w:t>
      </w:r>
    </w:p>
    <w:p w14:paraId="6B689227">
      <w:pPr>
        <w:pStyle w:val="2"/>
        <w:keepNext w:val="0"/>
        <w:keepLines w:val="0"/>
        <w:pageBreakBefore w:val="0"/>
        <w:widowControl/>
        <w:kinsoku/>
        <w:wordWrap/>
        <w:overflowPunct/>
        <w:topLinePunct w:val="0"/>
        <w:bidi w:val="0"/>
        <w:snapToGrid w:val="0"/>
        <w:spacing w:line="560" w:lineRule="exact"/>
        <w:ind w:firstLine="640" w:firstLineChars="200"/>
        <w:rPr>
          <w:rFonts w:hint="eastAsia" w:ascii="仿宋_GB2312" w:hAnsi="仿宋_GB2312" w:cs="Times New Roman"/>
          <w:color w:val="000000"/>
          <w:kern w:val="0"/>
          <w:sz w:val="32"/>
          <w:szCs w:val="32"/>
          <w:lang w:val="en-US" w:eastAsia="zh-CN"/>
        </w:rPr>
      </w:pPr>
      <w:r>
        <w:rPr>
          <w:rFonts w:hint="eastAsia" w:ascii="仿宋_GB2312" w:hAnsi="仿宋_GB2312" w:cs="Times New Roman"/>
          <w:color w:val="000000"/>
          <w:kern w:val="0"/>
          <w:sz w:val="32"/>
          <w:szCs w:val="32"/>
          <w:lang w:val="en-US" w:eastAsia="zh-CN"/>
        </w:rPr>
        <w:t>二、法治政府建设存在的不足和原因</w:t>
      </w:r>
    </w:p>
    <w:p w14:paraId="095C8E99">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仿宋_GB2312" w:eastAsia="仿宋_GB2312"/>
          <w:b w:val="0"/>
          <w:bCs w:val="0"/>
          <w:sz w:val="32"/>
          <w:szCs w:val="32"/>
          <w:lang w:val="en-US" w:eastAsia="zh-CN"/>
        </w:rPr>
      </w:pPr>
      <w:r>
        <w:rPr>
          <w:rFonts w:hint="eastAsia" w:ascii="仿宋_GB2312" w:eastAsia="仿宋_GB2312"/>
          <w:b/>
          <w:bCs/>
          <w:sz w:val="32"/>
          <w:szCs w:val="32"/>
          <w:lang w:val="en-US" w:eastAsia="zh-CN"/>
        </w:rPr>
        <w:t>一是全民法治意识仍需全面提高。</w:t>
      </w:r>
      <w:r>
        <w:rPr>
          <w:rFonts w:hint="eastAsia" w:ascii="仿宋_GB2312" w:eastAsia="仿宋_GB2312"/>
          <w:b w:val="0"/>
          <w:bCs w:val="0"/>
          <w:sz w:val="32"/>
          <w:szCs w:val="32"/>
          <w:lang w:val="en-US" w:eastAsia="zh-CN"/>
        </w:rPr>
        <w:t>通过多年的普法教育活动，全民的法治意识有了很大程度的提高，但法治观念淡薄，有法不依、知法犯法的现象还时有发生，人民群众对法律的学习依然需要进一步加强。</w:t>
      </w:r>
      <w:r>
        <w:rPr>
          <w:rFonts w:hint="eastAsia" w:ascii="仿宋_GB2312" w:eastAsia="仿宋_GB2312"/>
          <w:b/>
          <w:bCs/>
          <w:sz w:val="32"/>
          <w:szCs w:val="32"/>
          <w:lang w:val="en-US" w:eastAsia="zh-CN"/>
        </w:rPr>
        <w:t>二是基层法治队伍建设有待加强。</w:t>
      </w:r>
      <w:r>
        <w:rPr>
          <w:rFonts w:hint="eastAsia" w:ascii="仿宋_GB2312" w:eastAsia="仿宋_GB2312"/>
          <w:b w:val="0"/>
          <w:bCs w:val="0"/>
          <w:sz w:val="32"/>
          <w:szCs w:val="32"/>
          <w:lang w:val="en-US" w:eastAsia="zh-CN"/>
        </w:rPr>
        <w:t>现有工作人员中，专业法律人员欠缺，需加强专业人员队伍建设，以便更好地开展工作；现有的执法人员缺少专业的行政法规培训，对政策的把握能力不强。三</w:t>
      </w:r>
      <w:r>
        <w:rPr>
          <w:rFonts w:hint="eastAsia" w:ascii="仿宋_GB2312" w:eastAsia="仿宋_GB2312"/>
          <w:b/>
          <w:bCs/>
          <w:sz w:val="32"/>
          <w:szCs w:val="32"/>
          <w:lang w:val="en-US" w:eastAsia="zh-CN"/>
        </w:rPr>
        <w:t>是法制宣传活动形式有待创新。</w:t>
      </w:r>
      <w:r>
        <w:rPr>
          <w:rFonts w:hint="eastAsia" w:ascii="仿宋_GB2312" w:eastAsia="仿宋_GB2312"/>
          <w:b w:val="0"/>
          <w:bCs w:val="0"/>
          <w:sz w:val="32"/>
          <w:szCs w:val="32"/>
          <w:lang w:val="en-US" w:eastAsia="zh-CN"/>
        </w:rPr>
        <w:t>政策宣传、普法培训工作的形式比较单一，法律宣传工作还不够全面，法律宣传不够深入群众生活，法律宣传效果还不够明显。</w:t>
      </w:r>
      <w:r>
        <w:rPr>
          <w:rFonts w:hint="eastAsia" w:ascii="仿宋_GB2312" w:eastAsia="仿宋_GB2312"/>
          <w:b/>
          <w:bCs/>
          <w:sz w:val="32"/>
          <w:szCs w:val="32"/>
          <w:lang w:val="en-US" w:eastAsia="zh-CN"/>
        </w:rPr>
        <w:t>四是法律顾问作用发挥不够充分。</w:t>
      </w:r>
      <w:r>
        <w:rPr>
          <w:rFonts w:hint="eastAsia" w:ascii="仿宋_GB2312" w:eastAsia="仿宋_GB2312"/>
          <w:b w:val="0"/>
          <w:bCs w:val="0"/>
          <w:sz w:val="32"/>
          <w:szCs w:val="32"/>
          <w:lang w:val="en-US" w:eastAsia="zh-CN"/>
        </w:rPr>
        <w:t>目前虽已实现一村一法律顾问全覆盖，但大部分村的法律顾问还局限于为乡政府、村民提供法律咨询等一些简单的法律服务事项上，还存在参与面窄、参与程度不深入的问题。</w:t>
      </w:r>
    </w:p>
    <w:p w14:paraId="194D3FEA">
      <w:pPr>
        <w:pStyle w:val="2"/>
        <w:keepNext w:val="0"/>
        <w:keepLines w:val="0"/>
        <w:pageBreakBefore w:val="0"/>
        <w:widowControl/>
        <w:kinsoku/>
        <w:wordWrap/>
        <w:overflowPunct/>
        <w:topLinePunct w:val="0"/>
        <w:bidi w:val="0"/>
        <w:snapToGrid w:val="0"/>
        <w:spacing w:line="560" w:lineRule="exact"/>
        <w:ind w:firstLine="640" w:firstLineChars="200"/>
        <w:rPr>
          <w:rFonts w:hint="eastAsia" w:ascii="仿宋_GB2312" w:hAnsi="仿宋_GB2312" w:cs="Times New Roman"/>
          <w:color w:val="000000"/>
          <w:kern w:val="0"/>
          <w:sz w:val="32"/>
          <w:szCs w:val="32"/>
          <w:lang w:val="en-US" w:eastAsia="zh-CN"/>
        </w:rPr>
      </w:pPr>
      <w:r>
        <w:rPr>
          <w:rFonts w:hint="eastAsia" w:ascii="仿宋_GB2312" w:hAnsi="仿宋_GB2312" w:cs="Times New Roman"/>
          <w:color w:val="000000"/>
          <w:kern w:val="0"/>
          <w:sz w:val="32"/>
          <w:szCs w:val="32"/>
          <w:lang w:val="en-US" w:eastAsia="zh-CN"/>
        </w:rPr>
        <w:t>三、党政主要负责人履行推进法治建设第一责任人职责、加强法治政府建设的有关情况</w:t>
      </w:r>
    </w:p>
    <w:p w14:paraId="61229847">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党政主要负责人切实履行法治建设第一责任人职责，坚持对法治政府建设重要工作亲自部署、重大问题亲自过问、重点环节亲自协调、重要任务亲自督办，将经济社会发展和法治建设同步谋划、同步部署、同步推进，</w:t>
      </w:r>
      <w:r>
        <w:rPr>
          <w:rFonts w:hint="eastAsia" w:ascii="仿宋" w:hAnsi="仿宋" w:eastAsia="仿宋"/>
          <w:sz w:val="32"/>
          <w:szCs w:val="32"/>
          <w:lang w:eastAsia="zh-CN"/>
        </w:rPr>
        <w:t>组织全体乡村干部开展以</w:t>
      </w:r>
      <w:r>
        <w:rPr>
          <w:rFonts w:hint="eastAsia" w:ascii="仿宋_GB2312" w:hAnsi="仿宋_GB2312" w:eastAsia="仿宋_GB2312" w:cs="仿宋_GB2312"/>
          <w:b w:val="0"/>
          <w:bCs w:val="0"/>
          <w:kern w:val="2"/>
          <w:sz w:val="32"/>
          <w:szCs w:val="32"/>
          <w:lang w:val="en-US" w:eastAsia="zh-CN" w:bidi="ar-SA"/>
        </w:rPr>
        <w:t>《严格依法行政，建设法治政府》《推进依法治国总目标，引领法治中国前进方向》为主题的法治教育专题讲座，</w:t>
      </w:r>
      <w:r>
        <w:rPr>
          <w:rFonts w:hint="eastAsia" w:ascii="仿宋_GB2312" w:eastAsia="仿宋_GB2312"/>
          <w:sz w:val="32"/>
          <w:szCs w:val="32"/>
          <w:lang w:val="en-US" w:eastAsia="zh-CN"/>
        </w:rPr>
        <w:t>专题听取全乡法治建设工作汇报，研究部署全面依法行政工作，将履职情况列入年终述职内容，充分发挥了党政主要负责人在推进法治政府建设中的领导核心作用。</w:t>
      </w:r>
    </w:p>
    <w:p w14:paraId="25A15EF4">
      <w:pPr>
        <w:pStyle w:val="2"/>
        <w:keepNext w:val="0"/>
        <w:keepLines w:val="0"/>
        <w:pageBreakBefore w:val="0"/>
        <w:widowControl/>
        <w:kinsoku/>
        <w:wordWrap/>
        <w:overflowPunct/>
        <w:topLinePunct w:val="0"/>
        <w:bidi w:val="0"/>
        <w:snapToGrid w:val="0"/>
        <w:spacing w:line="560" w:lineRule="exact"/>
        <w:ind w:firstLine="640" w:firstLineChars="200"/>
        <w:rPr>
          <w:rFonts w:hint="eastAsia" w:ascii="仿宋_GB2312" w:eastAsia="仿宋_GB2312"/>
          <w:sz w:val="32"/>
          <w:szCs w:val="32"/>
          <w:lang w:val="en-US" w:eastAsia="zh-CN"/>
        </w:rPr>
      </w:pPr>
      <w:r>
        <w:rPr>
          <w:rFonts w:hint="eastAsia" w:ascii="仿宋_GB2312" w:hAnsi="仿宋_GB2312" w:cs="Times New Roman"/>
          <w:color w:val="000000"/>
          <w:kern w:val="0"/>
          <w:sz w:val="32"/>
          <w:szCs w:val="32"/>
          <w:lang w:val="en-US" w:eastAsia="zh-CN"/>
        </w:rPr>
        <w:t>四、下一年度推进法治政府建设的主要安排</w:t>
      </w:r>
    </w:p>
    <w:p w14:paraId="778A8CE3">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（一）切实加强党对法治政府建设的领导</w:t>
      </w:r>
    </w:p>
    <w:p w14:paraId="5D53236F">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全面贯彻落实党的二十届三中全会精神，深入贯彻践行习近平总书记全面依法治国的新理念新思想新战略，围绕中央关于法治政府建设的决策部署，谋划和落实好法治政府建设的各项工作和任务，主动向县委报告法治政府建设中的重大问题和困难，确保政府职能依法全面履行，依法行政能力普遍提高。</w:t>
      </w:r>
    </w:p>
    <w:p w14:paraId="335D30B2">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（二）持续发力，营造出良好的法治</w:t>
      </w:r>
      <w:bookmarkStart w:id="0" w:name="_GoBack"/>
      <w:bookmarkEnd w:id="0"/>
      <w:r>
        <w:rPr>
          <w:rFonts w:hint="eastAsia" w:ascii="楷体" w:hAnsi="楷体" w:eastAsia="楷体" w:cs="楷体"/>
          <w:b/>
          <w:bCs/>
          <w:sz w:val="32"/>
          <w:szCs w:val="32"/>
          <w:lang w:val="en-US" w:eastAsia="zh-CN"/>
        </w:rPr>
        <w:t>氛围</w:t>
      </w:r>
    </w:p>
    <w:p w14:paraId="761E5A77">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深入持续抓好党员干部学法用法，不断提高依法执政能力，切实加强法律培训，努力提高机关工作人员的法律素质和依法办事能力，树立良好的法治政府形象，推进全社会的依法行政。紧紧抓住群众的普法教育不放松，注重农村法治宣传教育，努力消除普法盲区死角。加大对法制宣传经费投入，利用灵活多样的宣传形式，形成全社会共同参与法治建设的良好氛围。</w:t>
      </w:r>
    </w:p>
    <w:p w14:paraId="1272343B">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（三）强化队伍建设，提高执法能力</w:t>
      </w:r>
    </w:p>
    <w:p w14:paraId="0E929EE8">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进一步加强执法人员队伍建设，强化依法行政思维及必要的法律知识学习能力，健全行政执法培训制度，开展多种形式法律法规学习，全面提高全体职工的法治水平。同时，结合全面推进乡村振兴战略新形势下的具体目标和任务，根据农村广大人民群众的现实需要，重点宣传法律法规关键条文和典型案例典型事迹，教育引导群众做社会主义法治建设的忠实崇尚者、自觉遵守者、坚定捍卫者。</w:t>
      </w:r>
    </w:p>
    <w:p w14:paraId="0565F21B">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lang w:val="en-US" w:eastAsia="zh-CN"/>
        </w:rPr>
      </w:pPr>
    </w:p>
    <w:p w14:paraId="6FB42966">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lang w:val="en-US" w:eastAsia="zh-CN"/>
        </w:rPr>
      </w:pPr>
    </w:p>
    <w:p w14:paraId="11F772C6">
      <w:pPr>
        <w:keepNext w:val="0"/>
        <w:keepLines w:val="0"/>
        <w:pageBreakBefore w:val="0"/>
        <w:widowControl w:val="0"/>
        <w:tabs>
          <w:tab w:val="left" w:pos="2319"/>
        </w:tabs>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sz w:val="32"/>
          <w:szCs w:val="32"/>
          <w:lang w:val="en-US" w:eastAsia="zh-CN"/>
        </w:rPr>
      </w:pPr>
    </w:p>
    <w:p w14:paraId="2DE5AB7D">
      <w:pPr>
        <w:keepNext w:val="0"/>
        <w:keepLines w:val="0"/>
        <w:pageBreakBefore w:val="0"/>
        <w:widowControl w:val="0"/>
        <w:tabs>
          <w:tab w:val="left" w:pos="2319"/>
        </w:tabs>
        <w:kinsoku/>
        <w:wordWrap w:val="0"/>
        <w:overflowPunct/>
        <w:topLinePunct w:val="0"/>
        <w:autoSpaceDE/>
        <w:autoSpaceDN/>
        <w:bidi w:val="0"/>
        <w:adjustRightInd/>
        <w:snapToGrid/>
        <w:spacing w:line="560" w:lineRule="exact"/>
        <w:ind w:firstLine="640" w:firstLineChars="200"/>
        <w:jc w:val="righ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湘潭县分水乡人民政府    </w:t>
      </w:r>
    </w:p>
    <w:p w14:paraId="3E3EE613">
      <w:pPr>
        <w:keepNext w:val="0"/>
        <w:keepLines w:val="0"/>
        <w:pageBreakBefore w:val="0"/>
        <w:widowControl w:val="0"/>
        <w:tabs>
          <w:tab w:val="left" w:pos="2319"/>
        </w:tabs>
        <w:kinsoku/>
        <w:wordWrap w:val="0"/>
        <w:overflowPunct/>
        <w:topLinePunct w:val="0"/>
        <w:autoSpaceDE/>
        <w:autoSpaceDN/>
        <w:bidi w:val="0"/>
        <w:adjustRightInd/>
        <w:snapToGrid/>
        <w:spacing w:line="560" w:lineRule="exact"/>
        <w:ind w:firstLine="640" w:firstLineChars="200"/>
        <w:jc w:val="righ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2024年12月18日      </w:t>
      </w:r>
    </w:p>
    <w:p w14:paraId="74584690">
      <w:pPr>
        <w:keepNext w:val="0"/>
        <w:keepLines w:val="0"/>
        <w:pageBreakBefore w:val="0"/>
        <w:widowControl w:val="0"/>
        <w:tabs>
          <w:tab w:val="left" w:pos="2319"/>
        </w:tabs>
        <w:kinsoku/>
        <w:wordWrap/>
        <w:overflowPunct/>
        <w:topLinePunct w:val="0"/>
        <w:autoSpaceDE/>
        <w:autoSpaceDN/>
        <w:bidi w:val="0"/>
        <w:adjustRightInd/>
        <w:snapToGrid/>
        <w:spacing w:line="560" w:lineRule="exact"/>
        <w:jc w:val="left"/>
        <w:textAlignment w:val="auto"/>
        <w:rPr>
          <w:rFonts w:hint="default" w:ascii="仿宋_GB2312"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1" w:fontKey="{57A72FC6-1401-4F16-85F1-ABB50B4D3839}"/>
  </w:font>
  <w:font w:name="方正小标宋_GBK">
    <w:panose1 w:val="02000000000000000000"/>
    <w:charset w:val="86"/>
    <w:family w:val="auto"/>
    <w:pitch w:val="default"/>
    <w:sig w:usb0="A00002BF" w:usb1="38CF7CFA" w:usb2="00082016" w:usb3="00000000" w:csb0="00040001" w:csb1="00000000"/>
    <w:embedRegular r:id="rId2" w:fontKey="{97264465-3D4D-48CD-AA6F-52A5AC47A007}"/>
  </w:font>
  <w:font w:name="楷体_GB2312">
    <w:panose1 w:val="02010609030101010101"/>
    <w:charset w:val="86"/>
    <w:family w:val="auto"/>
    <w:pitch w:val="default"/>
    <w:sig w:usb0="00000001" w:usb1="080E0000" w:usb2="00000000" w:usb3="00000000" w:csb0="00040000" w:csb1="00000000"/>
    <w:embedRegular r:id="rId3" w:fontKey="{28869233-C7F4-4250-860B-D21311088B2D}"/>
  </w:font>
  <w:font w:name="仿宋">
    <w:panose1 w:val="02010609060101010101"/>
    <w:charset w:val="86"/>
    <w:family w:val="auto"/>
    <w:pitch w:val="default"/>
    <w:sig w:usb0="800002BF" w:usb1="38CF7CFA" w:usb2="00000016" w:usb3="00000000" w:csb0="00040001" w:csb1="00000000"/>
    <w:embedRegular r:id="rId4" w:fontKey="{4437292B-FA01-47A2-963F-B5EF2E65EAD5}"/>
  </w:font>
  <w:font w:name="楷体">
    <w:panose1 w:val="02010609060101010101"/>
    <w:charset w:val="86"/>
    <w:family w:val="auto"/>
    <w:pitch w:val="default"/>
    <w:sig w:usb0="800002BF" w:usb1="38CF7CFA" w:usb2="00000016" w:usb3="00000000" w:csb0="00040001" w:csb1="00000000"/>
    <w:embedRegular r:id="rId5" w:fontKey="{2145B693-5742-443E-9FFC-6CCB3C2243E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ZDI4YjQzYWFhNWE4YWNlYTRjYWFmNjBkODUxMWYifQ=="/>
  </w:docVars>
  <w:rsids>
    <w:rsidRoot w:val="00000000"/>
    <w:rsid w:val="010B5C7B"/>
    <w:rsid w:val="01204DA0"/>
    <w:rsid w:val="02D05560"/>
    <w:rsid w:val="0DEB6DA0"/>
    <w:rsid w:val="28EC45F2"/>
    <w:rsid w:val="2B51698E"/>
    <w:rsid w:val="3024086A"/>
    <w:rsid w:val="39FE4A9D"/>
    <w:rsid w:val="4F04774F"/>
    <w:rsid w:val="4F24091B"/>
    <w:rsid w:val="5DDB1F64"/>
    <w:rsid w:val="60216D69"/>
    <w:rsid w:val="617B5538"/>
    <w:rsid w:val="71BE1FB9"/>
    <w:rsid w:val="727A287F"/>
    <w:rsid w:val="7CFB5D27"/>
    <w:rsid w:val="7E1C5F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line="560" w:lineRule="exact"/>
      <w:outlineLvl w:val="0"/>
    </w:pPr>
    <w:rPr>
      <w:rFonts w:eastAsia="黑体"/>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列出段落1"/>
    <w:basedOn w:val="1"/>
    <w:qFormat/>
    <w:uiPriority w:val="99"/>
    <w:pPr>
      <w:spacing w:line="360" w:lineRule="auto"/>
      <w:ind w:firstLine="420" w:firstLineChars="200"/>
    </w:pPr>
    <w:rPr>
      <w:rFonts w:eastAsia="仿宋_GB231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3299</Words>
  <Characters>3337</Characters>
  <Lines>0</Lines>
  <Paragraphs>0</Paragraphs>
  <TotalTime>1104</TotalTime>
  <ScaleCrop>false</ScaleCrop>
  <LinksUpToDate>false</LinksUpToDate>
  <CharactersWithSpaces>3347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2023-12-13T00:17:00Z</dcterms:created>
  <dc:creator>Administrator</dc:creator>
  <cp:lastModifiedBy>Administrator</cp:lastModifiedBy>
  <dcterms:modified xsi:type="dcterms:W3CDTF">2025-05-20T03:06:05Z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1F0330A197CB4298924C2D58C99B3916_13</vt:lpwstr>
  </property>
  <property fmtid="{D5CDD505-2E9C-101B-9397-08002B2CF9AE}" pid="4" name="KSOTemplateDocerSaveRecord">
    <vt:lpwstr>eyJoZGlkIjoiY2JkYTU0MDU0MTMzNDMyZDZmNjgyMjlhZmM3NDQzMWUifQ==</vt:lpwstr>
  </property>
</Properties>
</file>