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2CD1C4">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方正小标宋简体" w:eastAsia="方正小标宋简体" w:cs="方正小标宋简体"/>
          <w:color w:val="000000"/>
          <w:sz w:val="32"/>
          <w:szCs w:val="32"/>
          <w:lang w:val="en-US" w:eastAsia="zh-CN"/>
        </w:rPr>
      </w:pPr>
      <w:r>
        <w:rPr>
          <w:rFonts w:hint="eastAsia" w:ascii="方正小标宋简体" w:eastAsia="方正小标宋简体" w:cs="方正小标宋简体"/>
          <w:color w:val="000000"/>
          <w:sz w:val="32"/>
          <w:szCs w:val="32"/>
          <w:lang w:val="en-US" w:eastAsia="zh-CN"/>
        </w:rPr>
        <w:t>附件1：</w:t>
      </w:r>
    </w:p>
    <w:p w14:paraId="028EFFE2">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hint="eastAsia" w:ascii="方正小标宋简体" w:eastAsia="方正小标宋简体" w:cs="方正小标宋简体"/>
          <w:color w:val="000000"/>
          <w:sz w:val="44"/>
          <w:szCs w:val="44"/>
          <w:lang w:val="en-US" w:eastAsia="zh-CN"/>
        </w:rPr>
      </w:pPr>
      <w:r>
        <w:rPr>
          <w:rFonts w:hint="eastAsia" w:ascii="方正小标宋简体" w:eastAsia="方正小标宋简体" w:cs="方正小标宋简体"/>
          <w:color w:val="000000"/>
          <w:sz w:val="44"/>
          <w:szCs w:val="44"/>
          <w:lang w:val="en-US" w:eastAsia="zh-CN"/>
        </w:rPr>
        <w:t>湘潭县国家机关2022年度普法重点任务清单</w:t>
      </w:r>
    </w:p>
    <w:tbl>
      <w:tblPr>
        <w:tblStyle w:val="5"/>
        <w:tblW w:w="14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453"/>
        <w:gridCol w:w="13083"/>
        <w:gridCol w:w="557"/>
      </w:tblGrid>
      <w:tr w14:paraId="1198E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885" w:type="dxa"/>
            <w:noWrap w:val="0"/>
            <w:vAlign w:val="center"/>
          </w:tcPr>
          <w:p w14:paraId="5A09ED3A">
            <w:pPr>
              <w:jc w:val="center"/>
              <w:rPr>
                <w:rFonts w:hint="eastAsia" w:ascii="仿宋_GB2312" w:eastAsia="仿宋_GB2312" w:cs="仿宋_GB2312"/>
                <w:b/>
                <w:bCs/>
                <w:color w:val="000000"/>
                <w:sz w:val="24"/>
                <w:szCs w:val="24"/>
                <w:vertAlign w:val="baseline"/>
                <w:lang w:val="en-US" w:eastAsia="zh-CN"/>
              </w:rPr>
            </w:pPr>
            <w:r>
              <w:rPr>
                <w:rFonts w:hint="eastAsia" w:ascii="仿宋_GB2312" w:eastAsia="仿宋_GB2312" w:cs="仿宋_GB2312"/>
                <w:b/>
                <w:bCs/>
                <w:color w:val="000000"/>
                <w:sz w:val="24"/>
                <w:szCs w:val="24"/>
                <w:vertAlign w:val="baseline"/>
                <w:lang w:val="en-US" w:eastAsia="zh-CN"/>
              </w:rPr>
              <w:t>单位</w:t>
            </w:r>
          </w:p>
        </w:tc>
        <w:tc>
          <w:tcPr>
            <w:tcW w:w="453" w:type="dxa"/>
            <w:noWrap w:val="0"/>
            <w:vAlign w:val="center"/>
          </w:tcPr>
          <w:p w14:paraId="0759DDCD">
            <w:pPr>
              <w:jc w:val="center"/>
              <w:rPr>
                <w:rFonts w:hint="eastAsia" w:ascii="仿宋_GB2312" w:eastAsia="仿宋_GB2312" w:cs="仿宋_GB2312"/>
                <w:b/>
                <w:bCs/>
                <w:color w:val="000000"/>
                <w:sz w:val="24"/>
                <w:szCs w:val="24"/>
                <w:vertAlign w:val="baseline"/>
                <w:lang w:val="en-US" w:eastAsia="zh-CN"/>
              </w:rPr>
            </w:pPr>
            <w:r>
              <w:rPr>
                <w:rFonts w:hint="eastAsia" w:ascii="仿宋_GB2312" w:eastAsia="仿宋_GB2312" w:cs="仿宋_GB2312"/>
                <w:b/>
                <w:bCs/>
                <w:color w:val="000000"/>
                <w:sz w:val="24"/>
                <w:szCs w:val="24"/>
                <w:vertAlign w:val="baseline"/>
                <w:lang w:val="en-US" w:eastAsia="zh-CN"/>
              </w:rPr>
              <w:t>序号</w:t>
            </w:r>
          </w:p>
        </w:tc>
        <w:tc>
          <w:tcPr>
            <w:tcW w:w="13083" w:type="dxa"/>
            <w:noWrap w:val="0"/>
            <w:vAlign w:val="center"/>
          </w:tcPr>
          <w:p w14:paraId="29184BEA">
            <w:pPr>
              <w:jc w:val="center"/>
              <w:rPr>
                <w:rFonts w:hint="eastAsia" w:ascii="仿宋_GB2312" w:eastAsia="仿宋_GB2312" w:cs="仿宋_GB2312"/>
                <w:b/>
                <w:bCs/>
                <w:color w:val="000000"/>
                <w:sz w:val="24"/>
                <w:szCs w:val="24"/>
                <w:vertAlign w:val="baseline"/>
                <w:lang w:val="en-US" w:eastAsia="zh-CN"/>
              </w:rPr>
            </w:pPr>
            <w:r>
              <w:rPr>
                <w:rFonts w:hint="eastAsia" w:ascii="仿宋_GB2312" w:eastAsia="仿宋_GB2312" w:cs="仿宋_GB2312"/>
                <w:b/>
                <w:bCs/>
                <w:color w:val="000000"/>
                <w:sz w:val="24"/>
                <w:szCs w:val="24"/>
                <w:vertAlign w:val="baseline"/>
                <w:lang w:val="en-US" w:eastAsia="zh-CN"/>
              </w:rPr>
              <w:t>共性普法清单</w:t>
            </w:r>
          </w:p>
        </w:tc>
        <w:tc>
          <w:tcPr>
            <w:tcW w:w="557" w:type="dxa"/>
            <w:noWrap w:val="0"/>
            <w:vAlign w:val="center"/>
          </w:tcPr>
          <w:p w14:paraId="378355A2">
            <w:pPr>
              <w:jc w:val="center"/>
              <w:rPr>
                <w:rFonts w:hint="eastAsia" w:ascii="仿宋_GB2312" w:eastAsia="仿宋_GB2312" w:cs="仿宋_GB2312"/>
                <w:b/>
                <w:bCs/>
                <w:color w:val="000000"/>
                <w:sz w:val="24"/>
                <w:szCs w:val="24"/>
                <w:vertAlign w:val="baseline"/>
                <w:lang w:val="en-US" w:eastAsia="zh-CN"/>
              </w:rPr>
            </w:pPr>
            <w:r>
              <w:rPr>
                <w:rFonts w:hint="eastAsia" w:ascii="仿宋_GB2312" w:eastAsia="仿宋_GB2312" w:cs="仿宋_GB2312"/>
                <w:b/>
                <w:bCs/>
                <w:color w:val="000000"/>
                <w:sz w:val="24"/>
                <w:szCs w:val="24"/>
                <w:vertAlign w:val="baseline"/>
                <w:lang w:val="en-US" w:eastAsia="zh-CN"/>
              </w:rPr>
              <w:t>备注</w:t>
            </w:r>
          </w:p>
        </w:tc>
      </w:tr>
      <w:tr w14:paraId="5B4CF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5" w:type="dxa"/>
            <w:vMerge w:val="restart"/>
            <w:noWrap w:val="0"/>
            <w:vAlign w:val="center"/>
          </w:tcPr>
          <w:p w14:paraId="0B30A404">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全县各单位</w:t>
            </w:r>
          </w:p>
        </w:tc>
        <w:tc>
          <w:tcPr>
            <w:tcW w:w="453" w:type="dxa"/>
            <w:noWrap w:val="0"/>
            <w:vAlign w:val="center"/>
          </w:tcPr>
          <w:p w14:paraId="79B415FF">
            <w:pPr>
              <w:jc w:val="center"/>
              <w:rPr>
                <w:rFonts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083" w:type="dxa"/>
            <w:noWrap w:val="0"/>
            <w:vAlign w:val="center"/>
          </w:tcPr>
          <w:p w14:paraId="34DF5DF3">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认真贯彻实施全国、全省、全市、全县“八五”普法规划，根据本系统、行业实际，结合本系统、行业“十四五”规划实施，制定本部门行业普法工作计划，制定并公布普法责任清单，做到普法工作与其他业务工作同部署、同检查、同落实。</w:t>
            </w:r>
          </w:p>
        </w:tc>
        <w:tc>
          <w:tcPr>
            <w:tcW w:w="557" w:type="dxa"/>
            <w:vMerge w:val="restart"/>
            <w:noWrap w:val="0"/>
            <w:vAlign w:val="center"/>
          </w:tcPr>
          <w:p w14:paraId="1397B9AC">
            <w:pPr>
              <w:jc w:val="center"/>
              <w:rPr>
                <w:rFonts w:hint="eastAsia" w:ascii="仿宋_GB2312" w:eastAsia="仿宋_GB2312" w:cs="仿宋_GB2312"/>
                <w:color w:val="000000"/>
                <w:sz w:val="21"/>
                <w:szCs w:val="21"/>
                <w:vertAlign w:val="baseline"/>
                <w:lang w:val="en-US" w:eastAsia="zh-CN"/>
              </w:rPr>
            </w:pPr>
          </w:p>
        </w:tc>
      </w:tr>
      <w:tr w14:paraId="350DB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885" w:type="dxa"/>
            <w:vMerge w:val="continue"/>
            <w:noWrap w:val="0"/>
            <w:vAlign w:val="center"/>
          </w:tcPr>
          <w:p w14:paraId="4B3B22CE"/>
        </w:tc>
        <w:tc>
          <w:tcPr>
            <w:tcW w:w="453" w:type="dxa"/>
            <w:noWrap w:val="0"/>
            <w:vAlign w:val="center"/>
          </w:tcPr>
          <w:p w14:paraId="69A49D4B">
            <w:pPr>
              <w:jc w:val="center"/>
              <w:rPr>
                <w:rFonts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083" w:type="dxa"/>
            <w:noWrap w:val="0"/>
            <w:vAlign w:val="center"/>
          </w:tcPr>
          <w:p w14:paraId="1FA6A860">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深入学习宣传习近平法治思想，将相关内容纳入年内党委（党组）中心组集中学法内容和本单位、本系统法治培训内容，开展宣讲不少于1次。</w:t>
            </w:r>
          </w:p>
        </w:tc>
        <w:tc>
          <w:tcPr>
            <w:tcW w:w="557" w:type="dxa"/>
            <w:vMerge w:val="continue"/>
            <w:noWrap w:val="0"/>
            <w:vAlign w:val="top"/>
          </w:tcPr>
          <w:p w14:paraId="5B8485E4"/>
        </w:tc>
      </w:tr>
      <w:tr w14:paraId="46718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885" w:type="dxa"/>
            <w:vMerge w:val="continue"/>
            <w:noWrap w:val="0"/>
            <w:vAlign w:val="center"/>
          </w:tcPr>
          <w:p w14:paraId="71D4F719"/>
        </w:tc>
        <w:tc>
          <w:tcPr>
            <w:tcW w:w="453" w:type="dxa"/>
            <w:noWrap w:val="0"/>
            <w:vAlign w:val="center"/>
          </w:tcPr>
          <w:p w14:paraId="4C2B3D2F">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083" w:type="dxa"/>
            <w:noWrap w:val="0"/>
            <w:vAlign w:val="center"/>
          </w:tcPr>
          <w:p w14:paraId="33CC8B1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落实党委（党组）理论学习中心组学法制度，开展宪法、民法典等集中学习宣传活动，每年组织学法不少于2次。</w:t>
            </w:r>
          </w:p>
        </w:tc>
        <w:tc>
          <w:tcPr>
            <w:tcW w:w="557" w:type="dxa"/>
            <w:vMerge w:val="continue"/>
            <w:noWrap w:val="0"/>
            <w:vAlign w:val="top"/>
          </w:tcPr>
          <w:p w14:paraId="730F36C8"/>
        </w:tc>
      </w:tr>
      <w:tr w14:paraId="43A9B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885" w:type="dxa"/>
            <w:vMerge w:val="continue"/>
            <w:noWrap w:val="0"/>
            <w:vAlign w:val="center"/>
          </w:tcPr>
          <w:p w14:paraId="24BFC09B"/>
        </w:tc>
        <w:tc>
          <w:tcPr>
            <w:tcW w:w="453" w:type="dxa"/>
            <w:noWrap w:val="0"/>
            <w:vAlign w:val="center"/>
          </w:tcPr>
          <w:p w14:paraId="3C111857">
            <w:pPr>
              <w:jc w:val="center"/>
              <w:rPr>
                <w:rFonts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4</w:t>
            </w:r>
          </w:p>
        </w:tc>
        <w:tc>
          <w:tcPr>
            <w:tcW w:w="13083" w:type="dxa"/>
            <w:noWrap w:val="0"/>
            <w:vAlign w:val="center"/>
          </w:tcPr>
          <w:p w14:paraId="35A04C6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落实领导干部年终述法制度，在年度述职中加入述法内容，并及时报送至县委全面依法治县办。</w:t>
            </w:r>
          </w:p>
        </w:tc>
        <w:tc>
          <w:tcPr>
            <w:tcW w:w="557" w:type="dxa"/>
            <w:vMerge w:val="continue"/>
            <w:noWrap w:val="0"/>
            <w:vAlign w:val="top"/>
          </w:tcPr>
          <w:p w14:paraId="1C428AAC"/>
        </w:tc>
      </w:tr>
      <w:tr w14:paraId="135E1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exact"/>
          <w:jc w:val="center"/>
        </w:trPr>
        <w:tc>
          <w:tcPr>
            <w:tcW w:w="885" w:type="dxa"/>
            <w:vMerge w:val="continue"/>
            <w:noWrap w:val="0"/>
            <w:vAlign w:val="center"/>
          </w:tcPr>
          <w:p w14:paraId="1F92E57C"/>
        </w:tc>
        <w:tc>
          <w:tcPr>
            <w:tcW w:w="453" w:type="dxa"/>
            <w:noWrap w:val="0"/>
            <w:vAlign w:val="center"/>
          </w:tcPr>
          <w:p w14:paraId="02160C79">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5</w:t>
            </w:r>
          </w:p>
        </w:tc>
        <w:tc>
          <w:tcPr>
            <w:tcW w:w="13083" w:type="dxa"/>
            <w:noWrap w:val="0"/>
            <w:vAlign w:val="center"/>
          </w:tcPr>
          <w:p w14:paraId="0CCC27A6">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健全完善国家工作人员日常学法制度、法治培训制度、学法用法考核制度，每年至少举办一期法治专题培训班；组织做好本单位工作人员网上学法，年内课时达标率100%，应考人员参考率100%，合格率100%。</w:t>
            </w:r>
          </w:p>
        </w:tc>
        <w:tc>
          <w:tcPr>
            <w:tcW w:w="557" w:type="dxa"/>
            <w:vMerge w:val="continue"/>
            <w:noWrap w:val="0"/>
            <w:vAlign w:val="top"/>
          </w:tcPr>
          <w:p w14:paraId="62FD448C"/>
        </w:tc>
      </w:tr>
      <w:tr w14:paraId="02D32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885" w:type="dxa"/>
            <w:vMerge w:val="continue"/>
            <w:noWrap w:val="0"/>
            <w:vAlign w:val="center"/>
          </w:tcPr>
          <w:p w14:paraId="59731D7F"/>
        </w:tc>
        <w:tc>
          <w:tcPr>
            <w:tcW w:w="453" w:type="dxa"/>
            <w:noWrap w:val="0"/>
            <w:vAlign w:val="center"/>
          </w:tcPr>
          <w:p w14:paraId="31210155">
            <w:pPr>
              <w:jc w:val="center"/>
              <w:rPr>
                <w:rFonts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6</w:t>
            </w:r>
          </w:p>
        </w:tc>
        <w:tc>
          <w:tcPr>
            <w:tcW w:w="13083" w:type="dxa"/>
            <w:noWrap w:val="0"/>
            <w:vAlign w:val="center"/>
          </w:tcPr>
          <w:p w14:paraId="5EF7583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落实国家工作人员旁听庭审制度，组织网上集中观看或是现场集中旁听庭审，年内不少于2次。</w:t>
            </w:r>
          </w:p>
        </w:tc>
        <w:tc>
          <w:tcPr>
            <w:tcW w:w="557" w:type="dxa"/>
            <w:vMerge w:val="continue"/>
            <w:noWrap w:val="0"/>
            <w:vAlign w:val="top"/>
          </w:tcPr>
          <w:p w14:paraId="75EFC7EC"/>
        </w:tc>
      </w:tr>
      <w:tr w14:paraId="62BCA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jc w:val="center"/>
        </w:trPr>
        <w:tc>
          <w:tcPr>
            <w:tcW w:w="885" w:type="dxa"/>
            <w:vMerge w:val="continue"/>
            <w:noWrap w:val="0"/>
            <w:vAlign w:val="center"/>
          </w:tcPr>
          <w:p w14:paraId="1D8956CB"/>
        </w:tc>
        <w:tc>
          <w:tcPr>
            <w:tcW w:w="453" w:type="dxa"/>
            <w:noWrap w:val="0"/>
            <w:vAlign w:val="center"/>
          </w:tcPr>
          <w:p w14:paraId="3A08062D">
            <w:pPr>
              <w:jc w:val="center"/>
              <w:rPr>
                <w:rFonts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7</w:t>
            </w:r>
          </w:p>
        </w:tc>
        <w:tc>
          <w:tcPr>
            <w:tcW w:w="13083" w:type="dxa"/>
            <w:noWrap w:val="0"/>
            <w:vAlign w:val="center"/>
          </w:tcPr>
          <w:p w14:paraId="711837C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在部门单位门户网站、自办刊物、官方微博、微信公众号开辟法治宣传专栏（专题）。</w:t>
            </w:r>
            <w:r>
              <w:rPr>
                <w:rFonts w:hint="eastAsia" w:ascii="仿宋_GB2312" w:eastAsia="仿宋_GB2312" w:cs="宋体"/>
                <w:color w:val="auto"/>
                <w:lang w:val="en-US" w:eastAsia="zh-CN"/>
              </w:rPr>
              <w:t>设置“以案释法”栏目，定期发布普法宣传内容和“以案释法”案例，年内报送不少于1个典型案例进入省、市、县案例库。（标注“</w:t>
            </w:r>
            <w:r>
              <w:rPr>
                <w:rFonts w:hint="eastAsia" w:ascii="仿宋_GB2312" w:hAnsi="仿宋_GB2312" w:eastAsia="仿宋_GB2312" w:cs="仿宋_GB2312"/>
                <w:color w:val="000000"/>
                <w:sz w:val="21"/>
                <w:szCs w:val="21"/>
                <w:vertAlign w:val="baseline"/>
                <w:lang w:val="en-US" w:eastAsia="zh-CN"/>
              </w:rPr>
              <w:t>★”的单位为重点单位，</w:t>
            </w:r>
            <w:r>
              <w:rPr>
                <w:rFonts w:hint="eastAsia" w:ascii="仿宋_GB2312" w:eastAsia="仿宋_GB2312" w:cs="宋体"/>
                <w:color w:val="auto"/>
                <w:lang w:val="en-US" w:eastAsia="zh-CN"/>
              </w:rPr>
              <w:t>重点单位报送2至3个）</w:t>
            </w:r>
          </w:p>
        </w:tc>
        <w:tc>
          <w:tcPr>
            <w:tcW w:w="557" w:type="dxa"/>
            <w:vMerge w:val="continue"/>
            <w:noWrap w:val="0"/>
            <w:vAlign w:val="top"/>
          </w:tcPr>
          <w:p w14:paraId="7A257850"/>
        </w:tc>
      </w:tr>
      <w:tr w14:paraId="60BB3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885" w:type="dxa"/>
            <w:vMerge w:val="continue"/>
            <w:noWrap w:val="0"/>
            <w:vAlign w:val="center"/>
          </w:tcPr>
          <w:p w14:paraId="1E64805E"/>
        </w:tc>
        <w:tc>
          <w:tcPr>
            <w:tcW w:w="453" w:type="dxa"/>
            <w:noWrap w:val="0"/>
            <w:vAlign w:val="center"/>
          </w:tcPr>
          <w:p w14:paraId="64B8F495">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8</w:t>
            </w:r>
          </w:p>
        </w:tc>
        <w:tc>
          <w:tcPr>
            <w:tcW w:w="13083" w:type="dxa"/>
            <w:noWrap w:val="0"/>
            <w:vAlign w:val="center"/>
          </w:tcPr>
          <w:p w14:paraId="6C3E57B6">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认真学习宣传《中华人民共和国反有组织犯罪法》、信访工作条例、、打击整治养老领域诈骗等方面法律法规，深入宣传促进高质量发展、助推乡村振兴战略实施相关的法律法规，深入宣传与社会治理现代化密切相关的法律法规，深入学习宣传本部门职责、管理、执法和服务相关的法律法规，深入学习宣传党内法规。</w:t>
            </w:r>
          </w:p>
        </w:tc>
        <w:tc>
          <w:tcPr>
            <w:tcW w:w="557" w:type="dxa"/>
            <w:vMerge w:val="continue"/>
            <w:noWrap w:val="0"/>
            <w:vAlign w:val="top"/>
          </w:tcPr>
          <w:p w14:paraId="549F838D"/>
        </w:tc>
      </w:tr>
    </w:tbl>
    <w:tbl>
      <w:tblPr>
        <w:tblStyle w:val="5"/>
        <w:tblpPr w:leftFromText="180" w:rightFromText="180" w:vertAnchor="text" w:horzAnchor="page" w:tblpX="1012" w:tblpY="319"/>
        <w:tblOverlap w:val="never"/>
        <w:tblW w:w="151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456"/>
        <w:gridCol w:w="13217"/>
        <w:gridCol w:w="563"/>
      </w:tblGrid>
      <w:tr w14:paraId="2F65B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90" w:type="dxa"/>
            <w:noWrap w:val="0"/>
            <w:vAlign w:val="center"/>
          </w:tcPr>
          <w:p w14:paraId="28C05795">
            <w:pPr>
              <w:jc w:val="center"/>
              <w:rPr>
                <w:rFonts w:hint="eastAsia" w:ascii="仿宋_GB2312" w:eastAsia="仿宋_GB2312" w:cs="仿宋_GB2312"/>
                <w:b/>
                <w:bCs/>
                <w:color w:val="000000"/>
                <w:sz w:val="24"/>
                <w:szCs w:val="24"/>
                <w:vertAlign w:val="baseline"/>
                <w:lang w:val="en-US" w:eastAsia="zh-CN"/>
              </w:rPr>
            </w:pPr>
            <w:r>
              <w:rPr>
                <w:rFonts w:hint="eastAsia" w:ascii="仿宋_GB2312" w:eastAsia="仿宋_GB2312" w:cs="仿宋_GB2312"/>
                <w:b/>
                <w:bCs/>
                <w:color w:val="000000"/>
                <w:sz w:val="24"/>
                <w:szCs w:val="24"/>
                <w:vertAlign w:val="baseline"/>
                <w:lang w:val="en-US" w:eastAsia="zh-CN"/>
              </w:rPr>
              <w:t>单位</w:t>
            </w:r>
          </w:p>
        </w:tc>
        <w:tc>
          <w:tcPr>
            <w:tcW w:w="456" w:type="dxa"/>
            <w:noWrap w:val="0"/>
            <w:vAlign w:val="center"/>
          </w:tcPr>
          <w:p w14:paraId="5A774BAE">
            <w:pPr>
              <w:jc w:val="center"/>
              <w:rPr>
                <w:rFonts w:hint="eastAsia" w:ascii="仿宋_GB2312" w:eastAsia="仿宋_GB2312" w:cs="仿宋_GB2312"/>
                <w:b/>
                <w:bCs/>
                <w:color w:val="000000"/>
                <w:sz w:val="24"/>
                <w:szCs w:val="24"/>
                <w:vertAlign w:val="baseline"/>
                <w:lang w:val="en-US" w:eastAsia="zh-CN"/>
              </w:rPr>
            </w:pPr>
            <w:r>
              <w:rPr>
                <w:rFonts w:hint="eastAsia" w:ascii="仿宋_GB2312" w:eastAsia="仿宋_GB2312" w:cs="仿宋_GB2312"/>
                <w:b/>
                <w:bCs/>
                <w:color w:val="000000"/>
                <w:sz w:val="24"/>
                <w:szCs w:val="24"/>
                <w:vertAlign w:val="baseline"/>
                <w:lang w:val="en-US" w:eastAsia="zh-CN"/>
              </w:rPr>
              <w:t>序号</w:t>
            </w:r>
          </w:p>
        </w:tc>
        <w:tc>
          <w:tcPr>
            <w:tcW w:w="13217" w:type="dxa"/>
            <w:noWrap w:val="0"/>
            <w:vAlign w:val="center"/>
          </w:tcPr>
          <w:p w14:paraId="2B96B121">
            <w:pPr>
              <w:jc w:val="center"/>
              <w:rPr>
                <w:rFonts w:hint="eastAsia" w:ascii="仿宋_GB2312" w:eastAsia="仿宋_GB2312" w:cs="仿宋_GB2312"/>
                <w:b/>
                <w:bCs/>
                <w:color w:val="000000"/>
                <w:sz w:val="24"/>
                <w:szCs w:val="24"/>
                <w:vertAlign w:val="baseline"/>
                <w:lang w:val="en-US" w:eastAsia="zh-CN"/>
              </w:rPr>
            </w:pPr>
            <w:r>
              <w:rPr>
                <w:rFonts w:hint="eastAsia" w:ascii="仿宋_GB2312" w:eastAsia="仿宋_GB2312" w:cs="仿宋_GB2312"/>
                <w:b/>
                <w:bCs/>
                <w:color w:val="000000"/>
                <w:sz w:val="24"/>
                <w:szCs w:val="24"/>
                <w:vertAlign w:val="baseline"/>
                <w:lang w:val="en-US" w:eastAsia="zh-CN"/>
              </w:rPr>
              <w:t>个性普法清单</w:t>
            </w:r>
          </w:p>
        </w:tc>
        <w:tc>
          <w:tcPr>
            <w:tcW w:w="563" w:type="dxa"/>
            <w:noWrap w:val="0"/>
            <w:vAlign w:val="center"/>
          </w:tcPr>
          <w:p w14:paraId="0044DDB4">
            <w:pPr>
              <w:jc w:val="center"/>
              <w:rPr>
                <w:rFonts w:hint="eastAsia" w:ascii="仿宋_GB2312" w:eastAsia="仿宋_GB2312" w:cs="仿宋_GB2312"/>
                <w:b/>
                <w:bCs/>
                <w:color w:val="000000"/>
                <w:sz w:val="24"/>
                <w:szCs w:val="24"/>
                <w:vertAlign w:val="baseline"/>
                <w:lang w:val="en-US" w:eastAsia="zh-CN"/>
              </w:rPr>
            </w:pPr>
            <w:r>
              <w:rPr>
                <w:rFonts w:hint="eastAsia" w:ascii="仿宋_GB2312" w:eastAsia="仿宋_GB2312" w:cs="仿宋_GB2312"/>
                <w:b/>
                <w:bCs/>
                <w:color w:val="000000"/>
                <w:sz w:val="24"/>
                <w:szCs w:val="24"/>
                <w:vertAlign w:val="baseline"/>
                <w:lang w:val="en-US" w:eastAsia="zh-CN"/>
              </w:rPr>
              <w:t>备注</w:t>
            </w:r>
          </w:p>
        </w:tc>
      </w:tr>
      <w:tr w14:paraId="75A04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exact"/>
        </w:trPr>
        <w:tc>
          <w:tcPr>
            <w:tcW w:w="890" w:type="dxa"/>
            <w:vMerge w:val="restart"/>
            <w:noWrap w:val="0"/>
            <w:vAlign w:val="center"/>
          </w:tcPr>
          <w:p w14:paraId="3A95A38F">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县纪委监委</w:t>
            </w:r>
          </w:p>
        </w:tc>
        <w:tc>
          <w:tcPr>
            <w:tcW w:w="456" w:type="dxa"/>
            <w:noWrap w:val="0"/>
            <w:vAlign w:val="center"/>
          </w:tcPr>
          <w:p w14:paraId="70101223">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4987C69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结合法律施行日和重大节日，年内组织开展不少于1次面向社会的法治宣传活动，广泛宣传监督执纪、监督执法工作相关法律法规。</w:t>
            </w:r>
          </w:p>
        </w:tc>
        <w:tc>
          <w:tcPr>
            <w:tcW w:w="563" w:type="dxa"/>
            <w:noWrap w:val="0"/>
            <w:vAlign w:val="top"/>
          </w:tcPr>
          <w:p w14:paraId="546C2EB0">
            <w:pPr>
              <w:jc w:val="center"/>
              <w:rPr>
                <w:rFonts w:hint="eastAsia" w:ascii="仿宋_GB2312" w:eastAsia="仿宋_GB2312" w:cs="仿宋_GB2312"/>
                <w:color w:val="000000"/>
                <w:sz w:val="21"/>
                <w:szCs w:val="21"/>
                <w:vertAlign w:val="baseline"/>
                <w:lang w:val="en-US" w:eastAsia="zh-CN"/>
              </w:rPr>
            </w:pPr>
          </w:p>
        </w:tc>
      </w:tr>
      <w:tr w14:paraId="25966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890" w:type="dxa"/>
            <w:vMerge w:val="continue"/>
            <w:noWrap w:val="0"/>
            <w:vAlign w:val="center"/>
          </w:tcPr>
          <w:p w14:paraId="54BC53A5"/>
        </w:tc>
        <w:tc>
          <w:tcPr>
            <w:tcW w:w="456" w:type="dxa"/>
            <w:noWrap w:val="0"/>
            <w:vAlign w:val="center"/>
          </w:tcPr>
          <w:p w14:paraId="1B319F75">
            <w:pPr>
              <w:jc w:val="center"/>
              <w:rPr>
                <w:rFonts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696D9F5F">
            <w:pPr>
              <w:keepNext w:val="0"/>
              <w:keepLines w:val="0"/>
              <w:pageBreakBefore w:val="0"/>
              <w:widowControl w:val="0"/>
              <w:kinsoku/>
              <w:wordWrap/>
              <w:overflowPunct/>
              <w:topLinePunct w:val="0"/>
              <w:autoSpaceDE/>
              <w:autoSpaceDN/>
              <w:bidi w:val="0"/>
              <w:adjustRightInd/>
              <w:snapToGrid/>
              <w:spacing w:line="280" w:lineRule="exact"/>
              <w:textAlignment w:val="auto"/>
              <w:rPr>
                <w:rFonts w:ascii="仿宋_GB2312" w:eastAsia="仿宋_GB2312" w:cs="宋体"/>
                <w:color w:val="000000"/>
                <w:lang w:val="en-US" w:eastAsia="zh-CN"/>
              </w:rPr>
            </w:pPr>
            <w:r>
              <w:rPr>
                <w:rFonts w:hint="eastAsia" w:ascii="仿宋_GB2312" w:eastAsia="仿宋_GB2312" w:cs="宋体"/>
                <w:color w:val="000000"/>
                <w:lang w:val="en-US" w:eastAsia="zh-CN"/>
              </w:rPr>
              <w:t>结合监督执纪工作，开展以案释法，重点普及监察法、刑事诉讼法、公职人员政务处分法、《中国共产党纪律检查委员会工作条例》、《中国共产党纪律检查机关监督执纪工作规则》、监察机关监督执法工作规定等法律法规规章。</w:t>
            </w:r>
          </w:p>
        </w:tc>
        <w:tc>
          <w:tcPr>
            <w:tcW w:w="563" w:type="dxa"/>
            <w:noWrap w:val="0"/>
            <w:vAlign w:val="top"/>
          </w:tcPr>
          <w:p w14:paraId="62A616B2">
            <w:pPr>
              <w:jc w:val="center"/>
              <w:rPr>
                <w:rFonts w:hint="eastAsia" w:ascii="仿宋_GB2312" w:eastAsia="仿宋_GB2312" w:cs="仿宋_GB2312"/>
                <w:color w:val="000000"/>
                <w:sz w:val="21"/>
                <w:szCs w:val="21"/>
                <w:vertAlign w:val="baseline"/>
                <w:lang w:val="en-US" w:eastAsia="zh-CN"/>
              </w:rPr>
            </w:pPr>
          </w:p>
        </w:tc>
      </w:tr>
      <w:tr w14:paraId="6A65C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exact"/>
        </w:trPr>
        <w:tc>
          <w:tcPr>
            <w:tcW w:w="890" w:type="dxa"/>
            <w:vMerge w:val="restart"/>
            <w:noWrap w:val="0"/>
            <w:vAlign w:val="center"/>
          </w:tcPr>
          <w:p w14:paraId="3882331A">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县委</w:t>
            </w:r>
          </w:p>
          <w:p w14:paraId="1533BD98">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网信办</w:t>
            </w:r>
          </w:p>
        </w:tc>
        <w:tc>
          <w:tcPr>
            <w:tcW w:w="456" w:type="dxa"/>
            <w:noWrap w:val="0"/>
            <w:vAlign w:val="center"/>
          </w:tcPr>
          <w:p w14:paraId="6137082B">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3099F784">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指导县内新闻网站打造普法宣传网络平台升级版，提升普法宣传在传统主流媒体中的占比，进一步扩大法治宣传教育的辐射面和影响力。</w:t>
            </w:r>
          </w:p>
        </w:tc>
        <w:tc>
          <w:tcPr>
            <w:tcW w:w="563" w:type="dxa"/>
            <w:noWrap w:val="0"/>
            <w:vAlign w:val="top"/>
          </w:tcPr>
          <w:p w14:paraId="5DF63B6A">
            <w:pPr>
              <w:jc w:val="center"/>
              <w:rPr>
                <w:rFonts w:hint="eastAsia" w:ascii="仿宋_GB2312" w:eastAsia="仿宋_GB2312" w:cs="仿宋_GB2312"/>
                <w:color w:val="000000"/>
                <w:sz w:val="21"/>
                <w:szCs w:val="21"/>
                <w:vertAlign w:val="baseline"/>
                <w:lang w:val="en-US" w:eastAsia="zh-CN"/>
              </w:rPr>
            </w:pPr>
          </w:p>
        </w:tc>
      </w:tr>
      <w:tr w14:paraId="54349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exact"/>
        </w:trPr>
        <w:tc>
          <w:tcPr>
            <w:tcW w:w="890" w:type="dxa"/>
            <w:vMerge w:val="continue"/>
            <w:noWrap w:val="0"/>
            <w:vAlign w:val="center"/>
          </w:tcPr>
          <w:p w14:paraId="525F994C"/>
        </w:tc>
        <w:tc>
          <w:tcPr>
            <w:tcW w:w="456" w:type="dxa"/>
            <w:noWrap w:val="0"/>
            <w:vAlign w:val="center"/>
          </w:tcPr>
          <w:p w14:paraId="7A8EF667">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7F1B556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加强网络安全基本法律的宣传普及，组织“网络安全教育周”活动，重点宣传普及网络安全法、数据安全法、个人信息保护法、关键信息基础设施安全保护条例、湖南省网络安全和信息化条例、信息网络传播权保护条例、计算机软件保护条例、互联网信息服务管理办法、网络信息内容生态治理规定、电信条例等法律法规宣传活动。扎实推进依法治理网络空间，建设清朗网络空间。</w:t>
            </w:r>
          </w:p>
        </w:tc>
        <w:tc>
          <w:tcPr>
            <w:tcW w:w="563" w:type="dxa"/>
            <w:noWrap w:val="0"/>
            <w:vAlign w:val="top"/>
          </w:tcPr>
          <w:p w14:paraId="00F94AAD">
            <w:pPr>
              <w:jc w:val="center"/>
              <w:rPr>
                <w:rFonts w:hint="eastAsia" w:ascii="仿宋_GB2312" w:eastAsia="仿宋_GB2312" w:cs="仿宋_GB2312"/>
                <w:color w:val="000000"/>
                <w:sz w:val="21"/>
                <w:szCs w:val="21"/>
                <w:vertAlign w:val="baseline"/>
                <w:lang w:val="en-US" w:eastAsia="zh-CN"/>
              </w:rPr>
            </w:pPr>
          </w:p>
        </w:tc>
      </w:tr>
      <w:tr w14:paraId="78A8B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890" w:type="dxa"/>
            <w:vMerge w:val="continue"/>
            <w:noWrap w:val="0"/>
            <w:vAlign w:val="center"/>
          </w:tcPr>
          <w:p w14:paraId="26866BF2"/>
        </w:tc>
        <w:tc>
          <w:tcPr>
            <w:tcW w:w="456" w:type="dxa"/>
            <w:noWrap w:val="0"/>
            <w:vAlign w:val="center"/>
          </w:tcPr>
          <w:p w14:paraId="0C00E435">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56DA0D83">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提高网民依法保障自身权益意识和技能，提升全县网络安全保障能力。加强网信领域重点法条的宣传阐释，用网民喜闻乐见的方式推进依法治网、依法办网、依法上网。</w:t>
            </w:r>
          </w:p>
        </w:tc>
        <w:tc>
          <w:tcPr>
            <w:tcW w:w="563" w:type="dxa"/>
            <w:noWrap w:val="0"/>
            <w:vAlign w:val="top"/>
          </w:tcPr>
          <w:p w14:paraId="33981DC8">
            <w:pPr>
              <w:jc w:val="center"/>
              <w:rPr>
                <w:rFonts w:hint="eastAsia" w:ascii="仿宋_GB2312" w:eastAsia="仿宋_GB2312" w:cs="仿宋_GB2312"/>
                <w:color w:val="000000"/>
                <w:sz w:val="21"/>
                <w:szCs w:val="21"/>
                <w:vertAlign w:val="baseline"/>
                <w:lang w:val="en-US" w:eastAsia="zh-CN"/>
              </w:rPr>
            </w:pPr>
          </w:p>
        </w:tc>
      </w:tr>
      <w:tr w14:paraId="0C7DC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exact"/>
        </w:trPr>
        <w:tc>
          <w:tcPr>
            <w:tcW w:w="890" w:type="dxa"/>
            <w:vMerge w:val="restart"/>
            <w:noWrap w:val="0"/>
            <w:vAlign w:val="center"/>
          </w:tcPr>
          <w:p w14:paraId="75A604FA">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县总工会</w:t>
            </w:r>
          </w:p>
        </w:tc>
        <w:tc>
          <w:tcPr>
            <w:tcW w:w="456" w:type="dxa"/>
            <w:noWrap w:val="0"/>
            <w:vAlign w:val="center"/>
          </w:tcPr>
          <w:p w14:paraId="6D0F450C">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10F5B4A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组织开展民法典、劳动法、劳动合同法、工会法、职业病防治法、劳动争议调解仲裁法、湖南省法律援助条例等法律法规宣传，开办法律大讲堂，推动法律知识进企业、进社区等，走进广大职工群众，提高职工群众的法律意识。</w:t>
            </w:r>
          </w:p>
        </w:tc>
        <w:tc>
          <w:tcPr>
            <w:tcW w:w="563" w:type="dxa"/>
            <w:noWrap w:val="0"/>
            <w:vAlign w:val="top"/>
          </w:tcPr>
          <w:p w14:paraId="37D70CF2">
            <w:pPr>
              <w:jc w:val="center"/>
              <w:rPr>
                <w:rFonts w:hint="eastAsia" w:ascii="仿宋_GB2312" w:eastAsia="仿宋_GB2312" w:cs="仿宋_GB2312"/>
                <w:color w:val="000000"/>
                <w:sz w:val="21"/>
                <w:szCs w:val="21"/>
                <w:vertAlign w:val="baseline"/>
                <w:lang w:val="en-US" w:eastAsia="zh-CN"/>
              </w:rPr>
            </w:pPr>
          </w:p>
        </w:tc>
      </w:tr>
      <w:tr w14:paraId="67206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890" w:type="dxa"/>
            <w:vMerge w:val="continue"/>
            <w:noWrap w:val="0"/>
            <w:vAlign w:val="center"/>
          </w:tcPr>
          <w:p w14:paraId="7EF727C4"/>
        </w:tc>
        <w:tc>
          <w:tcPr>
            <w:tcW w:w="456" w:type="dxa"/>
            <w:noWrap w:val="0"/>
            <w:vAlign w:val="center"/>
          </w:tcPr>
          <w:p w14:paraId="3CACF6B1">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1FDFED22">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开展“尊法守法·携手筑梦”农民工公益法律服务行动，做好新形势下农民工法律服务工作，推动解决农民工权益维护问题。</w:t>
            </w:r>
          </w:p>
        </w:tc>
        <w:tc>
          <w:tcPr>
            <w:tcW w:w="563" w:type="dxa"/>
            <w:noWrap w:val="0"/>
            <w:vAlign w:val="top"/>
          </w:tcPr>
          <w:p w14:paraId="7BA2E5F0">
            <w:pPr>
              <w:jc w:val="center"/>
              <w:rPr>
                <w:rFonts w:hint="eastAsia" w:ascii="仿宋_GB2312" w:eastAsia="仿宋_GB2312" w:cs="仿宋_GB2312"/>
                <w:color w:val="000000"/>
                <w:sz w:val="21"/>
                <w:szCs w:val="21"/>
                <w:vertAlign w:val="baseline"/>
                <w:lang w:val="en-US" w:eastAsia="zh-CN"/>
              </w:rPr>
            </w:pPr>
          </w:p>
        </w:tc>
      </w:tr>
      <w:tr w14:paraId="5883E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exact"/>
        </w:trPr>
        <w:tc>
          <w:tcPr>
            <w:tcW w:w="890" w:type="dxa"/>
            <w:vMerge w:val="restart"/>
            <w:noWrap w:val="0"/>
            <w:vAlign w:val="center"/>
          </w:tcPr>
          <w:p w14:paraId="2C01AE74">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团县委</w:t>
            </w:r>
          </w:p>
        </w:tc>
        <w:tc>
          <w:tcPr>
            <w:tcW w:w="456" w:type="dxa"/>
            <w:noWrap w:val="0"/>
            <w:vAlign w:val="center"/>
          </w:tcPr>
          <w:p w14:paraId="25FA086D">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2EB0BE5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联合县司法局、县教育局开展全县“青少年法治宣传教育周”活动。</w:t>
            </w:r>
          </w:p>
        </w:tc>
        <w:tc>
          <w:tcPr>
            <w:tcW w:w="563" w:type="dxa"/>
            <w:noWrap w:val="0"/>
            <w:vAlign w:val="top"/>
          </w:tcPr>
          <w:p w14:paraId="701C4BBE">
            <w:pPr>
              <w:jc w:val="center"/>
              <w:rPr>
                <w:rFonts w:hint="eastAsia" w:ascii="仿宋_GB2312" w:eastAsia="仿宋_GB2312" w:cs="仿宋_GB2312"/>
                <w:color w:val="000000"/>
                <w:sz w:val="21"/>
                <w:szCs w:val="21"/>
                <w:vertAlign w:val="baseline"/>
                <w:lang w:val="en-US" w:eastAsia="zh-CN"/>
              </w:rPr>
            </w:pPr>
          </w:p>
        </w:tc>
      </w:tr>
      <w:tr w14:paraId="4D8E9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exact"/>
        </w:trPr>
        <w:tc>
          <w:tcPr>
            <w:tcW w:w="890" w:type="dxa"/>
            <w:vMerge w:val="continue"/>
            <w:noWrap w:val="0"/>
            <w:vAlign w:val="center"/>
          </w:tcPr>
          <w:p w14:paraId="1E57738E"/>
        </w:tc>
        <w:tc>
          <w:tcPr>
            <w:tcW w:w="456" w:type="dxa"/>
            <w:noWrap w:val="0"/>
            <w:vAlign w:val="center"/>
          </w:tcPr>
          <w:p w14:paraId="197DCF22">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78D7DB13">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开展中华人民共和国未成年人保护法、中华人民共和国预防未成年人犯罪法、禁毒法、湖南省实施&lt;中华人民共和国未成年人保护法&gt;办法、湖南省实施〈中华人民共和国预防未成年人犯罪法&gt;办法等与青少年健康成长密切相关的法律法规宣传。</w:t>
            </w:r>
          </w:p>
        </w:tc>
        <w:tc>
          <w:tcPr>
            <w:tcW w:w="563" w:type="dxa"/>
            <w:noWrap w:val="0"/>
            <w:vAlign w:val="top"/>
          </w:tcPr>
          <w:p w14:paraId="3F313F4B">
            <w:pPr>
              <w:jc w:val="center"/>
              <w:rPr>
                <w:rFonts w:hint="eastAsia" w:ascii="仿宋_GB2312" w:eastAsia="仿宋_GB2312" w:cs="仿宋_GB2312"/>
                <w:color w:val="000000"/>
                <w:sz w:val="21"/>
                <w:szCs w:val="21"/>
                <w:vertAlign w:val="baseline"/>
                <w:lang w:val="en-US" w:eastAsia="zh-CN"/>
              </w:rPr>
            </w:pPr>
          </w:p>
        </w:tc>
      </w:tr>
      <w:tr w14:paraId="43596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exact"/>
        </w:trPr>
        <w:tc>
          <w:tcPr>
            <w:tcW w:w="890" w:type="dxa"/>
            <w:vMerge w:val="continue"/>
            <w:noWrap w:val="0"/>
            <w:vAlign w:val="center"/>
          </w:tcPr>
          <w:p w14:paraId="577F6110"/>
        </w:tc>
        <w:tc>
          <w:tcPr>
            <w:tcW w:w="456" w:type="dxa"/>
            <w:noWrap w:val="0"/>
            <w:vAlign w:val="center"/>
          </w:tcPr>
          <w:p w14:paraId="5F007EED">
            <w:pPr>
              <w:jc w:val="center"/>
              <w:rPr>
                <w:rFonts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2B0EBB2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在青少年群体中开展扫黑除恶、毒品预防、防艾、校园欺凌等促进青少年健康成长的专项法治宣传教育。</w:t>
            </w:r>
          </w:p>
        </w:tc>
        <w:tc>
          <w:tcPr>
            <w:tcW w:w="563" w:type="dxa"/>
            <w:noWrap w:val="0"/>
            <w:vAlign w:val="top"/>
          </w:tcPr>
          <w:p w14:paraId="2E5FA4B3">
            <w:pPr>
              <w:jc w:val="center"/>
              <w:rPr>
                <w:rFonts w:hint="eastAsia" w:ascii="仿宋_GB2312" w:eastAsia="仿宋_GB2312" w:cs="仿宋_GB2312"/>
                <w:color w:val="000000"/>
                <w:sz w:val="21"/>
                <w:szCs w:val="21"/>
                <w:vertAlign w:val="baseline"/>
                <w:lang w:val="en-US" w:eastAsia="zh-CN"/>
              </w:rPr>
            </w:pPr>
          </w:p>
        </w:tc>
      </w:tr>
      <w:tr w14:paraId="36193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exact"/>
        </w:trPr>
        <w:tc>
          <w:tcPr>
            <w:tcW w:w="890" w:type="dxa"/>
            <w:vMerge w:val="restart"/>
            <w:noWrap w:val="0"/>
            <w:vAlign w:val="center"/>
          </w:tcPr>
          <w:p w14:paraId="45327D2D">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县妇联</w:t>
            </w:r>
          </w:p>
        </w:tc>
        <w:tc>
          <w:tcPr>
            <w:tcW w:w="456" w:type="dxa"/>
            <w:noWrap w:val="0"/>
            <w:vAlign w:val="center"/>
          </w:tcPr>
          <w:p w14:paraId="1ADA81CA">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52745DC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eastAsia="zh-CN"/>
              </w:rPr>
              <w:t>以未成年女童防性侵宣传为主题，广泛发动开展进学校、进社区、进乡村的宣讲活动。</w:t>
            </w:r>
          </w:p>
        </w:tc>
        <w:tc>
          <w:tcPr>
            <w:tcW w:w="563" w:type="dxa"/>
            <w:noWrap w:val="0"/>
            <w:vAlign w:val="top"/>
          </w:tcPr>
          <w:p w14:paraId="22E08799">
            <w:pPr>
              <w:jc w:val="center"/>
              <w:rPr>
                <w:rFonts w:hint="eastAsia" w:ascii="仿宋_GB2312" w:eastAsia="仿宋_GB2312" w:cs="仿宋_GB2312"/>
                <w:color w:val="000000"/>
                <w:sz w:val="21"/>
                <w:szCs w:val="21"/>
                <w:vertAlign w:val="baseline"/>
                <w:lang w:val="en-US" w:eastAsia="zh-CN"/>
              </w:rPr>
            </w:pPr>
          </w:p>
        </w:tc>
      </w:tr>
      <w:tr w14:paraId="04AD9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exact"/>
        </w:trPr>
        <w:tc>
          <w:tcPr>
            <w:tcW w:w="890" w:type="dxa"/>
            <w:vMerge w:val="continue"/>
            <w:noWrap w:val="0"/>
            <w:vAlign w:val="center"/>
          </w:tcPr>
          <w:p w14:paraId="446F5A04">
            <w:pPr>
              <w:jc w:val="center"/>
              <w:rPr>
                <w:rFonts w:hint="eastAsia" w:ascii="仿宋_GB2312" w:eastAsia="仿宋_GB2312" w:cs="仿宋_GB2312"/>
                <w:color w:val="000000"/>
                <w:sz w:val="21"/>
                <w:szCs w:val="21"/>
                <w:vertAlign w:val="baseline"/>
                <w:lang w:val="en-US" w:eastAsia="zh-CN"/>
              </w:rPr>
            </w:pPr>
          </w:p>
        </w:tc>
        <w:tc>
          <w:tcPr>
            <w:tcW w:w="456" w:type="dxa"/>
            <w:noWrap w:val="0"/>
            <w:vAlign w:val="center"/>
          </w:tcPr>
          <w:p w14:paraId="73ADB113">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58AF445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以“三</w:t>
            </w:r>
            <w:r>
              <w:rPr>
                <w:rFonts w:hint="default" w:ascii="仿宋_GB2312" w:eastAsia="仿宋_GB2312" w:cs="宋体"/>
                <w:color w:val="000000"/>
                <w:lang w:val="en" w:eastAsia="zh-CN"/>
              </w:rPr>
              <w:t>.</w:t>
            </w:r>
            <w:r>
              <w:rPr>
                <w:rFonts w:hint="eastAsia" w:ascii="仿宋_GB2312" w:eastAsia="仿宋_GB2312" w:cs="宋体"/>
                <w:color w:val="000000"/>
                <w:lang w:val="en-US" w:eastAsia="zh-CN"/>
              </w:rPr>
              <w:t>八”维权周、春风行动、3.1反家暴法实施纪念日等节点为契机，发动全县妇联系统开展集中宣传活动，重点宣传妇女权益保障法、民法典-婚姻家庭篇、反家庭暴力法、未成年人保护法、老年人权益保障法、家庭教育促进法、湖南省家庭教育促进条例、湖南省实施《中华人民共和国反家庭暴力法》办法等法律法规。</w:t>
            </w:r>
          </w:p>
        </w:tc>
        <w:tc>
          <w:tcPr>
            <w:tcW w:w="563" w:type="dxa"/>
            <w:noWrap w:val="0"/>
            <w:vAlign w:val="top"/>
          </w:tcPr>
          <w:p w14:paraId="446AA6BA">
            <w:pPr>
              <w:jc w:val="center"/>
              <w:rPr>
                <w:rFonts w:hint="eastAsia" w:ascii="仿宋_GB2312" w:eastAsia="仿宋_GB2312" w:cs="仿宋_GB2312"/>
                <w:color w:val="000000"/>
                <w:sz w:val="21"/>
                <w:szCs w:val="21"/>
                <w:vertAlign w:val="baseline"/>
                <w:lang w:val="en-US" w:eastAsia="zh-CN"/>
              </w:rPr>
            </w:pPr>
          </w:p>
        </w:tc>
      </w:tr>
      <w:tr w14:paraId="6DAC9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90" w:type="dxa"/>
            <w:vMerge w:val="continue"/>
            <w:noWrap w:val="0"/>
            <w:vAlign w:val="center"/>
          </w:tcPr>
          <w:p w14:paraId="1AC2283E"/>
        </w:tc>
        <w:tc>
          <w:tcPr>
            <w:tcW w:w="456" w:type="dxa"/>
            <w:noWrap w:val="0"/>
            <w:vAlign w:val="center"/>
          </w:tcPr>
          <w:p w14:paraId="6B209871">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30A73F36">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“6.1”儿童节前后，发动全县妇联系统开展普法宣传活动，重点宣传家庭教育促进法、未成年人保护法等法律法规。</w:t>
            </w:r>
          </w:p>
        </w:tc>
        <w:tc>
          <w:tcPr>
            <w:tcW w:w="563" w:type="dxa"/>
            <w:noWrap w:val="0"/>
            <w:vAlign w:val="top"/>
          </w:tcPr>
          <w:p w14:paraId="2F63595E">
            <w:pPr>
              <w:jc w:val="center"/>
              <w:rPr>
                <w:rFonts w:hint="eastAsia" w:ascii="仿宋_GB2312" w:eastAsia="仿宋_GB2312" w:cs="仿宋_GB2312"/>
                <w:color w:val="000000"/>
                <w:sz w:val="21"/>
                <w:szCs w:val="21"/>
                <w:vertAlign w:val="baseline"/>
                <w:lang w:val="en-US" w:eastAsia="zh-CN"/>
              </w:rPr>
            </w:pPr>
          </w:p>
        </w:tc>
      </w:tr>
      <w:tr w14:paraId="32027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exact"/>
        </w:trPr>
        <w:tc>
          <w:tcPr>
            <w:tcW w:w="890" w:type="dxa"/>
            <w:vMerge w:val="continue"/>
            <w:noWrap w:val="0"/>
            <w:vAlign w:val="center"/>
          </w:tcPr>
          <w:p w14:paraId="246172EF"/>
        </w:tc>
        <w:tc>
          <w:tcPr>
            <w:tcW w:w="456" w:type="dxa"/>
            <w:noWrap w:val="0"/>
            <w:vAlign w:val="center"/>
          </w:tcPr>
          <w:p w14:paraId="60893717">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4</w:t>
            </w:r>
          </w:p>
        </w:tc>
        <w:tc>
          <w:tcPr>
            <w:tcW w:w="13217" w:type="dxa"/>
            <w:noWrap w:val="0"/>
            <w:vAlign w:val="center"/>
          </w:tcPr>
          <w:p w14:paraId="1CD84FF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6月26日国际禁毒日以及12月1日世界艾滋病日，发动全县妇联系统开展集中普法宣传活动。</w:t>
            </w:r>
          </w:p>
        </w:tc>
        <w:tc>
          <w:tcPr>
            <w:tcW w:w="563" w:type="dxa"/>
            <w:noWrap w:val="0"/>
            <w:vAlign w:val="top"/>
          </w:tcPr>
          <w:p w14:paraId="6AE8ADFD">
            <w:pPr>
              <w:jc w:val="center"/>
              <w:rPr>
                <w:rFonts w:hint="eastAsia" w:ascii="仿宋_GB2312" w:eastAsia="仿宋_GB2312" w:cs="仿宋_GB2312"/>
                <w:color w:val="000000"/>
                <w:sz w:val="21"/>
                <w:szCs w:val="21"/>
                <w:vertAlign w:val="baseline"/>
                <w:lang w:val="en-US" w:eastAsia="zh-CN"/>
              </w:rPr>
            </w:pPr>
          </w:p>
        </w:tc>
      </w:tr>
      <w:tr w14:paraId="0546F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exact"/>
        </w:trPr>
        <w:tc>
          <w:tcPr>
            <w:tcW w:w="890" w:type="dxa"/>
            <w:vMerge w:val="restart"/>
            <w:noWrap w:val="0"/>
            <w:vAlign w:val="center"/>
          </w:tcPr>
          <w:p w14:paraId="434DD2A2">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县工商联</w:t>
            </w:r>
          </w:p>
        </w:tc>
        <w:tc>
          <w:tcPr>
            <w:tcW w:w="456" w:type="dxa"/>
            <w:noWrap w:val="0"/>
            <w:vAlign w:val="center"/>
          </w:tcPr>
          <w:p w14:paraId="0B58BF55">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37CB69E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结合日常业务活动，重点宣传普及民法典、乡村振兴促进法、反有组织犯罪法、优化营商环境条例、湖南省优化经济发展环境规定等相关法律法规和国家相关政策。</w:t>
            </w:r>
          </w:p>
        </w:tc>
        <w:tc>
          <w:tcPr>
            <w:tcW w:w="563" w:type="dxa"/>
            <w:noWrap w:val="0"/>
            <w:vAlign w:val="top"/>
          </w:tcPr>
          <w:p w14:paraId="5EFB9349">
            <w:pPr>
              <w:jc w:val="center"/>
              <w:rPr>
                <w:rFonts w:hint="eastAsia" w:ascii="仿宋_GB2312" w:eastAsia="仿宋_GB2312" w:cs="仿宋_GB2312"/>
                <w:color w:val="000000"/>
                <w:sz w:val="21"/>
                <w:szCs w:val="21"/>
                <w:vertAlign w:val="baseline"/>
                <w:lang w:val="en-US" w:eastAsia="zh-CN"/>
              </w:rPr>
            </w:pPr>
          </w:p>
        </w:tc>
      </w:tr>
      <w:tr w14:paraId="13D2E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exact"/>
        </w:trPr>
        <w:tc>
          <w:tcPr>
            <w:tcW w:w="890" w:type="dxa"/>
            <w:vMerge w:val="continue"/>
            <w:noWrap w:val="0"/>
            <w:vAlign w:val="center"/>
          </w:tcPr>
          <w:p w14:paraId="3EE2C9A0"/>
        </w:tc>
        <w:tc>
          <w:tcPr>
            <w:tcW w:w="456" w:type="dxa"/>
            <w:noWrap w:val="0"/>
            <w:vAlign w:val="center"/>
          </w:tcPr>
          <w:p w14:paraId="38E28825">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0AB54FC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开展“送法进企业”普法活动不少于1次。加强对所属商会、直属会员企业的法治培训，年内开展普法讲座不少于2次。</w:t>
            </w:r>
          </w:p>
        </w:tc>
        <w:tc>
          <w:tcPr>
            <w:tcW w:w="563" w:type="dxa"/>
            <w:noWrap w:val="0"/>
            <w:vAlign w:val="top"/>
          </w:tcPr>
          <w:p w14:paraId="25B82CEE">
            <w:pPr>
              <w:jc w:val="center"/>
              <w:rPr>
                <w:rFonts w:hint="eastAsia" w:ascii="仿宋_GB2312" w:eastAsia="仿宋_GB2312" w:cs="仿宋_GB2312"/>
                <w:color w:val="000000"/>
                <w:sz w:val="21"/>
                <w:szCs w:val="21"/>
                <w:vertAlign w:val="baseline"/>
                <w:lang w:val="en-US" w:eastAsia="zh-CN"/>
              </w:rPr>
            </w:pPr>
          </w:p>
        </w:tc>
      </w:tr>
      <w:tr w14:paraId="711F1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trPr>
        <w:tc>
          <w:tcPr>
            <w:tcW w:w="890" w:type="dxa"/>
            <w:noWrap w:val="0"/>
            <w:vAlign w:val="center"/>
          </w:tcPr>
          <w:p w14:paraId="0FB96C58">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县残联</w:t>
            </w:r>
          </w:p>
        </w:tc>
        <w:tc>
          <w:tcPr>
            <w:tcW w:w="456" w:type="dxa"/>
            <w:noWrap w:val="0"/>
            <w:vAlign w:val="center"/>
          </w:tcPr>
          <w:p w14:paraId="4223518F">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333E8F5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利用“全国助残日”“国际助残日”“残疾预防日”等重要节点，重点学习宣传残疾人保障法、无障碍环境建设条例、残疾人就业条例、残疾预防和残疾康复条例、湖南省实施《中华人民共和国残疾人保障法》办法等残疾人权益保障相关法律法规，广泛开展宣传教育。</w:t>
            </w:r>
          </w:p>
        </w:tc>
        <w:tc>
          <w:tcPr>
            <w:tcW w:w="563" w:type="dxa"/>
            <w:noWrap w:val="0"/>
            <w:vAlign w:val="top"/>
          </w:tcPr>
          <w:p w14:paraId="1E77A4CC">
            <w:pPr>
              <w:jc w:val="center"/>
              <w:rPr>
                <w:rFonts w:hint="eastAsia" w:ascii="仿宋_GB2312" w:eastAsia="仿宋_GB2312" w:cs="仿宋_GB2312"/>
                <w:color w:val="000000"/>
                <w:sz w:val="21"/>
                <w:szCs w:val="21"/>
                <w:vertAlign w:val="baseline"/>
                <w:lang w:val="en-US" w:eastAsia="zh-CN"/>
              </w:rPr>
            </w:pPr>
          </w:p>
        </w:tc>
      </w:tr>
      <w:tr w14:paraId="65DC0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exact"/>
        </w:trPr>
        <w:tc>
          <w:tcPr>
            <w:tcW w:w="890" w:type="dxa"/>
            <w:noWrap w:val="0"/>
            <w:vAlign w:val="center"/>
          </w:tcPr>
          <w:p w14:paraId="046E37B7">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县科协</w:t>
            </w:r>
          </w:p>
        </w:tc>
        <w:tc>
          <w:tcPr>
            <w:tcW w:w="456" w:type="dxa"/>
            <w:noWrap w:val="0"/>
            <w:vAlign w:val="center"/>
          </w:tcPr>
          <w:p w14:paraId="79B89A9E">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3C74DD7A">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结合2022年全国科普日活动，统筹开展《中华人民共和国科学技术普及法》的宣传工作</w:t>
            </w:r>
            <w:r>
              <w:rPr>
                <w:rFonts w:hint="default" w:ascii="仿宋_GB2312" w:eastAsia="仿宋_GB2312" w:cs="宋体"/>
                <w:color w:val="000000"/>
                <w:lang w:val="en" w:eastAsia="zh-CN"/>
              </w:rPr>
              <w:t>。</w:t>
            </w:r>
            <w:r>
              <w:rPr>
                <w:rFonts w:hint="eastAsia" w:ascii="仿宋_GB2312" w:eastAsia="仿宋_GB2312" w:cs="宋体"/>
                <w:color w:val="000000"/>
                <w:lang w:val="en" w:eastAsia="zh-CN"/>
              </w:rPr>
              <w:t>重点宣传普及科学技术普及法等法律法规。</w:t>
            </w:r>
          </w:p>
        </w:tc>
        <w:tc>
          <w:tcPr>
            <w:tcW w:w="563" w:type="dxa"/>
            <w:noWrap w:val="0"/>
            <w:vAlign w:val="top"/>
          </w:tcPr>
          <w:p w14:paraId="548AEDB7">
            <w:pPr>
              <w:jc w:val="center"/>
              <w:rPr>
                <w:rFonts w:hint="eastAsia" w:ascii="仿宋_GB2312" w:eastAsia="仿宋_GB2312" w:cs="仿宋_GB2312"/>
                <w:color w:val="000000"/>
                <w:sz w:val="21"/>
                <w:szCs w:val="21"/>
                <w:vertAlign w:val="baseline"/>
                <w:lang w:val="en-US" w:eastAsia="zh-CN"/>
              </w:rPr>
            </w:pPr>
          </w:p>
        </w:tc>
      </w:tr>
      <w:tr w14:paraId="13487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890" w:type="dxa"/>
            <w:noWrap w:val="0"/>
            <w:vAlign w:val="center"/>
          </w:tcPr>
          <w:p w14:paraId="0F6830C3">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县侨联</w:t>
            </w:r>
          </w:p>
        </w:tc>
        <w:tc>
          <w:tcPr>
            <w:tcW w:w="456" w:type="dxa"/>
            <w:noWrap w:val="0"/>
            <w:vAlign w:val="center"/>
          </w:tcPr>
          <w:p w14:paraId="42EB1240">
            <w:pPr>
              <w:jc w:val="center"/>
              <w:rPr>
                <w:rFonts w:hint="default" w:ascii="仿宋_GB2312" w:eastAsia="仿宋_GB2312" w:cs="仿宋_GB2312"/>
                <w:color w:val="0000FF"/>
                <w:sz w:val="21"/>
                <w:szCs w:val="21"/>
                <w:vertAlign w:val="baseline"/>
                <w:lang w:val="en-US" w:eastAsia="zh-CN"/>
              </w:rPr>
            </w:pPr>
            <w:r>
              <w:rPr>
                <w:rFonts w:hint="eastAsia" w:ascii="仿宋_GB2312" w:eastAsia="仿宋_GB2312" w:cs="宋体"/>
                <w:color w:val="000000"/>
                <w:lang w:val="en-US" w:eastAsia="zh-CN"/>
              </w:rPr>
              <w:t>1</w:t>
            </w:r>
          </w:p>
        </w:tc>
        <w:tc>
          <w:tcPr>
            <w:tcW w:w="13217" w:type="dxa"/>
            <w:noWrap w:val="0"/>
            <w:vAlign w:val="center"/>
          </w:tcPr>
          <w:p w14:paraId="0F0D500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r>
              <w:rPr>
                <w:rFonts w:hint="eastAsia" w:ascii="仿宋_GB2312" w:eastAsia="仿宋_GB2312" w:cs="宋体"/>
                <w:color w:val="000000"/>
                <w:lang w:val="en-US" w:eastAsia="zh-CN"/>
              </w:rPr>
              <w:t>面向基层群众广泛宣传涉侨法律法规</w:t>
            </w:r>
            <w:r>
              <w:rPr>
                <w:rFonts w:hint="default" w:ascii="仿宋_GB2312" w:eastAsia="仿宋_GB2312" w:cs="宋体"/>
                <w:color w:val="000000"/>
                <w:lang w:val="en" w:eastAsia="zh-CN"/>
              </w:rPr>
              <w:t>。</w:t>
            </w:r>
            <w:r>
              <w:rPr>
                <w:rFonts w:hint="eastAsia" w:ascii="仿宋_GB2312" w:eastAsia="仿宋_GB2312" w:cs="宋体"/>
                <w:color w:val="000000"/>
                <w:lang w:val="en" w:eastAsia="zh-CN"/>
              </w:rPr>
              <w:t>重点宣传普及归侨侨眷权益保护法、归侨侨眷权益保护法实施办法、</w:t>
            </w:r>
            <w:r>
              <w:rPr>
                <w:rFonts w:hint="eastAsia" w:ascii="仿宋_GB2312" w:eastAsia="仿宋_GB2312" w:cs="宋体"/>
                <w:color w:val="000000"/>
                <w:lang w:val="en-US" w:eastAsia="zh-CN"/>
              </w:rPr>
              <w:t>湖南省实施《中华人民共和国归侨侨眷权益保护法》办法等侨胞保护法律法规。</w:t>
            </w:r>
          </w:p>
        </w:tc>
        <w:tc>
          <w:tcPr>
            <w:tcW w:w="563" w:type="dxa"/>
            <w:noWrap w:val="0"/>
            <w:vAlign w:val="top"/>
          </w:tcPr>
          <w:p w14:paraId="5B1802B2">
            <w:pPr>
              <w:jc w:val="center"/>
              <w:rPr>
                <w:rFonts w:hint="eastAsia" w:ascii="仿宋_GB2312" w:eastAsia="仿宋_GB2312" w:cs="仿宋_GB2312"/>
                <w:color w:val="000000"/>
                <w:sz w:val="21"/>
                <w:szCs w:val="21"/>
                <w:vertAlign w:val="baseline"/>
                <w:lang w:val="en-US" w:eastAsia="zh-CN"/>
              </w:rPr>
            </w:pPr>
          </w:p>
        </w:tc>
      </w:tr>
      <w:tr w14:paraId="103E5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exact"/>
        </w:trPr>
        <w:tc>
          <w:tcPr>
            <w:tcW w:w="890" w:type="dxa"/>
            <w:vMerge w:val="restart"/>
            <w:noWrap w:val="0"/>
            <w:vAlign w:val="center"/>
          </w:tcPr>
          <w:p w14:paraId="2D61F2E9">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县发改局</w:t>
            </w:r>
          </w:p>
        </w:tc>
        <w:tc>
          <w:tcPr>
            <w:tcW w:w="456" w:type="dxa"/>
            <w:noWrap w:val="0"/>
            <w:vAlign w:val="center"/>
          </w:tcPr>
          <w:p w14:paraId="4DE961E1">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19BD918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开展节能宣传周活动，利用“10.16”世界粮食日、“12·4”国家宪法日等特殊时间节点，开展宣传活动，把普法工作融于执法或服务全过程。</w:t>
            </w:r>
          </w:p>
        </w:tc>
        <w:tc>
          <w:tcPr>
            <w:tcW w:w="563" w:type="dxa"/>
            <w:noWrap w:val="0"/>
            <w:vAlign w:val="top"/>
          </w:tcPr>
          <w:p w14:paraId="4371A73E">
            <w:pPr>
              <w:jc w:val="center"/>
              <w:rPr>
                <w:rFonts w:hint="eastAsia" w:ascii="仿宋_GB2312" w:eastAsia="仿宋_GB2312" w:cs="仿宋_GB2312"/>
                <w:color w:val="000000"/>
                <w:sz w:val="21"/>
                <w:szCs w:val="21"/>
                <w:vertAlign w:val="baseline"/>
                <w:lang w:val="en-US" w:eastAsia="zh-CN"/>
              </w:rPr>
            </w:pPr>
          </w:p>
        </w:tc>
      </w:tr>
      <w:tr w14:paraId="1521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exact"/>
        </w:trPr>
        <w:tc>
          <w:tcPr>
            <w:tcW w:w="890" w:type="dxa"/>
            <w:vMerge w:val="continue"/>
            <w:noWrap w:val="0"/>
            <w:vAlign w:val="center"/>
          </w:tcPr>
          <w:p w14:paraId="03DF9FEC"/>
        </w:tc>
        <w:tc>
          <w:tcPr>
            <w:tcW w:w="456" w:type="dxa"/>
            <w:noWrap w:val="0"/>
            <w:vAlign w:val="center"/>
          </w:tcPr>
          <w:p w14:paraId="5881EC9E">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5A97B23A">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宏观调控法律法规，循环经济促进法、清洁生产促进法、节约能源法、可再生能源法、中华人民共和国价格法、湖南省节能监察办法、长江保护法、招标投标法、价格法、优化营商环境条例、招标投标法实施条例、湖南省社会信用条例、湖南省长株潭城市群生态绿心地区保护条例、政府投资条例、企业投资项目核准和备案管理条例、湖南省服务价格管理条例、湖南省优化营商环境规定等法律法规。</w:t>
            </w:r>
          </w:p>
        </w:tc>
        <w:tc>
          <w:tcPr>
            <w:tcW w:w="563" w:type="dxa"/>
            <w:noWrap w:val="0"/>
            <w:vAlign w:val="top"/>
          </w:tcPr>
          <w:p w14:paraId="2C043274">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67D1F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trPr>
        <w:tc>
          <w:tcPr>
            <w:tcW w:w="890" w:type="dxa"/>
            <w:vMerge w:val="restart"/>
            <w:noWrap w:val="0"/>
            <w:vAlign w:val="center"/>
          </w:tcPr>
          <w:p w14:paraId="4928D497">
            <w:pPr>
              <w:jc w:val="center"/>
            </w:pPr>
            <w:r>
              <w:rPr>
                <w:rFonts w:hint="eastAsia" w:ascii="仿宋_GB2312" w:eastAsia="仿宋_GB2312" w:cs="仿宋_GB2312"/>
                <w:color w:val="000000"/>
                <w:sz w:val="21"/>
                <w:szCs w:val="21"/>
                <w:vertAlign w:val="baseline"/>
                <w:lang w:val="en-US" w:eastAsia="zh-CN"/>
              </w:rPr>
              <w:t>县教育局</w:t>
            </w:r>
          </w:p>
        </w:tc>
        <w:tc>
          <w:tcPr>
            <w:tcW w:w="456" w:type="dxa"/>
            <w:noWrap w:val="0"/>
            <w:vAlign w:val="center"/>
          </w:tcPr>
          <w:p w14:paraId="7D3E421B">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3874660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推动“法治进校园”，结合“6·1”儿童节、开学第一课、“9·10”教师节、“12·4”国家宪法日等重要时间节点，广泛开展多种形式的法治宣传教育活动。联合县司法局、团县委开展好青少年法治宣传教育周活动。</w:t>
            </w:r>
          </w:p>
        </w:tc>
        <w:tc>
          <w:tcPr>
            <w:tcW w:w="563" w:type="dxa"/>
            <w:noWrap w:val="0"/>
            <w:vAlign w:val="top"/>
          </w:tcPr>
          <w:p w14:paraId="5A240D46">
            <w:pPr>
              <w:jc w:val="center"/>
              <w:rPr>
                <w:rFonts w:hint="eastAsia" w:ascii="仿宋_GB2312" w:eastAsia="仿宋_GB2312" w:cs="仿宋_GB2312"/>
                <w:color w:val="000000"/>
                <w:sz w:val="21"/>
                <w:szCs w:val="21"/>
                <w:vertAlign w:val="baseline"/>
                <w:lang w:val="en-US" w:eastAsia="zh-CN"/>
              </w:rPr>
            </w:pPr>
          </w:p>
        </w:tc>
      </w:tr>
      <w:tr w14:paraId="0C9BC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890" w:type="dxa"/>
            <w:vMerge w:val="continue"/>
            <w:noWrap w:val="0"/>
            <w:vAlign w:val="center"/>
          </w:tcPr>
          <w:p w14:paraId="42C3F07C"/>
        </w:tc>
        <w:tc>
          <w:tcPr>
            <w:tcW w:w="456" w:type="dxa"/>
            <w:noWrap w:val="0"/>
            <w:vAlign w:val="center"/>
          </w:tcPr>
          <w:p w14:paraId="5276AECF">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6CE76C3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积极组织参与全国青少年普法网“宪法小卫士”网上答题等活动，培育浓厚的校园法治文化。</w:t>
            </w:r>
          </w:p>
        </w:tc>
        <w:tc>
          <w:tcPr>
            <w:tcW w:w="563" w:type="dxa"/>
            <w:noWrap w:val="0"/>
            <w:vAlign w:val="top"/>
          </w:tcPr>
          <w:p w14:paraId="1BD4B462">
            <w:pPr>
              <w:jc w:val="center"/>
              <w:rPr>
                <w:rFonts w:hint="eastAsia" w:ascii="仿宋_GB2312" w:eastAsia="仿宋_GB2312" w:cs="仿宋_GB2312"/>
                <w:color w:val="000000"/>
                <w:sz w:val="21"/>
                <w:szCs w:val="21"/>
                <w:vertAlign w:val="baseline"/>
                <w:lang w:val="en-US" w:eastAsia="zh-CN"/>
              </w:rPr>
            </w:pPr>
          </w:p>
        </w:tc>
      </w:tr>
      <w:tr w14:paraId="79296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exact"/>
        </w:trPr>
        <w:tc>
          <w:tcPr>
            <w:tcW w:w="890" w:type="dxa"/>
            <w:vMerge w:val="continue"/>
            <w:noWrap w:val="0"/>
            <w:vAlign w:val="center"/>
          </w:tcPr>
          <w:p w14:paraId="420F6F44"/>
        </w:tc>
        <w:tc>
          <w:tcPr>
            <w:tcW w:w="456" w:type="dxa"/>
            <w:noWrap w:val="0"/>
            <w:vAlign w:val="center"/>
          </w:tcPr>
          <w:p w14:paraId="4EF6C5B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05B520BA">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教育法、义务教育法、高等教育法、民办教育促进法、教师法、职业教育法、国家通用语言文字法、家庭教育促进法、未成年人保护法、预防未成年人犯罪法、教师资格条例、教育督导条例、湖南省教育督导条例、教学成果奖励条例、幼儿园管理条例、学校体育工作条例等法律法规。</w:t>
            </w:r>
          </w:p>
        </w:tc>
        <w:tc>
          <w:tcPr>
            <w:tcW w:w="563" w:type="dxa"/>
            <w:noWrap w:val="0"/>
            <w:vAlign w:val="top"/>
          </w:tcPr>
          <w:p w14:paraId="41204DB3">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20F03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exact"/>
        </w:trPr>
        <w:tc>
          <w:tcPr>
            <w:tcW w:w="890" w:type="dxa"/>
            <w:vMerge w:val="restart"/>
            <w:noWrap w:val="0"/>
            <w:vAlign w:val="center"/>
          </w:tcPr>
          <w:p w14:paraId="55999144">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县科工局</w:t>
            </w:r>
          </w:p>
        </w:tc>
        <w:tc>
          <w:tcPr>
            <w:tcW w:w="456" w:type="dxa"/>
            <w:noWrap w:val="0"/>
            <w:vAlign w:val="center"/>
          </w:tcPr>
          <w:p w14:paraId="0069F677">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705DDF3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科学技术进步法、科学技术普及法、促进科技成果转化法、国家科学技术奖励条例、实验动物管理条例、湖南省科学技术普及条例、湖南省长株潭国家自主创新示范区条例、湖南省高新技术发展条例、湖南省技术市场条例、湖南省实施《中华人民共和国促进科技成果转化法》办法、湖南省先进制造业促进条例、中华人民共和国中小企业促进法、湖南省实施《中华人民共和国中小企业促进法》办法、中华人民共和国节约能源法、工业节能管理办法等法律法规。</w:t>
            </w:r>
          </w:p>
        </w:tc>
        <w:tc>
          <w:tcPr>
            <w:tcW w:w="563" w:type="dxa"/>
            <w:noWrap w:val="0"/>
            <w:vAlign w:val="top"/>
          </w:tcPr>
          <w:p w14:paraId="6581FA62">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5D15C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exact"/>
        </w:trPr>
        <w:tc>
          <w:tcPr>
            <w:tcW w:w="890" w:type="dxa"/>
            <w:vMerge w:val="continue"/>
            <w:noWrap w:val="0"/>
            <w:vAlign w:val="center"/>
          </w:tcPr>
          <w:p w14:paraId="3E151E0B"/>
        </w:tc>
        <w:tc>
          <w:tcPr>
            <w:tcW w:w="456" w:type="dxa"/>
            <w:noWrap w:val="0"/>
            <w:vAlign w:val="center"/>
          </w:tcPr>
          <w:p w14:paraId="75A0698C">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5EEA074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结合“12·4”国家宪法日、“4·15”全民国家安全教育日、“5·30”全国科技工作者日、科技活动周、创新创业大赛、科技下乡等重要时间节点，组织开展法治宣传教育活动。</w:t>
            </w:r>
          </w:p>
        </w:tc>
        <w:tc>
          <w:tcPr>
            <w:tcW w:w="563" w:type="dxa"/>
            <w:noWrap w:val="0"/>
            <w:vAlign w:val="top"/>
          </w:tcPr>
          <w:p w14:paraId="776200DC">
            <w:pPr>
              <w:jc w:val="center"/>
              <w:rPr>
                <w:rFonts w:hint="eastAsia" w:ascii="仿宋_GB2312" w:eastAsia="仿宋_GB2312" w:cs="仿宋_GB2312"/>
                <w:color w:val="000000"/>
                <w:sz w:val="21"/>
                <w:szCs w:val="21"/>
                <w:vertAlign w:val="baseline"/>
                <w:lang w:val="en-US" w:eastAsia="zh-CN"/>
              </w:rPr>
            </w:pPr>
          </w:p>
        </w:tc>
      </w:tr>
      <w:tr w14:paraId="08DD5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trPr>
        <w:tc>
          <w:tcPr>
            <w:tcW w:w="890" w:type="dxa"/>
            <w:vMerge w:val="restart"/>
            <w:noWrap w:val="0"/>
            <w:vAlign w:val="center"/>
          </w:tcPr>
          <w:p w14:paraId="191134BA">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县民政局</w:t>
            </w:r>
          </w:p>
        </w:tc>
        <w:tc>
          <w:tcPr>
            <w:tcW w:w="456" w:type="dxa"/>
            <w:noWrap w:val="0"/>
            <w:vAlign w:val="center"/>
          </w:tcPr>
          <w:p w14:paraId="65C2CD41">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096CD31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组织开展《中华人民共和国慈善法》学习培训，利用“中华慈善日”等时机集中开展宣传活动。</w:t>
            </w:r>
          </w:p>
        </w:tc>
        <w:tc>
          <w:tcPr>
            <w:tcW w:w="563" w:type="dxa"/>
            <w:noWrap w:val="0"/>
            <w:vAlign w:val="top"/>
          </w:tcPr>
          <w:p w14:paraId="653B664D">
            <w:pPr>
              <w:jc w:val="center"/>
              <w:rPr>
                <w:rFonts w:hint="eastAsia" w:ascii="仿宋_GB2312" w:eastAsia="仿宋_GB2312" w:cs="仿宋_GB2312"/>
                <w:color w:val="000000"/>
                <w:sz w:val="21"/>
                <w:szCs w:val="21"/>
                <w:vertAlign w:val="baseline"/>
                <w:lang w:val="en-US" w:eastAsia="zh-CN"/>
              </w:rPr>
            </w:pPr>
          </w:p>
        </w:tc>
      </w:tr>
      <w:tr w14:paraId="19BD9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exact"/>
        </w:trPr>
        <w:tc>
          <w:tcPr>
            <w:tcW w:w="890" w:type="dxa"/>
            <w:vMerge w:val="continue"/>
            <w:noWrap w:val="0"/>
            <w:vAlign w:val="center"/>
          </w:tcPr>
          <w:p w14:paraId="2577E522">
            <w:pPr>
              <w:rPr>
                <w:rFonts w:hint="eastAsia" w:ascii="仿宋_GB2312" w:eastAsia="仿宋_GB2312" w:cs="仿宋_GB2312"/>
                <w:color w:val="000000"/>
                <w:sz w:val="21"/>
                <w:szCs w:val="21"/>
                <w:vertAlign w:val="baseline"/>
                <w:lang w:val="en-US" w:eastAsia="zh-CN"/>
              </w:rPr>
            </w:pPr>
          </w:p>
        </w:tc>
        <w:tc>
          <w:tcPr>
            <w:tcW w:w="456" w:type="dxa"/>
            <w:noWrap w:val="0"/>
            <w:vAlign w:val="center"/>
          </w:tcPr>
          <w:p w14:paraId="22784013">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05F8C7D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组织开展社会救助暂行办法、取缔非法民间组织暂行办法、养老机构管理办法宣传培训，提升社会救助经办人员、社会组织登记管理工作人员、养老护理从业人员的社会救助法规、政策业务水平。</w:t>
            </w:r>
          </w:p>
        </w:tc>
        <w:tc>
          <w:tcPr>
            <w:tcW w:w="563" w:type="dxa"/>
            <w:noWrap w:val="0"/>
            <w:vAlign w:val="top"/>
          </w:tcPr>
          <w:p w14:paraId="73185D99">
            <w:pPr>
              <w:jc w:val="center"/>
              <w:rPr>
                <w:rFonts w:hint="eastAsia" w:ascii="仿宋_GB2312" w:eastAsia="仿宋_GB2312" w:cs="仿宋_GB2312"/>
                <w:color w:val="000000"/>
                <w:sz w:val="21"/>
                <w:szCs w:val="21"/>
                <w:vertAlign w:val="baseline"/>
                <w:lang w:val="en-US" w:eastAsia="zh-CN"/>
              </w:rPr>
            </w:pPr>
          </w:p>
        </w:tc>
      </w:tr>
      <w:tr w14:paraId="0D76C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exact"/>
        </w:trPr>
        <w:tc>
          <w:tcPr>
            <w:tcW w:w="890" w:type="dxa"/>
            <w:vMerge w:val="continue"/>
            <w:noWrap w:val="0"/>
            <w:vAlign w:val="center"/>
          </w:tcPr>
          <w:p w14:paraId="7B5C2C3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c>
          <w:tcPr>
            <w:tcW w:w="456" w:type="dxa"/>
            <w:noWrap w:val="0"/>
            <w:vAlign w:val="center"/>
          </w:tcPr>
          <w:p w14:paraId="09B7405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000000"/>
                <w:lang w:val="en-US" w:eastAsia="zh-CN"/>
              </w:rPr>
            </w:pPr>
            <w:r>
              <w:rPr>
                <w:rFonts w:hint="eastAsia" w:ascii="仿宋_GB2312" w:eastAsia="仿宋_GB2312" w:cs="宋体"/>
                <w:color w:val="000000"/>
                <w:lang w:val="en-US" w:eastAsia="zh-CN"/>
              </w:rPr>
              <w:t>3</w:t>
            </w:r>
          </w:p>
        </w:tc>
        <w:tc>
          <w:tcPr>
            <w:tcW w:w="13217" w:type="dxa"/>
            <w:noWrap w:val="0"/>
            <w:vAlign w:val="center"/>
          </w:tcPr>
          <w:p w14:paraId="0C93A20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村民委员会组织法、城市居民委员会组织法、民法典、未成年人保护法、老年人权益保障法、慈善法、残疾人保障法、公益事业捐赠法、无障碍环境建设条例、残疾预防和残疾人康复条例、残疾人就业条例、殡葬管理条例、行政区划管理条例、地名管理条例、行政区域界线管理条例、社会团体登记管理条例、基金会管理条例、民办非企业单位登记管理暂行条例、湖南省募捐条例、湖南省志愿服务条例、湖南省实施《中华人民共和国慈善法》若干规定、湖南省实施《中华人民共和国老年人权益保障法》办法、湖南省实施村民委员会组织法办法、湖南省实施《中华人民共和国残疾人保障法》办法等法律法规。</w:t>
            </w:r>
          </w:p>
        </w:tc>
        <w:tc>
          <w:tcPr>
            <w:tcW w:w="563" w:type="dxa"/>
            <w:noWrap w:val="0"/>
            <w:vAlign w:val="top"/>
          </w:tcPr>
          <w:p w14:paraId="718C070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2AE9F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trPr>
        <w:tc>
          <w:tcPr>
            <w:tcW w:w="890" w:type="dxa"/>
            <w:vMerge w:val="restart"/>
            <w:noWrap w:val="0"/>
            <w:vAlign w:val="center"/>
          </w:tcPr>
          <w:p w14:paraId="2BB63A2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县司法局</w:t>
            </w:r>
          </w:p>
        </w:tc>
        <w:tc>
          <w:tcPr>
            <w:tcW w:w="456" w:type="dxa"/>
            <w:noWrap w:val="0"/>
            <w:vAlign w:val="center"/>
          </w:tcPr>
          <w:p w14:paraId="56FB2492">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2BF71DC2">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kern w:val="2"/>
                <w:sz w:val="21"/>
                <w:szCs w:val="24"/>
                <w:lang w:val="en-US" w:eastAsia="zh-CN" w:bidi="ar-SA"/>
              </w:rPr>
              <w:t>将法治宣传教育贯穿社区矫正执法各环节，切实提高社区矫正人员的守法意识。</w:t>
            </w:r>
          </w:p>
        </w:tc>
        <w:tc>
          <w:tcPr>
            <w:tcW w:w="563" w:type="dxa"/>
            <w:noWrap w:val="0"/>
            <w:vAlign w:val="top"/>
          </w:tcPr>
          <w:p w14:paraId="00C77B40">
            <w:pPr>
              <w:jc w:val="center"/>
              <w:rPr>
                <w:rFonts w:hint="eastAsia" w:ascii="仿宋_GB2312" w:eastAsia="仿宋_GB2312" w:cs="仿宋_GB2312"/>
                <w:color w:val="000000"/>
                <w:sz w:val="21"/>
                <w:szCs w:val="21"/>
                <w:vertAlign w:val="baseline"/>
                <w:lang w:val="en-US" w:eastAsia="zh-CN"/>
              </w:rPr>
            </w:pPr>
          </w:p>
        </w:tc>
      </w:tr>
      <w:tr w14:paraId="1904E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exact"/>
        </w:trPr>
        <w:tc>
          <w:tcPr>
            <w:tcW w:w="890" w:type="dxa"/>
            <w:vMerge w:val="continue"/>
            <w:noWrap w:val="0"/>
            <w:vAlign w:val="center"/>
          </w:tcPr>
          <w:p w14:paraId="11713AF0">
            <w:pPr>
              <w:rPr>
                <w:rFonts w:hint="eastAsia" w:ascii="仿宋_GB2312" w:eastAsia="仿宋_GB2312" w:cs="仿宋_GB2312"/>
                <w:color w:val="000000"/>
                <w:sz w:val="21"/>
                <w:szCs w:val="21"/>
                <w:vertAlign w:val="baseline"/>
                <w:lang w:val="en-US" w:eastAsia="zh-CN"/>
              </w:rPr>
            </w:pPr>
          </w:p>
        </w:tc>
        <w:tc>
          <w:tcPr>
            <w:tcW w:w="456" w:type="dxa"/>
            <w:noWrap w:val="0"/>
            <w:vAlign w:val="center"/>
          </w:tcPr>
          <w:p w14:paraId="43813FDB">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156AAFAA">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kern w:val="2"/>
                <w:sz w:val="21"/>
                <w:szCs w:val="24"/>
                <w:lang w:val="en-US" w:eastAsia="zh-CN" w:bidi="ar-SA"/>
              </w:rPr>
              <w:t>充分利用送法下乡、“4·15”国家安全日、农村法治宣传月、青少年法治宣传周、“12·4”国家宪法日等特殊时间节点，开展专题普法宣传活动。</w:t>
            </w:r>
          </w:p>
        </w:tc>
        <w:tc>
          <w:tcPr>
            <w:tcW w:w="563" w:type="dxa"/>
            <w:noWrap w:val="0"/>
            <w:vAlign w:val="top"/>
          </w:tcPr>
          <w:p w14:paraId="525699CF">
            <w:pPr>
              <w:jc w:val="center"/>
              <w:rPr>
                <w:rFonts w:hint="eastAsia" w:ascii="仿宋_GB2312" w:eastAsia="仿宋_GB2312" w:cs="仿宋_GB2312"/>
                <w:color w:val="000000"/>
                <w:sz w:val="21"/>
                <w:szCs w:val="21"/>
                <w:vertAlign w:val="baseline"/>
                <w:lang w:val="en-US" w:eastAsia="zh-CN"/>
              </w:rPr>
            </w:pPr>
          </w:p>
        </w:tc>
      </w:tr>
      <w:tr w14:paraId="58CEF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exact"/>
        </w:trPr>
        <w:tc>
          <w:tcPr>
            <w:tcW w:w="890" w:type="dxa"/>
            <w:vMerge w:val="continue"/>
            <w:noWrap w:val="0"/>
            <w:vAlign w:val="center"/>
          </w:tcPr>
          <w:p w14:paraId="04CE5252">
            <w:pPr>
              <w:rPr>
                <w:rFonts w:hint="eastAsia" w:ascii="仿宋_GB2312" w:eastAsia="仿宋_GB2312" w:cs="仿宋_GB2312"/>
                <w:color w:val="000000"/>
                <w:sz w:val="21"/>
                <w:szCs w:val="21"/>
                <w:vertAlign w:val="baseline"/>
                <w:lang w:val="en-US" w:eastAsia="zh-CN"/>
              </w:rPr>
            </w:pPr>
          </w:p>
        </w:tc>
        <w:tc>
          <w:tcPr>
            <w:tcW w:w="456" w:type="dxa"/>
            <w:noWrap w:val="0"/>
            <w:vAlign w:val="center"/>
          </w:tcPr>
          <w:p w14:paraId="21A4B334">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039AFA5B">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kern w:val="2"/>
                <w:sz w:val="21"/>
                <w:szCs w:val="24"/>
                <w:lang w:val="en-US" w:eastAsia="zh-CN" w:bidi="ar-SA"/>
              </w:rPr>
              <w:t>继续开展最美公益普法集体（个人）、最美守法公民宣传展示活动，凝聚全社会普法合力。</w:t>
            </w:r>
          </w:p>
        </w:tc>
        <w:tc>
          <w:tcPr>
            <w:tcW w:w="563" w:type="dxa"/>
            <w:noWrap w:val="0"/>
            <w:vAlign w:val="top"/>
          </w:tcPr>
          <w:p w14:paraId="633CEAA4">
            <w:pPr>
              <w:jc w:val="center"/>
              <w:rPr>
                <w:rFonts w:hint="eastAsia" w:ascii="仿宋_GB2312" w:eastAsia="仿宋_GB2312" w:cs="仿宋_GB2312"/>
                <w:color w:val="000000"/>
                <w:sz w:val="21"/>
                <w:szCs w:val="21"/>
                <w:vertAlign w:val="baseline"/>
                <w:lang w:val="en-US" w:eastAsia="zh-CN"/>
              </w:rPr>
            </w:pPr>
          </w:p>
        </w:tc>
      </w:tr>
      <w:tr w14:paraId="5F398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exact"/>
        </w:trPr>
        <w:tc>
          <w:tcPr>
            <w:tcW w:w="890" w:type="dxa"/>
            <w:vMerge w:val="continue"/>
            <w:noWrap w:val="0"/>
            <w:vAlign w:val="center"/>
          </w:tcPr>
          <w:p w14:paraId="6B52DF26">
            <w:pPr>
              <w:rPr>
                <w:rFonts w:hint="eastAsia" w:ascii="仿宋_GB2312" w:eastAsia="仿宋_GB2312" w:cs="仿宋_GB2312"/>
                <w:color w:val="000000"/>
                <w:sz w:val="21"/>
                <w:szCs w:val="21"/>
                <w:vertAlign w:val="baseline"/>
                <w:lang w:val="en-US" w:eastAsia="zh-CN"/>
              </w:rPr>
            </w:pPr>
          </w:p>
        </w:tc>
        <w:tc>
          <w:tcPr>
            <w:tcW w:w="456" w:type="dxa"/>
            <w:noWrap w:val="0"/>
            <w:vAlign w:val="center"/>
          </w:tcPr>
          <w:p w14:paraId="3E6245BC">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4</w:t>
            </w:r>
          </w:p>
        </w:tc>
        <w:tc>
          <w:tcPr>
            <w:tcW w:w="13217" w:type="dxa"/>
            <w:noWrap w:val="0"/>
            <w:vAlign w:val="center"/>
          </w:tcPr>
          <w:p w14:paraId="00B671D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重点宣传普及宪法、民法典、行政复议法、人民调解法、社区矫正法、行政诉讼法、民事诉讼法、反有组织犯罪法、律师法、公证法、法律援助法、湖南省法制宣传教育条例、行政复议法实施条例、湖南省法律援助条例等法律法规。</w:t>
            </w:r>
          </w:p>
        </w:tc>
        <w:tc>
          <w:tcPr>
            <w:tcW w:w="563" w:type="dxa"/>
            <w:noWrap w:val="0"/>
            <w:vAlign w:val="top"/>
          </w:tcPr>
          <w:p w14:paraId="7591FB0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p>
        </w:tc>
      </w:tr>
      <w:tr w14:paraId="466B3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exact"/>
        </w:trPr>
        <w:tc>
          <w:tcPr>
            <w:tcW w:w="890" w:type="dxa"/>
            <w:noWrap w:val="0"/>
            <w:vAlign w:val="center"/>
          </w:tcPr>
          <w:p w14:paraId="1007E180">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县财政局</w:t>
            </w:r>
          </w:p>
        </w:tc>
        <w:tc>
          <w:tcPr>
            <w:tcW w:w="456" w:type="dxa"/>
            <w:noWrap w:val="0"/>
            <w:vAlign w:val="center"/>
          </w:tcPr>
          <w:p w14:paraId="57580A34">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5E2A2D3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行政处罚法、道路交通事故社会救助基金管理办法、政府采购框架协议采购方式管理暂行办法、财政行政处罚听证实施办法、事业单位财务规则、印花税法、预算法及其实施条例、政府采购法及其实施条例、行政诉讼法、会计法、税法、行政事业性国有资产管理条例、社会保险费征缴暂行条例、收费公路管理条例、财政违法行为处罚处分条例、湖南省非税收入管理条例</w:t>
            </w:r>
            <w:bookmarkStart w:id="0" w:name="_GoBack"/>
            <w:bookmarkEnd w:id="0"/>
            <w:r>
              <w:rPr>
                <w:rFonts w:hint="eastAsia" w:ascii="仿宋_GB2312" w:eastAsia="仿宋_GB2312" w:cs="宋体"/>
                <w:color w:val="000000"/>
                <w:lang w:val="en-US" w:eastAsia="zh-CN"/>
              </w:rPr>
              <w:t>以及预算管理、财务会计管理、政府采购监督管理、国有资产管理、政府非税收入管理、财政监督等方面的法律法规。</w:t>
            </w:r>
          </w:p>
        </w:tc>
        <w:tc>
          <w:tcPr>
            <w:tcW w:w="563" w:type="dxa"/>
            <w:noWrap w:val="0"/>
            <w:vAlign w:val="top"/>
          </w:tcPr>
          <w:p w14:paraId="23D476E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3D3C8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exact"/>
        </w:trPr>
        <w:tc>
          <w:tcPr>
            <w:tcW w:w="890" w:type="dxa"/>
            <w:vMerge w:val="restart"/>
            <w:noWrap w:val="0"/>
            <w:vAlign w:val="center"/>
          </w:tcPr>
          <w:p w14:paraId="152A09CB">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县人社局</w:t>
            </w:r>
          </w:p>
        </w:tc>
        <w:tc>
          <w:tcPr>
            <w:tcW w:w="456" w:type="dxa"/>
            <w:noWrap w:val="0"/>
            <w:vAlign w:val="center"/>
          </w:tcPr>
          <w:p w14:paraId="04F4058B">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380814E0">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lang w:val="en-US" w:eastAsia="zh-CN"/>
              </w:rPr>
              <w:t>在就业援助月、春风行动、民营企业招聘周、高校毕业生就业服务月等活动中，开展就业创业政策法规宣传活动。</w:t>
            </w:r>
          </w:p>
        </w:tc>
        <w:tc>
          <w:tcPr>
            <w:tcW w:w="563" w:type="dxa"/>
            <w:noWrap w:val="0"/>
            <w:vAlign w:val="top"/>
          </w:tcPr>
          <w:p w14:paraId="50C4B175">
            <w:pPr>
              <w:jc w:val="center"/>
              <w:rPr>
                <w:rFonts w:hint="eastAsia" w:ascii="仿宋_GB2312" w:eastAsia="仿宋_GB2312" w:cs="仿宋_GB2312"/>
                <w:color w:val="000000"/>
                <w:sz w:val="21"/>
                <w:szCs w:val="21"/>
                <w:vertAlign w:val="baseline"/>
                <w:lang w:val="en-US" w:eastAsia="zh-CN"/>
              </w:rPr>
            </w:pPr>
          </w:p>
        </w:tc>
      </w:tr>
      <w:tr w14:paraId="6DA42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exact"/>
        </w:trPr>
        <w:tc>
          <w:tcPr>
            <w:tcW w:w="890" w:type="dxa"/>
            <w:vMerge w:val="continue"/>
            <w:noWrap w:val="0"/>
            <w:vAlign w:val="center"/>
          </w:tcPr>
          <w:p w14:paraId="5D5B11CD">
            <w:pPr>
              <w:rPr>
                <w:rFonts w:hint="eastAsia" w:ascii="仿宋_GB2312" w:eastAsia="仿宋_GB2312" w:cs="仿宋_GB2312"/>
                <w:color w:val="000000"/>
                <w:sz w:val="21"/>
                <w:szCs w:val="21"/>
                <w:vertAlign w:val="baseline"/>
                <w:lang w:val="en-US" w:eastAsia="zh-CN"/>
              </w:rPr>
            </w:pPr>
          </w:p>
        </w:tc>
        <w:tc>
          <w:tcPr>
            <w:tcW w:w="456" w:type="dxa"/>
            <w:noWrap w:val="0"/>
            <w:vAlign w:val="center"/>
          </w:tcPr>
          <w:p w14:paraId="028CC69F">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13816F1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lang w:val="en-US" w:eastAsia="zh-CN"/>
              </w:rPr>
              <w:t>开展《关于切实加强社会保险基金监管工作的意见》学习宣讲活动。在10月开展社会保险基金风险专题“警示教育月”活动。</w:t>
            </w:r>
          </w:p>
        </w:tc>
        <w:tc>
          <w:tcPr>
            <w:tcW w:w="563" w:type="dxa"/>
            <w:noWrap w:val="0"/>
            <w:vAlign w:val="top"/>
          </w:tcPr>
          <w:p w14:paraId="32122E41">
            <w:pPr>
              <w:jc w:val="center"/>
              <w:rPr>
                <w:rFonts w:hint="eastAsia" w:ascii="仿宋_GB2312" w:eastAsia="仿宋_GB2312" w:cs="仿宋_GB2312"/>
                <w:color w:val="000000"/>
                <w:sz w:val="21"/>
                <w:szCs w:val="21"/>
                <w:vertAlign w:val="baseline"/>
                <w:lang w:val="en-US" w:eastAsia="zh-CN"/>
              </w:rPr>
            </w:pPr>
          </w:p>
        </w:tc>
      </w:tr>
      <w:tr w14:paraId="29764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exact"/>
        </w:trPr>
        <w:tc>
          <w:tcPr>
            <w:tcW w:w="890" w:type="dxa"/>
            <w:vMerge w:val="continue"/>
            <w:noWrap w:val="0"/>
            <w:vAlign w:val="center"/>
          </w:tcPr>
          <w:p w14:paraId="2C67552F"/>
        </w:tc>
        <w:tc>
          <w:tcPr>
            <w:tcW w:w="456" w:type="dxa"/>
            <w:noWrap w:val="0"/>
            <w:vAlign w:val="center"/>
          </w:tcPr>
          <w:p w14:paraId="09CE58B8">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5A11CC7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劳动法、劳动合同法、就业促进法、社会保险法、职业教育法、劳动争议调解仲裁法、工伤保险条例、失业保险条例、劳动保障监察条例、湖南省职业教育条例、人力资源市场暂行条例、事业单位人事管理条例、职工带薪年休假条例、保障农民工工资支付条例、湖南省实施《中华人民共和国就业促进法》办法等法律法规。</w:t>
            </w:r>
          </w:p>
          <w:p w14:paraId="2A1FF7C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c>
          <w:tcPr>
            <w:tcW w:w="563" w:type="dxa"/>
            <w:noWrap w:val="0"/>
            <w:vAlign w:val="top"/>
          </w:tcPr>
          <w:p w14:paraId="0AEA7190">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3B01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890" w:type="dxa"/>
            <w:vMerge w:val="restart"/>
            <w:noWrap w:val="0"/>
            <w:vAlign w:val="center"/>
          </w:tcPr>
          <w:p w14:paraId="7CEFFA1F">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县自然资源局</w:t>
            </w:r>
          </w:p>
        </w:tc>
        <w:tc>
          <w:tcPr>
            <w:tcW w:w="456" w:type="dxa"/>
            <w:noWrap w:val="0"/>
            <w:vAlign w:val="center"/>
          </w:tcPr>
          <w:p w14:paraId="27C976AF">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05B0569B">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利用“4·22”地球日、“6·25”土地日、“8·29”测绘日、“12·4”国家宪法日等重要时间节点开展集中普法宣传活动，学习宣传宪法和自然资源相关法律法规。</w:t>
            </w:r>
          </w:p>
        </w:tc>
        <w:tc>
          <w:tcPr>
            <w:tcW w:w="563" w:type="dxa"/>
            <w:noWrap w:val="0"/>
            <w:vAlign w:val="top"/>
          </w:tcPr>
          <w:p w14:paraId="1BAE0E6A">
            <w:pPr>
              <w:jc w:val="center"/>
              <w:rPr>
                <w:rFonts w:hint="eastAsia" w:ascii="仿宋_GB2312" w:eastAsia="仿宋_GB2312" w:cs="仿宋_GB2312"/>
                <w:color w:val="000000"/>
                <w:sz w:val="21"/>
                <w:szCs w:val="21"/>
                <w:vertAlign w:val="baseline"/>
                <w:lang w:val="en-US" w:eastAsia="zh-CN"/>
              </w:rPr>
            </w:pPr>
          </w:p>
        </w:tc>
      </w:tr>
      <w:tr w14:paraId="51CE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exact"/>
        </w:trPr>
        <w:tc>
          <w:tcPr>
            <w:tcW w:w="890" w:type="dxa"/>
            <w:vMerge w:val="continue"/>
            <w:noWrap w:val="0"/>
            <w:vAlign w:val="center"/>
          </w:tcPr>
          <w:p w14:paraId="37AAEFD3"/>
        </w:tc>
        <w:tc>
          <w:tcPr>
            <w:tcW w:w="456" w:type="dxa"/>
            <w:noWrap w:val="0"/>
            <w:vAlign w:val="center"/>
          </w:tcPr>
          <w:p w14:paraId="22FB7B3B">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59B0C97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开展土地管理“一法一条例一办法”专题宣讲，在全系统组织培训学习。</w:t>
            </w:r>
          </w:p>
        </w:tc>
        <w:tc>
          <w:tcPr>
            <w:tcW w:w="563" w:type="dxa"/>
            <w:noWrap w:val="0"/>
            <w:vAlign w:val="top"/>
          </w:tcPr>
          <w:p w14:paraId="45362453">
            <w:pPr>
              <w:jc w:val="center"/>
              <w:rPr>
                <w:rFonts w:hint="eastAsia" w:ascii="仿宋_GB2312" w:eastAsia="仿宋_GB2312" w:cs="仿宋_GB2312"/>
                <w:color w:val="000000"/>
                <w:sz w:val="21"/>
                <w:szCs w:val="21"/>
                <w:vertAlign w:val="baseline"/>
                <w:lang w:val="en-US" w:eastAsia="zh-CN"/>
              </w:rPr>
            </w:pPr>
          </w:p>
        </w:tc>
      </w:tr>
      <w:tr w14:paraId="63185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exact"/>
        </w:trPr>
        <w:tc>
          <w:tcPr>
            <w:tcW w:w="890" w:type="dxa"/>
            <w:vMerge w:val="continue"/>
            <w:noWrap w:val="0"/>
            <w:vAlign w:val="center"/>
          </w:tcPr>
          <w:p w14:paraId="502428E0"/>
        </w:tc>
        <w:tc>
          <w:tcPr>
            <w:tcW w:w="456" w:type="dxa"/>
            <w:noWrap w:val="0"/>
            <w:vAlign w:val="center"/>
          </w:tcPr>
          <w:p w14:paraId="6551EC8A">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282425D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土地管理法、矿产资源法、城市房地产管理法、城乡规划法、测绘法、长江保护法、土壤污染防治法、行政许可法、行政处罚法、耕地占用税法、土地管理法实施条例、城镇国有土地使用权出让和转让暂行条例、不动产登记暂行条例、基本农田保护条例、矿产资源法实施细则、土地复垦条例、测绘成果管理条例、测量标志保护条例、基础测绘条例、地图管理条例、土地调查条例、地下水管理条例、优化营商环境条例、重大行政决策事项暂行条例、政府信息公开条例、湖南省长株潭城市群生态绿心地区保护条例、湖南省环境保护条例、湖南省实施《中华人民共和国土地管理法》办法、湖南省实施《中华人民共和国城乡规划法》办法、湘潭市村庄规划建设管理条例等法律法规。</w:t>
            </w:r>
          </w:p>
        </w:tc>
        <w:tc>
          <w:tcPr>
            <w:tcW w:w="563" w:type="dxa"/>
            <w:noWrap w:val="0"/>
            <w:vAlign w:val="top"/>
          </w:tcPr>
          <w:p w14:paraId="2E029A80">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28E07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exact"/>
        </w:trPr>
        <w:tc>
          <w:tcPr>
            <w:tcW w:w="890" w:type="dxa"/>
            <w:vMerge w:val="restart"/>
            <w:noWrap w:val="0"/>
            <w:vAlign w:val="center"/>
          </w:tcPr>
          <w:p w14:paraId="3FBEF889">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县住建局（县人防办）</w:t>
            </w:r>
          </w:p>
        </w:tc>
        <w:tc>
          <w:tcPr>
            <w:tcW w:w="456" w:type="dxa"/>
            <w:noWrap w:val="0"/>
            <w:vAlign w:val="center"/>
          </w:tcPr>
          <w:p w14:paraId="0975E83F">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3496C0D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加大《湖南省农村住房建设管理办法》及《湖南省人民政府办公厅关于进一步加强农村住房质量安全监管的通知》等法规文件宣传力度，通过制作农村安全建房系列动画短片、警示教育片、安全常识图集、质量安全操作手册、技术导则和安全事故警示视频等方式，增强村民依法建房的法律意识。</w:t>
            </w:r>
          </w:p>
        </w:tc>
        <w:tc>
          <w:tcPr>
            <w:tcW w:w="563" w:type="dxa"/>
            <w:noWrap w:val="0"/>
            <w:vAlign w:val="top"/>
          </w:tcPr>
          <w:p w14:paraId="31C00AA6">
            <w:pPr>
              <w:jc w:val="center"/>
              <w:rPr>
                <w:rFonts w:hint="eastAsia" w:ascii="仿宋_GB2312" w:eastAsia="仿宋_GB2312" w:cs="仿宋_GB2312"/>
                <w:color w:val="000000"/>
                <w:sz w:val="21"/>
                <w:szCs w:val="21"/>
                <w:vertAlign w:val="baseline"/>
                <w:lang w:val="en-US" w:eastAsia="zh-CN"/>
              </w:rPr>
            </w:pPr>
          </w:p>
        </w:tc>
      </w:tr>
      <w:tr w14:paraId="1DCDA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exact"/>
        </w:trPr>
        <w:tc>
          <w:tcPr>
            <w:tcW w:w="890" w:type="dxa"/>
            <w:vMerge w:val="continue"/>
            <w:noWrap w:val="0"/>
            <w:vAlign w:val="center"/>
          </w:tcPr>
          <w:p w14:paraId="4D447EF6">
            <w:pPr>
              <w:jc w:val="center"/>
            </w:pPr>
          </w:p>
        </w:tc>
        <w:tc>
          <w:tcPr>
            <w:tcW w:w="456" w:type="dxa"/>
            <w:noWrap w:val="0"/>
            <w:vAlign w:val="center"/>
          </w:tcPr>
          <w:p w14:paraId="6B11DD46">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37C2A8A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利用安全生产月等重要时间节点开展集中普法宣传活动，加强学习宣传《湖南省绿色建筑发展条例》、建设工程勘察质量管理办法、住房公积金管理条例、保障农民工工资支付条例、《湖南省建设工程质量和安全生产管理条例》等相关法律法规，并组织相关培训活动。</w:t>
            </w:r>
          </w:p>
        </w:tc>
        <w:tc>
          <w:tcPr>
            <w:tcW w:w="563" w:type="dxa"/>
            <w:noWrap w:val="0"/>
            <w:vAlign w:val="top"/>
          </w:tcPr>
          <w:p w14:paraId="6918354A">
            <w:pPr>
              <w:jc w:val="center"/>
              <w:rPr>
                <w:rFonts w:hint="eastAsia" w:ascii="仿宋_GB2312" w:eastAsia="仿宋_GB2312" w:cs="仿宋_GB2312"/>
                <w:color w:val="000000"/>
                <w:sz w:val="21"/>
                <w:szCs w:val="21"/>
                <w:vertAlign w:val="baseline"/>
                <w:lang w:val="en-US" w:eastAsia="zh-CN"/>
              </w:rPr>
            </w:pPr>
          </w:p>
        </w:tc>
      </w:tr>
      <w:tr w14:paraId="455CC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exact"/>
        </w:trPr>
        <w:tc>
          <w:tcPr>
            <w:tcW w:w="890" w:type="dxa"/>
            <w:vMerge w:val="continue"/>
            <w:noWrap w:val="0"/>
            <w:vAlign w:val="center"/>
          </w:tcPr>
          <w:p w14:paraId="2358E08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c>
          <w:tcPr>
            <w:tcW w:w="456" w:type="dxa"/>
            <w:noWrap w:val="0"/>
            <w:vAlign w:val="center"/>
          </w:tcPr>
          <w:p w14:paraId="67BFF462">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000000"/>
                <w:lang w:val="en-US" w:eastAsia="zh-CN"/>
              </w:rPr>
            </w:pPr>
            <w:r>
              <w:rPr>
                <w:rFonts w:hint="eastAsia" w:ascii="仿宋_GB2312" w:eastAsia="仿宋_GB2312" w:cs="宋体"/>
                <w:color w:val="000000"/>
                <w:lang w:val="en-US" w:eastAsia="zh-CN"/>
              </w:rPr>
              <w:t>3</w:t>
            </w:r>
          </w:p>
        </w:tc>
        <w:tc>
          <w:tcPr>
            <w:tcW w:w="13217" w:type="dxa"/>
            <w:noWrap w:val="0"/>
            <w:vAlign w:val="center"/>
          </w:tcPr>
          <w:p w14:paraId="3CB1E6E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城市房地产管理法、建筑法、物业管理条例、湖南省物业管理条例、建设工程质量管理条例、建设工程勘察设计管理条例、历史文化名城名镇名村保护条例、建设工程抗震管理条例、民用建筑节能条例、城市供水条例、城镇排水与污水处理条例、建设工程安全生产管理条例、湘潭市历史建筑和历史文化街区保护条例、国防法、人民防空法、国防教育法、湖南省实施《中华人民共和国人民防空法》办法等法律法规。</w:t>
            </w:r>
          </w:p>
          <w:p w14:paraId="13537AF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c>
          <w:tcPr>
            <w:tcW w:w="563" w:type="dxa"/>
            <w:noWrap w:val="0"/>
            <w:vAlign w:val="top"/>
          </w:tcPr>
          <w:p w14:paraId="7510D6E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6FC61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exact"/>
        </w:trPr>
        <w:tc>
          <w:tcPr>
            <w:tcW w:w="890" w:type="dxa"/>
            <w:vMerge w:val="restart"/>
            <w:noWrap w:val="0"/>
            <w:vAlign w:val="center"/>
          </w:tcPr>
          <w:p w14:paraId="2DBFA8DD">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县交通运输局</w:t>
            </w:r>
          </w:p>
        </w:tc>
        <w:tc>
          <w:tcPr>
            <w:tcW w:w="456" w:type="dxa"/>
            <w:noWrap w:val="0"/>
            <w:vAlign w:val="center"/>
          </w:tcPr>
          <w:p w14:paraId="3D338714">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747F02D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重点宣传党中央、国务院、交通运输部关于加强社会信用体系建设的决策部署和相关法律法规。</w:t>
            </w:r>
          </w:p>
        </w:tc>
        <w:tc>
          <w:tcPr>
            <w:tcW w:w="563" w:type="dxa"/>
            <w:noWrap w:val="0"/>
            <w:vAlign w:val="top"/>
          </w:tcPr>
          <w:p w14:paraId="025F79BA">
            <w:pPr>
              <w:jc w:val="center"/>
              <w:rPr>
                <w:rFonts w:hint="eastAsia" w:ascii="仿宋_GB2312" w:eastAsia="仿宋_GB2312" w:cs="仿宋_GB2312"/>
                <w:color w:val="000000"/>
                <w:sz w:val="21"/>
                <w:szCs w:val="21"/>
                <w:vertAlign w:val="baseline"/>
                <w:lang w:val="en-US" w:eastAsia="zh-CN"/>
              </w:rPr>
            </w:pPr>
          </w:p>
        </w:tc>
      </w:tr>
      <w:tr w14:paraId="52B1B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exact"/>
        </w:trPr>
        <w:tc>
          <w:tcPr>
            <w:tcW w:w="890" w:type="dxa"/>
            <w:vMerge w:val="continue"/>
            <w:noWrap w:val="0"/>
            <w:vAlign w:val="center"/>
          </w:tcPr>
          <w:p w14:paraId="43E37B4A">
            <w:pPr>
              <w:rPr>
                <w:rFonts w:hint="eastAsia" w:ascii="仿宋_GB2312" w:eastAsia="仿宋_GB2312" w:cs="仿宋_GB2312"/>
                <w:color w:val="000000"/>
                <w:sz w:val="21"/>
                <w:szCs w:val="21"/>
                <w:vertAlign w:val="baseline"/>
                <w:lang w:val="en-US" w:eastAsia="zh-CN"/>
              </w:rPr>
            </w:pPr>
          </w:p>
        </w:tc>
        <w:tc>
          <w:tcPr>
            <w:tcW w:w="456" w:type="dxa"/>
            <w:noWrap w:val="0"/>
            <w:vAlign w:val="center"/>
          </w:tcPr>
          <w:p w14:paraId="3E47B23A">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461D045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结合省交通运输厅统一部署，开展“路政宣传月”活动，开展爱路宣传活动，宣传公路保护的法律、法规、政策。</w:t>
            </w:r>
          </w:p>
        </w:tc>
        <w:tc>
          <w:tcPr>
            <w:tcW w:w="563" w:type="dxa"/>
            <w:noWrap w:val="0"/>
            <w:vAlign w:val="top"/>
          </w:tcPr>
          <w:p w14:paraId="659FF171">
            <w:pPr>
              <w:jc w:val="center"/>
              <w:rPr>
                <w:rFonts w:hint="eastAsia" w:ascii="仿宋_GB2312" w:eastAsia="仿宋_GB2312" w:cs="仿宋_GB2312"/>
                <w:color w:val="000000"/>
                <w:sz w:val="21"/>
                <w:szCs w:val="21"/>
                <w:vertAlign w:val="baseline"/>
                <w:lang w:val="en-US" w:eastAsia="zh-CN"/>
              </w:rPr>
            </w:pPr>
          </w:p>
        </w:tc>
      </w:tr>
      <w:tr w14:paraId="72BE5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exact"/>
        </w:trPr>
        <w:tc>
          <w:tcPr>
            <w:tcW w:w="890" w:type="dxa"/>
            <w:vMerge w:val="continue"/>
            <w:noWrap w:val="0"/>
            <w:vAlign w:val="center"/>
          </w:tcPr>
          <w:p w14:paraId="273C06D6">
            <w:pPr>
              <w:rPr>
                <w:rFonts w:hint="eastAsia" w:ascii="仿宋_GB2312" w:eastAsia="仿宋_GB2312" w:cs="仿宋_GB2312"/>
                <w:color w:val="000000"/>
                <w:sz w:val="21"/>
                <w:szCs w:val="21"/>
                <w:vertAlign w:val="baseline"/>
                <w:lang w:val="en-US" w:eastAsia="zh-CN"/>
              </w:rPr>
            </w:pPr>
          </w:p>
        </w:tc>
        <w:tc>
          <w:tcPr>
            <w:tcW w:w="456" w:type="dxa"/>
            <w:noWrap w:val="0"/>
            <w:vAlign w:val="center"/>
          </w:tcPr>
          <w:p w14:paraId="355A9BC3">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726FBE9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公路法、港口法、航道法、长江保护法、安全生产法、公路安全保护条例、国内水路运输管理条例、内河交通安全管理条例、道路运输条例、湖南省水上交通安全条例、湖南省高速公路条例、湖南省乡村公路条例、湖南省治理货物运输车辆超限超载条例、湖南省安全生产条例、湖南省铁路安全管理条例、湖南省交通建设工程质量与安全生产条例、湖南省实施《中华人民共和国港口法》办法等法律法规。</w:t>
            </w:r>
          </w:p>
        </w:tc>
        <w:tc>
          <w:tcPr>
            <w:tcW w:w="563" w:type="dxa"/>
            <w:noWrap w:val="0"/>
            <w:vAlign w:val="top"/>
          </w:tcPr>
          <w:p w14:paraId="39B61886">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60526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8" w:hRule="exact"/>
        </w:trPr>
        <w:tc>
          <w:tcPr>
            <w:tcW w:w="890" w:type="dxa"/>
            <w:vMerge w:val="restart"/>
            <w:noWrap w:val="0"/>
            <w:vAlign w:val="center"/>
          </w:tcPr>
          <w:p w14:paraId="69A5B99C">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县水利局</w:t>
            </w:r>
          </w:p>
        </w:tc>
        <w:tc>
          <w:tcPr>
            <w:tcW w:w="456" w:type="dxa"/>
            <w:noWrap w:val="0"/>
            <w:vAlign w:val="center"/>
          </w:tcPr>
          <w:p w14:paraId="4B52A7D1">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6BE4667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广泛开展“世界水日”“中国水周”系列宣传活动，大力开展水利法治宣传教育，提高宣传教育成效。重点宣传水法、长江保护法、河道管理条例、湖南省河道采砂管理条例、湖南省水利工程管理条例、地下水管理条例、防洪法、水土保持法、水污染防治法、防汛条例、抗旱条例、长江河道采砂管理条例、取水许可和水资源费征收管理条例、水库大坝安全管理条例、水土保持法实施条例、大中型水利水电工程建设征地补偿和移民安置条例、湖南省洞庭湖保护条例、湖南省湘江保护条例、湖南省饮用水水源保护条例、湖南省洞庭湖区水利管理条例、湖南省水能资源开发利用管理条例、湖南省大中型水库移民条例、湖南省实施《中华人民共和国水法》办法、湖南省实施《中华人民共和国防洪法》办法、湖南省实施《中华人民共和国水土保持法》办法、湖南省实施《中华人民共和国河道管理条例》办法等法律法规。</w:t>
            </w:r>
          </w:p>
        </w:tc>
        <w:tc>
          <w:tcPr>
            <w:tcW w:w="563" w:type="dxa"/>
            <w:noWrap w:val="0"/>
            <w:vAlign w:val="top"/>
          </w:tcPr>
          <w:p w14:paraId="55ACFEB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5A208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exact"/>
        </w:trPr>
        <w:tc>
          <w:tcPr>
            <w:tcW w:w="890" w:type="dxa"/>
            <w:vMerge w:val="continue"/>
            <w:noWrap w:val="0"/>
            <w:vAlign w:val="center"/>
          </w:tcPr>
          <w:p w14:paraId="796181AC"/>
        </w:tc>
        <w:tc>
          <w:tcPr>
            <w:tcW w:w="456" w:type="dxa"/>
            <w:noWrap w:val="0"/>
            <w:vAlign w:val="center"/>
          </w:tcPr>
          <w:p w14:paraId="3E72F692">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7BAA970D">
            <w:pPr>
              <w:jc w:val="both"/>
              <w:rPr>
                <w:rFonts w:hint="default" w:ascii="仿宋_GB2312" w:eastAsia="仿宋_GB2312" w:cs="仿宋_GB2312"/>
                <w:color w:val="000000"/>
                <w:sz w:val="21"/>
                <w:szCs w:val="21"/>
                <w:vertAlign w:val="baseline"/>
                <w:lang w:val="en" w:eastAsia="zh-CN"/>
              </w:rPr>
            </w:pPr>
            <w:r>
              <w:rPr>
                <w:rFonts w:hint="eastAsia" w:ascii="仿宋_GB2312" w:eastAsia="仿宋_GB2312" w:cs="仿宋_GB2312"/>
                <w:color w:val="000000"/>
                <w:sz w:val="21"/>
                <w:szCs w:val="21"/>
                <w:vertAlign w:val="baseline"/>
                <w:lang w:val="en-US" w:eastAsia="zh-CN"/>
              </w:rPr>
              <w:t>开展水土保持法修订施行十一周年系列宣传活动，提高公众依法进行水土保持意识</w:t>
            </w:r>
            <w:r>
              <w:rPr>
                <w:rFonts w:hint="default" w:ascii="仿宋_GB2312" w:eastAsia="仿宋_GB2312" w:cs="仿宋_GB2312"/>
                <w:color w:val="000000"/>
                <w:sz w:val="21"/>
                <w:szCs w:val="21"/>
                <w:vertAlign w:val="baseline"/>
                <w:lang w:val="en" w:eastAsia="zh-CN"/>
              </w:rPr>
              <w:t>。</w:t>
            </w:r>
          </w:p>
          <w:p w14:paraId="00E71DC0">
            <w:pPr>
              <w:jc w:val="both"/>
              <w:rPr>
                <w:rFonts w:hint="eastAsia" w:ascii="仿宋_GB2312" w:eastAsia="仿宋_GB2312" w:cs="仿宋_GB2312"/>
                <w:color w:val="000000"/>
                <w:sz w:val="21"/>
                <w:szCs w:val="21"/>
                <w:vertAlign w:val="baseline"/>
                <w:lang w:val="en-US" w:eastAsia="zh-CN"/>
              </w:rPr>
            </w:pPr>
          </w:p>
        </w:tc>
        <w:tc>
          <w:tcPr>
            <w:tcW w:w="563" w:type="dxa"/>
            <w:noWrap w:val="0"/>
            <w:vAlign w:val="top"/>
          </w:tcPr>
          <w:p w14:paraId="5C04B793">
            <w:pPr>
              <w:jc w:val="center"/>
              <w:rPr>
                <w:rFonts w:hint="eastAsia" w:ascii="仿宋_GB2312" w:eastAsia="仿宋_GB2312" w:cs="仿宋_GB2312"/>
                <w:color w:val="000000"/>
                <w:sz w:val="21"/>
                <w:szCs w:val="21"/>
                <w:vertAlign w:val="baseline"/>
                <w:lang w:val="en-US" w:eastAsia="zh-CN"/>
              </w:rPr>
            </w:pPr>
          </w:p>
        </w:tc>
      </w:tr>
      <w:tr w14:paraId="75093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exact"/>
        </w:trPr>
        <w:tc>
          <w:tcPr>
            <w:tcW w:w="890" w:type="dxa"/>
            <w:vMerge w:val="continue"/>
            <w:noWrap w:val="0"/>
            <w:vAlign w:val="center"/>
          </w:tcPr>
          <w:p w14:paraId="38324A6D"/>
        </w:tc>
        <w:tc>
          <w:tcPr>
            <w:tcW w:w="456" w:type="dxa"/>
            <w:noWrap w:val="0"/>
            <w:vAlign w:val="center"/>
          </w:tcPr>
          <w:p w14:paraId="096E9787">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0C4B596F">
            <w:pPr>
              <w:jc w:val="both"/>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利用“安全生产月”，对安全生产法律法规集中进行宣传，提高水利安全管理水平。</w:t>
            </w:r>
          </w:p>
        </w:tc>
        <w:tc>
          <w:tcPr>
            <w:tcW w:w="563" w:type="dxa"/>
            <w:noWrap w:val="0"/>
            <w:vAlign w:val="top"/>
          </w:tcPr>
          <w:p w14:paraId="4C326BFC">
            <w:pPr>
              <w:jc w:val="center"/>
              <w:rPr>
                <w:rFonts w:hint="eastAsia" w:ascii="仿宋_GB2312" w:eastAsia="仿宋_GB2312" w:cs="仿宋_GB2312"/>
                <w:color w:val="000000"/>
                <w:sz w:val="21"/>
                <w:szCs w:val="21"/>
                <w:vertAlign w:val="baseline"/>
                <w:lang w:val="en-US" w:eastAsia="zh-CN"/>
              </w:rPr>
            </w:pPr>
          </w:p>
        </w:tc>
      </w:tr>
      <w:tr w14:paraId="0EDFE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exact"/>
        </w:trPr>
        <w:tc>
          <w:tcPr>
            <w:tcW w:w="890" w:type="dxa"/>
            <w:vMerge w:val="restart"/>
            <w:noWrap w:val="0"/>
            <w:vAlign w:val="center"/>
          </w:tcPr>
          <w:p w14:paraId="7D9FD7D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宋体"/>
                <w:color w:val="000000"/>
                <w:lang w:val="en-US" w:eastAsia="zh-CN"/>
              </w:rPr>
              <w:t>县农业农村局</w:t>
            </w:r>
          </w:p>
        </w:tc>
        <w:tc>
          <w:tcPr>
            <w:tcW w:w="456" w:type="dxa"/>
            <w:noWrap w:val="0"/>
            <w:vAlign w:val="center"/>
          </w:tcPr>
          <w:p w14:paraId="63A7AE8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1</w:t>
            </w:r>
          </w:p>
        </w:tc>
        <w:tc>
          <w:tcPr>
            <w:tcW w:w="13217" w:type="dxa"/>
            <w:noWrap w:val="0"/>
            <w:vAlign w:val="center"/>
          </w:tcPr>
          <w:p w14:paraId="21B9824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组织开展“农村法治宣传教育月”、“放心农资下乡进村宣传周”、“农民丰收节乡村振兴促进法”、“</w:t>
            </w:r>
            <w:r>
              <w:rPr>
                <w:rFonts w:hint="eastAsia" w:ascii="仿宋_GB2312" w:eastAsia="仿宋_GB2312" w:cs="宋体"/>
                <w:color w:val="000000"/>
                <w:kern w:val="2"/>
                <w:sz w:val="21"/>
                <w:szCs w:val="24"/>
                <w:lang w:val="en-US" w:eastAsia="zh-CN" w:bidi="ar-SA"/>
              </w:rPr>
              <w:t>送法进乡村 法治助振兴”、</w:t>
            </w:r>
            <w:r>
              <w:rPr>
                <w:rFonts w:hint="eastAsia" w:ascii="仿宋_GB2312" w:eastAsia="仿宋_GB2312" w:cs="宋体"/>
                <w:color w:val="000000"/>
                <w:lang w:val="en-US" w:eastAsia="zh-CN"/>
              </w:rPr>
              <w:t>乡村振兴促进法等专项法治宣传教育活动，围绕乡村振兴等国家发展战略，重点针对农村农民开展法治宣传教育。</w:t>
            </w:r>
          </w:p>
        </w:tc>
        <w:tc>
          <w:tcPr>
            <w:tcW w:w="563" w:type="dxa"/>
            <w:noWrap w:val="0"/>
            <w:vAlign w:val="top"/>
          </w:tcPr>
          <w:p w14:paraId="09E91005">
            <w:pPr>
              <w:jc w:val="center"/>
              <w:rPr>
                <w:rFonts w:hint="eastAsia" w:ascii="仿宋_GB2312" w:eastAsia="仿宋_GB2312" w:cs="仿宋_GB2312"/>
                <w:color w:val="000000"/>
                <w:sz w:val="21"/>
                <w:szCs w:val="21"/>
                <w:vertAlign w:val="baseline"/>
                <w:lang w:val="en-US" w:eastAsia="zh-CN"/>
              </w:rPr>
            </w:pPr>
          </w:p>
        </w:tc>
      </w:tr>
      <w:tr w14:paraId="7BA58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9" w:hRule="exact"/>
        </w:trPr>
        <w:tc>
          <w:tcPr>
            <w:tcW w:w="890" w:type="dxa"/>
            <w:vMerge w:val="continue"/>
            <w:noWrap w:val="0"/>
            <w:vAlign w:val="center"/>
          </w:tcPr>
          <w:p w14:paraId="031C5E79">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c>
          <w:tcPr>
            <w:tcW w:w="456" w:type="dxa"/>
            <w:noWrap w:val="0"/>
            <w:vAlign w:val="center"/>
          </w:tcPr>
          <w:p w14:paraId="72A8A9C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000000"/>
                <w:lang w:val="en-US" w:eastAsia="zh-CN"/>
              </w:rPr>
            </w:pPr>
            <w:r>
              <w:rPr>
                <w:rFonts w:hint="eastAsia" w:ascii="仿宋_GB2312" w:eastAsia="仿宋_GB2312" w:cs="宋体"/>
                <w:color w:val="000000"/>
                <w:lang w:val="en-US" w:eastAsia="zh-CN"/>
              </w:rPr>
              <w:t>2</w:t>
            </w:r>
          </w:p>
        </w:tc>
        <w:tc>
          <w:tcPr>
            <w:tcW w:w="13217" w:type="dxa"/>
            <w:noWrap w:val="0"/>
            <w:vAlign w:val="center"/>
          </w:tcPr>
          <w:p w14:paraId="7515922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农业法、渔业法、农村土地承包法、农村土地承包经营纠纷调解仲裁法、农民专业合作社法、农业技术推广法、土壤污染防治法、农产品质量安全法、种子法、长江保护法、野生动物保护法、畜牧法、动物防疫法、生物安全法、农业机械化促进法、乡村振兴促进法、农业转基因生物安全管理条例、野生植物保护条例、植物新品种保护条例、湖南省农业环境保护条例、湖南省农村可再生能源条例、基本农田保护条例、水产资源繁殖保护条例、水生野生动物保护实施条例、农药管理条例、植物检疫条例、湖南省渔业条例、湖南省基本农田保护条例、湘潭市村庄规划建设管理条例、中国共产党农村工作条例等法律法规。</w:t>
            </w:r>
          </w:p>
        </w:tc>
        <w:tc>
          <w:tcPr>
            <w:tcW w:w="563" w:type="dxa"/>
            <w:noWrap w:val="0"/>
            <w:vAlign w:val="top"/>
          </w:tcPr>
          <w:p w14:paraId="5E25188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43120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exact"/>
        </w:trPr>
        <w:tc>
          <w:tcPr>
            <w:tcW w:w="890" w:type="dxa"/>
            <w:noWrap w:val="0"/>
            <w:vAlign w:val="center"/>
          </w:tcPr>
          <w:p w14:paraId="01B7C5E1">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县商务局</w:t>
            </w:r>
          </w:p>
        </w:tc>
        <w:tc>
          <w:tcPr>
            <w:tcW w:w="456" w:type="dxa"/>
            <w:noWrap w:val="0"/>
            <w:vAlign w:val="center"/>
          </w:tcPr>
          <w:p w14:paraId="50B46AE9">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076CA3D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深化开展“法律进企业”，组织对电子商务法、外商投资法、对外贸易法、优化营商环境条例、石油成品油流通行业管理工作指引、汽车销售管理办法、拍卖法、商业特许经营管理条例、对外承包工程管理条例、对外劳务合作管理条例、反倾销条例、反补贴条例、直销管理条例、中国（湖南）自由贸易试验区条例等法律法规开展专题学习宣传活动。</w:t>
            </w:r>
          </w:p>
        </w:tc>
        <w:tc>
          <w:tcPr>
            <w:tcW w:w="563" w:type="dxa"/>
            <w:noWrap w:val="0"/>
            <w:vAlign w:val="top"/>
          </w:tcPr>
          <w:p w14:paraId="0FE83544">
            <w:pPr>
              <w:keepNext w:val="0"/>
              <w:keepLines w:val="0"/>
              <w:pageBreakBefore w:val="0"/>
              <w:widowControl w:val="0"/>
              <w:kinsoku/>
              <w:wordWrap/>
              <w:overflowPunct/>
              <w:topLinePunct w:val="0"/>
              <w:autoSpaceDE/>
              <w:autoSpaceDN/>
              <w:bidi w:val="0"/>
              <w:adjustRightInd/>
              <w:spacing w:line="560" w:lineRule="exact"/>
              <w:ind w:firstLine="420" w:firstLineChars="200"/>
              <w:textAlignment w:val="auto"/>
              <w:rPr>
                <w:rFonts w:hint="eastAsia" w:ascii="仿宋_GB2312" w:eastAsia="仿宋_GB2312" w:cs="宋体"/>
                <w:color w:val="000000"/>
                <w:lang w:val="en-US" w:eastAsia="zh-CN"/>
              </w:rPr>
            </w:pPr>
          </w:p>
        </w:tc>
      </w:tr>
      <w:tr w14:paraId="0A839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exact"/>
        </w:trPr>
        <w:tc>
          <w:tcPr>
            <w:tcW w:w="890" w:type="dxa"/>
            <w:vMerge w:val="restart"/>
            <w:noWrap w:val="0"/>
            <w:vAlign w:val="center"/>
          </w:tcPr>
          <w:p w14:paraId="2FABE519">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县文旅广体局</w:t>
            </w:r>
          </w:p>
        </w:tc>
        <w:tc>
          <w:tcPr>
            <w:tcW w:w="456" w:type="dxa"/>
            <w:noWrap w:val="0"/>
            <w:vAlign w:val="center"/>
          </w:tcPr>
          <w:p w14:paraId="5253A292">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1BB7B2D2">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结合“5·18”国际博物馆日、“5·19”中国旅游日、文化和自然遗产日、“8·8全民健身日”、“12·4”国家宪法日等时间节点，开展法治宣传主题活动。开展“宪法进宾馆（景区）”公益普法活动。</w:t>
            </w:r>
          </w:p>
        </w:tc>
        <w:tc>
          <w:tcPr>
            <w:tcW w:w="563" w:type="dxa"/>
            <w:noWrap w:val="0"/>
            <w:vAlign w:val="top"/>
          </w:tcPr>
          <w:p w14:paraId="02CA1DF0">
            <w:pPr>
              <w:jc w:val="center"/>
              <w:rPr>
                <w:rFonts w:hint="eastAsia" w:ascii="仿宋_GB2312" w:eastAsia="仿宋_GB2312" w:cs="仿宋_GB2312"/>
                <w:color w:val="000000"/>
                <w:sz w:val="21"/>
                <w:szCs w:val="21"/>
                <w:vertAlign w:val="baseline"/>
                <w:lang w:val="en-US" w:eastAsia="zh-CN"/>
              </w:rPr>
            </w:pPr>
          </w:p>
        </w:tc>
      </w:tr>
      <w:tr w14:paraId="6A231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exact"/>
        </w:trPr>
        <w:tc>
          <w:tcPr>
            <w:tcW w:w="890" w:type="dxa"/>
            <w:vMerge w:val="continue"/>
            <w:noWrap w:val="0"/>
            <w:vAlign w:val="center"/>
          </w:tcPr>
          <w:p w14:paraId="656D1142">
            <w:pPr>
              <w:rPr>
                <w:rFonts w:hint="eastAsia" w:ascii="仿宋_GB2312" w:eastAsia="仿宋_GB2312" w:cs="仿宋_GB2312"/>
                <w:color w:val="000000"/>
                <w:sz w:val="21"/>
                <w:szCs w:val="21"/>
                <w:vertAlign w:val="baseline"/>
                <w:lang w:val="en-US" w:eastAsia="zh-CN"/>
              </w:rPr>
            </w:pPr>
          </w:p>
        </w:tc>
        <w:tc>
          <w:tcPr>
            <w:tcW w:w="456" w:type="dxa"/>
            <w:noWrap w:val="0"/>
            <w:vAlign w:val="center"/>
          </w:tcPr>
          <w:p w14:paraId="32C342B1">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31C918A4">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文物保护法、公共图书馆法、公共文化服务保障法、非物质文化遗产法、旅游法、营业性演出管理条例、娱乐场所管理条例、互联网上网服务营业场所管理条例、旅行社条例、导游人员管理条例、公共文化体育设施条例、体育法、全民健身条例、广播电视管理条例等法律法规。</w:t>
            </w:r>
          </w:p>
        </w:tc>
        <w:tc>
          <w:tcPr>
            <w:tcW w:w="563" w:type="dxa"/>
            <w:noWrap w:val="0"/>
            <w:vAlign w:val="top"/>
          </w:tcPr>
          <w:p w14:paraId="3C5BDA2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5F6F9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exact"/>
        </w:trPr>
        <w:tc>
          <w:tcPr>
            <w:tcW w:w="890" w:type="dxa"/>
            <w:vMerge w:val="restart"/>
            <w:noWrap w:val="0"/>
            <w:vAlign w:val="center"/>
          </w:tcPr>
          <w:p w14:paraId="128E48D8">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县卫健局</w:t>
            </w:r>
          </w:p>
        </w:tc>
        <w:tc>
          <w:tcPr>
            <w:tcW w:w="456" w:type="dxa"/>
            <w:noWrap w:val="0"/>
            <w:vAlign w:val="center"/>
          </w:tcPr>
          <w:p w14:paraId="31A80DF5">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0BCDCDBB">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lang w:val="en-US" w:eastAsia="zh-CN"/>
              </w:rPr>
              <w:t>组织开展医师法、职业病防治法、《湖南省人口与计划生育条例》宣传培训活动。</w:t>
            </w:r>
          </w:p>
        </w:tc>
        <w:tc>
          <w:tcPr>
            <w:tcW w:w="563" w:type="dxa"/>
            <w:noWrap w:val="0"/>
            <w:vAlign w:val="top"/>
          </w:tcPr>
          <w:p w14:paraId="0AB6907F">
            <w:pPr>
              <w:jc w:val="center"/>
              <w:rPr>
                <w:rFonts w:hint="eastAsia" w:ascii="仿宋_GB2312" w:eastAsia="仿宋_GB2312" w:cs="仿宋_GB2312"/>
                <w:color w:val="000000"/>
                <w:sz w:val="21"/>
                <w:szCs w:val="21"/>
                <w:vertAlign w:val="baseline"/>
                <w:lang w:val="en-US" w:eastAsia="zh-CN"/>
              </w:rPr>
            </w:pPr>
          </w:p>
        </w:tc>
      </w:tr>
      <w:tr w14:paraId="52348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890" w:type="dxa"/>
            <w:vMerge w:val="continue"/>
            <w:noWrap w:val="0"/>
            <w:vAlign w:val="center"/>
          </w:tcPr>
          <w:p w14:paraId="26D67DCF"/>
        </w:tc>
        <w:tc>
          <w:tcPr>
            <w:tcW w:w="456" w:type="dxa"/>
            <w:noWrap w:val="0"/>
            <w:vAlign w:val="center"/>
          </w:tcPr>
          <w:p w14:paraId="7FAB7E55">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2C9DD8EB">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lang w:val="en-US" w:eastAsia="zh-CN"/>
              </w:rPr>
              <w:t>利用食品安全宣传周、世界艾滋病日、敬老月、“3.24世界防治结核病日”“12·4”国家宪法日等重要时间节点和重大卫生计生节日纪念日集中开展相关法律法规集中宣传活动。</w:t>
            </w:r>
          </w:p>
        </w:tc>
        <w:tc>
          <w:tcPr>
            <w:tcW w:w="563" w:type="dxa"/>
            <w:noWrap w:val="0"/>
            <w:vAlign w:val="top"/>
          </w:tcPr>
          <w:p w14:paraId="4923B4D9">
            <w:pPr>
              <w:jc w:val="center"/>
              <w:rPr>
                <w:rFonts w:hint="eastAsia" w:ascii="仿宋_GB2312" w:eastAsia="仿宋_GB2312" w:cs="仿宋_GB2312"/>
                <w:color w:val="000000"/>
                <w:sz w:val="21"/>
                <w:szCs w:val="21"/>
                <w:vertAlign w:val="baseline"/>
                <w:lang w:val="en-US" w:eastAsia="zh-CN"/>
              </w:rPr>
            </w:pPr>
          </w:p>
        </w:tc>
      </w:tr>
      <w:tr w14:paraId="748A7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3" w:hRule="exact"/>
        </w:trPr>
        <w:tc>
          <w:tcPr>
            <w:tcW w:w="890" w:type="dxa"/>
            <w:vMerge w:val="continue"/>
            <w:noWrap w:val="0"/>
            <w:vAlign w:val="center"/>
          </w:tcPr>
          <w:p w14:paraId="1F2501A5"/>
        </w:tc>
        <w:tc>
          <w:tcPr>
            <w:tcW w:w="456" w:type="dxa"/>
            <w:noWrap w:val="0"/>
            <w:vAlign w:val="center"/>
          </w:tcPr>
          <w:p w14:paraId="492CE8B2">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7F65D196">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基本医疗卫生与健康促进法、传染病防治法、精神卫生法、疫苗管理法、医师法、献血法、生物安全法、食品安全法、老年人权益保障法、母婴保健法、职业病防治法、人口与计划生育法、中医药法、公共场所卫生管理条例、艾滋病防治条例、血吸虫病防治条例、医疗机构管理条例、医疗纠纷预防和处理条例、湖南省医疗事故处理条例、护士条例、医疗废物管理条例、乡村医生从业管理条例、突发公共卫生事件应急条例、病原微生物实验室生物安全管理条例、湖南省爱国卫生条例、湖南省血吸虫病防治条例、湖南省现场救护条例、湖南省人口与计划生育条例、湖南省实施《中华人民共和国献血法》办法、湖南省实施《中华人民共和国老年人权益保障法》办法、湖南省实施《中华人民共和国母婴保健法》办法、湖南省实施《中华人民共和国中医药法》、湘潭市爱国卫生条例等法律法规。</w:t>
            </w:r>
          </w:p>
        </w:tc>
        <w:tc>
          <w:tcPr>
            <w:tcW w:w="563" w:type="dxa"/>
            <w:noWrap w:val="0"/>
            <w:vAlign w:val="top"/>
          </w:tcPr>
          <w:p w14:paraId="515588FE">
            <w:pPr>
              <w:jc w:val="center"/>
              <w:rPr>
                <w:rFonts w:hint="eastAsia" w:ascii="仿宋_GB2312" w:eastAsia="仿宋_GB2312" w:cs="仿宋_GB2312"/>
                <w:color w:val="000000"/>
                <w:sz w:val="21"/>
                <w:szCs w:val="21"/>
                <w:vertAlign w:val="baseline"/>
                <w:lang w:val="en-US" w:eastAsia="zh-CN"/>
              </w:rPr>
            </w:pPr>
          </w:p>
        </w:tc>
      </w:tr>
      <w:tr w14:paraId="348E7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exact"/>
        </w:trPr>
        <w:tc>
          <w:tcPr>
            <w:tcW w:w="890" w:type="dxa"/>
            <w:noWrap w:val="0"/>
            <w:vAlign w:val="center"/>
          </w:tcPr>
          <w:p w14:paraId="6F7E1AF1">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县审计局</w:t>
            </w:r>
          </w:p>
        </w:tc>
        <w:tc>
          <w:tcPr>
            <w:tcW w:w="456" w:type="dxa"/>
            <w:noWrap w:val="0"/>
            <w:vAlign w:val="center"/>
          </w:tcPr>
          <w:p w14:paraId="5038C19B">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26814E5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kern w:val="2"/>
                <w:sz w:val="21"/>
                <w:szCs w:val="24"/>
                <w:lang w:val="en-US" w:eastAsia="zh-CN" w:bidi="ar-SA"/>
              </w:rPr>
              <w:t>学习审计署发布的《审计机关工作人员应知应会法律法规清单》，重点学习宣传普及审计法、</w:t>
            </w:r>
            <w:r>
              <w:rPr>
                <w:rFonts w:hint="eastAsia" w:ascii="仿宋_GB2312" w:eastAsia="仿宋_GB2312" w:cs="宋体"/>
                <w:color w:val="000000"/>
                <w:lang w:val="en-US" w:eastAsia="zh-CN"/>
              </w:rPr>
              <w:t>预算法、会计法、</w:t>
            </w:r>
            <w:r>
              <w:rPr>
                <w:rFonts w:hint="eastAsia" w:ascii="仿宋_GB2312" w:eastAsia="仿宋_GB2312" w:cs="宋体"/>
                <w:color w:val="000000"/>
                <w:kern w:val="2"/>
                <w:sz w:val="21"/>
                <w:szCs w:val="24"/>
                <w:lang w:val="en-US" w:eastAsia="zh-CN" w:bidi="ar-SA"/>
              </w:rPr>
              <w:t>审计法实施条例、</w:t>
            </w:r>
            <w:r>
              <w:rPr>
                <w:rFonts w:hint="eastAsia" w:ascii="仿宋_GB2312" w:eastAsia="仿宋_GB2312" w:cs="宋体"/>
                <w:color w:val="000000"/>
                <w:lang w:val="en-US" w:eastAsia="zh-CN"/>
              </w:rPr>
              <w:t>财政违法行为处罚处分条例、湖南省审计监督条例、</w:t>
            </w:r>
            <w:r>
              <w:rPr>
                <w:rFonts w:hint="eastAsia" w:ascii="仿宋_GB2312" w:eastAsia="仿宋_GB2312" w:cs="宋体"/>
                <w:color w:val="000000"/>
                <w:kern w:val="2"/>
                <w:sz w:val="21"/>
                <w:szCs w:val="24"/>
                <w:lang w:val="en-US" w:eastAsia="zh-CN" w:bidi="ar-SA"/>
              </w:rPr>
              <w:t>湖南省内部审计办法等与审计工作相关的法律法规规章。</w:t>
            </w:r>
          </w:p>
        </w:tc>
        <w:tc>
          <w:tcPr>
            <w:tcW w:w="563" w:type="dxa"/>
            <w:noWrap w:val="0"/>
            <w:vAlign w:val="top"/>
          </w:tcPr>
          <w:p w14:paraId="5AC42D84">
            <w:pPr>
              <w:jc w:val="center"/>
              <w:rPr>
                <w:rFonts w:hint="eastAsia" w:ascii="仿宋_GB2312" w:eastAsia="仿宋_GB2312" w:cs="仿宋_GB2312"/>
                <w:color w:val="000000"/>
                <w:sz w:val="21"/>
                <w:szCs w:val="21"/>
                <w:vertAlign w:val="baseline"/>
                <w:lang w:val="en-US" w:eastAsia="zh-CN"/>
              </w:rPr>
            </w:pPr>
          </w:p>
        </w:tc>
      </w:tr>
      <w:tr w14:paraId="16F8A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 w:hRule="exact"/>
        </w:trPr>
        <w:tc>
          <w:tcPr>
            <w:tcW w:w="890" w:type="dxa"/>
            <w:noWrap w:val="0"/>
            <w:vAlign w:val="center"/>
          </w:tcPr>
          <w:p w14:paraId="373DEA71">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县退役军人事务局</w:t>
            </w:r>
          </w:p>
          <w:p w14:paraId="33C51281">
            <w:pPr>
              <w:jc w:val="center"/>
              <w:rPr>
                <w:rFonts w:hint="eastAsia" w:ascii="仿宋_GB2312" w:eastAsia="仿宋_GB2312" w:cs="仿宋_GB2312"/>
                <w:color w:val="000000"/>
                <w:sz w:val="21"/>
                <w:szCs w:val="21"/>
                <w:vertAlign w:val="baseline"/>
                <w:lang w:val="en-US" w:eastAsia="zh-CN"/>
              </w:rPr>
            </w:pPr>
          </w:p>
        </w:tc>
        <w:tc>
          <w:tcPr>
            <w:tcW w:w="456" w:type="dxa"/>
            <w:noWrap w:val="0"/>
            <w:vAlign w:val="center"/>
          </w:tcPr>
          <w:p w14:paraId="762450C0">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54AA71A2">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lang w:val="en-US" w:eastAsia="zh-CN"/>
              </w:rPr>
              <w:t>深入开展退役军人保障法学习宣传，开展英雄烈士保护法、军人抚恤优待条例、退役士兵安置条例、烈士褒扬条例、军人地位和权益保障法的学习宣传。</w:t>
            </w:r>
          </w:p>
        </w:tc>
        <w:tc>
          <w:tcPr>
            <w:tcW w:w="563" w:type="dxa"/>
            <w:noWrap w:val="0"/>
            <w:vAlign w:val="top"/>
          </w:tcPr>
          <w:p w14:paraId="694B6151">
            <w:pPr>
              <w:jc w:val="center"/>
              <w:rPr>
                <w:rFonts w:hint="eastAsia" w:ascii="仿宋_GB2312" w:eastAsia="仿宋_GB2312" w:cs="仿宋_GB2312"/>
                <w:color w:val="000000"/>
                <w:sz w:val="21"/>
                <w:szCs w:val="21"/>
                <w:vertAlign w:val="baseline"/>
                <w:lang w:val="en-US" w:eastAsia="zh-CN"/>
              </w:rPr>
            </w:pPr>
          </w:p>
        </w:tc>
      </w:tr>
      <w:tr w14:paraId="2993F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exact"/>
        </w:trPr>
        <w:tc>
          <w:tcPr>
            <w:tcW w:w="890" w:type="dxa"/>
            <w:vMerge w:val="restart"/>
            <w:noWrap w:val="0"/>
            <w:vAlign w:val="center"/>
          </w:tcPr>
          <w:p w14:paraId="66ED956F">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县应急管理局</w:t>
            </w:r>
          </w:p>
        </w:tc>
        <w:tc>
          <w:tcPr>
            <w:tcW w:w="456" w:type="dxa"/>
            <w:noWrap w:val="0"/>
            <w:vAlign w:val="center"/>
          </w:tcPr>
          <w:p w14:paraId="48563CB0">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10EF9A9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kern w:val="2"/>
                <w:sz w:val="21"/>
                <w:szCs w:val="24"/>
                <w:lang w:val="en-US" w:eastAsia="zh-CN" w:bidi="ar-SA"/>
              </w:rPr>
              <w:t>紧紧抓住“安全生产月”“防灾减灾日”“国家宪法日”等时段，开展针对性普法。</w:t>
            </w:r>
          </w:p>
        </w:tc>
        <w:tc>
          <w:tcPr>
            <w:tcW w:w="563" w:type="dxa"/>
            <w:noWrap w:val="0"/>
            <w:vAlign w:val="top"/>
          </w:tcPr>
          <w:p w14:paraId="0E66A6A3">
            <w:pPr>
              <w:jc w:val="center"/>
              <w:rPr>
                <w:rFonts w:hint="eastAsia" w:ascii="仿宋_GB2312" w:eastAsia="仿宋_GB2312" w:cs="仿宋_GB2312"/>
                <w:color w:val="000000"/>
                <w:sz w:val="21"/>
                <w:szCs w:val="21"/>
                <w:vertAlign w:val="baseline"/>
                <w:lang w:val="en-US" w:eastAsia="zh-CN"/>
              </w:rPr>
            </w:pPr>
          </w:p>
        </w:tc>
      </w:tr>
      <w:tr w14:paraId="0D59C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3" w:hRule="exact"/>
        </w:trPr>
        <w:tc>
          <w:tcPr>
            <w:tcW w:w="890" w:type="dxa"/>
            <w:vMerge w:val="continue"/>
            <w:noWrap w:val="0"/>
            <w:vAlign w:val="center"/>
          </w:tcPr>
          <w:p w14:paraId="00A365F6">
            <w:pPr>
              <w:jc w:val="center"/>
            </w:pPr>
          </w:p>
        </w:tc>
        <w:tc>
          <w:tcPr>
            <w:tcW w:w="456" w:type="dxa"/>
            <w:noWrap w:val="0"/>
            <w:vAlign w:val="center"/>
          </w:tcPr>
          <w:p w14:paraId="14F82441">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22D8E6D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kern w:val="2"/>
                <w:sz w:val="21"/>
                <w:szCs w:val="24"/>
                <w:lang w:val="en-US" w:eastAsia="zh-CN" w:bidi="ar-SA"/>
              </w:rPr>
              <w:t>认真开展法律法规知识培训学习，重点学习</w:t>
            </w:r>
            <w:r>
              <w:rPr>
                <w:rFonts w:hint="eastAsia" w:ascii="仿宋_GB2312" w:eastAsia="仿宋_GB2312" w:cs="宋体"/>
                <w:color w:val="000000"/>
                <w:lang w:val="en-US" w:eastAsia="zh-CN"/>
              </w:rPr>
              <w:t>宣传普及</w:t>
            </w:r>
            <w:r>
              <w:rPr>
                <w:rFonts w:hint="eastAsia" w:ascii="仿宋_GB2312" w:eastAsia="仿宋_GB2312" w:cs="宋体"/>
                <w:color w:val="000000"/>
                <w:kern w:val="2"/>
                <w:sz w:val="21"/>
                <w:szCs w:val="24"/>
                <w:lang w:val="en-US" w:eastAsia="zh-CN" w:bidi="ar-SA"/>
              </w:rPr>
              <w:t>安全生产法、突发事件应对管理法、防震减灾法、湖南省实施《</w:t>
            </w:r>
            <w:r>
              <w:rPr>
                <w:rFonts w:hint="eastAsia" w:ascii="仿宋_GB2312" w:eastAsia="仿宋_GB2312" w:cs="宋体"/>
                <w:color w:val="000000"/>
                <w:lang w:val="en-US" w:eastAsia="zh-CN"/>
              </w:rPr>
              <w:t>中华人民共和国</w:t>
            </w:r>
            <w:r>
              <w:rPr>
                <w:rFonts w:hint="eastAsia" w:ascii="仿宋_GB2312" w:eastAsia="仿宋_GB2312" w:cs="宋体"/>
                <w:color w:val="000000"/>
                <w:kern w:val="2"/>
                <w:sz w:val="21"/>
                <w:szCs w:val="24"/>
                <w:lang w:val="en-US" w:eastAsia="zh-CN" w:bidi="ar-SA"/>
              </w:rPr>
              <w:t>防震减灾法》办法、建设工程抗震设防监管</w:t>
            </w:r>
            <w:r>
              <w:rPr>
                <w:rFonts w:hint="eastAsia" w:ascii="仿宋_GB2312" w:eastAsia="仿宋_GB2312" w:cs="宋体"/>
                <w:color w:val="000000"/>
                <w:lang w:val="en-US" w:eastAsia="zh-CN"/>
              </w:rPr>
              <w:t>道路交通安全法、防洪法、煤炭法、矿山安全法、消防法、湖南省实施《中华人民共和国消防法》办法、生产安全事故应急条例、自然灾害救助条例、森林防火条例、抗旱条例、防汛条例、地质灾害防治条例、危险化学品安全管理条例、烟花爆竹安全管理条例、生产安全事故报告和调查处理条例、地震安全性评价管理条例、地震监测管理条例、地震监测设施和地震观测环境保护条例、地震预报管理条例、破坏性地震应急条例等法律法规。</w:t>
            </w:r>
          </w:p>
        </w:tc>
        <w:tc>
          <w:tcPr>
            <w:tcW w:w="563" w:type="dxa"/>
            <w:noWrap w:val="0"/>
            <w:vAlign w:val="top"/>
          </w:tcPr>
          <w:p w14:paraId="5935500D">
            <w:pPr>
              <w:jc w:val="center"/>
              <w:rPr>
                <w:rFonts w:hint="eastAsia" w:ascii="仿宋_GB2312" w:eastAsia="仿宋_GB2312" w:cs="仿宋_GB2312"/>
                <w:color w:val="000000"/>
                <w:sz w:val="21"/>
                <w:szCs w:val="21"/>
                <w:vertAlign w:val="baseline"/>
                <w:lang w:val="en-US" w:eastAsia="zh-CN"/>
              </w:rPr>
            </w:pPr>
          </w:p>
        </w:tc>
      </w:tr>
      <w:tr w14:paraId="41B45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exact"/>
        </w:trPr>
        <w:tc>
          <w:tcPr>
            <w:tcW w:w="890" w:type="dxa"/>
            <w:vMerge w:val="restart"/>
            <w:noWrap w:val="0"/>
            <w:vAlign w:val="center"/>
          </w:tcPr>
          <w:p w14:paraId="5643BDDD">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县市场监督管理局</w:t>
            </w:r>
          </w:p>
        </w:tc>
        <w:tc>
          <w:tcPr>
            <w:tcW w:w="456" w:type="dxa"/>
            <w:noWrap w:val="0"/>
            <w:vAlign w:val="center"/>
          </w:tcPr>
          <w:p w14:paraId="70F1EDFE">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0ED2E1A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kern w:val="2"/>
                <w:sz w:val="21"/>
                <w:szCs w:val="24"/>
                <w:lang w:val="en-US" w:eastAsia="zh-CN" w:bidi="ar-SA"/>
              </w:rPr>
              <w:t>充分利用“3・15国际消费者权益日”“知识产权日”“计量日”“标准化日”“质量月”、“12·4”国家宪法日等特殊时间节点，开展专题普法宣传活动。</w:t>
            </w:r>
          </w:p>
        </w:tc>
        <w:tc>
          <w:tcPr>
            <w:tcW w:w="563" w:type="dxa"/>
            <w:noWrap w:val="0"/>
            <w:vAlign w:val="top"/>
          </w:tcPr>
          <w:p w14:paraId="0552A396">
            <w:pPr>
              <w:jc w:val="center"/>
              <w:rPr>
                <w:rFonts w:hint="eastAsia" w:ascii="仿宋_GB2312" w:eastAsia="仿宋_GB2312" w:cs="仿宋_GB2312"/>
                <w:color w:val="000000"/>
                <w:sz w:val="21"/>
                <w:szCs w:val="21"/>
                <w:vertAlign w:val="baseline"/>
                <w:lang w:val="en-US" w:eastAsia="zh-CN"/>
              </w:rPr>
            </w:pPr>
          </w:p>
        </w:tc>
      </w:tr>
      <w:tr w14:paraId="2F7DD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exact"/>
        </w:trPr>
        <w:tc>
          <w:tcPr>
            <w:tcW w:w="890" w:type="dxa"/>
            <w:vMerge w:val="continue"/>
            <w:noWrap w:val="0"/>
            <w:vAlign w:val="center"/>
          </w:tcPr>
          <w:p w14:paraId="7103008E"/>
        </w:tc>
        <w:tc>
          <w:tcPr>
            <w:tcW w:w="456" w:type="dxa"/>
            <w:noWrap w:val="0"/>
            <w:vAlign w:val="center"/>
          </w:tcPr>
          <w:p w14:paraId="5DD78226">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34A48580">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kern w:val="2"/>
                <w:sz w:val="21"/>
                <w:szCs w:val="24"/>
                <w:lang w:val="en-US" w:eastAsia="zh-CN" w:bidi="ar-SA"/>
              </w:rPr>
              <w:t>紧密结合“特种设备安全生产月”、“查农资、保春耕”、食品质量安全等专项检查活动，开展形式多样的普法教育和宣传活动，打击违法犯罪行为、普及法律知识，增强生产经营者法律意识，营造良好的市场法治氛围。</w:t>
            </w:r>
          </w:p>
        </w:tc>
        <w:tc>
          <w:tcPr>
            <w:tcW w:w="563" w:type="dxa"/>
            <w:noWrap w:val="0"/>
            <w:vAlign w:val="top"/>
          </w:tcPr>
          <w:p w14:paraId="12C46190">
            <w:pPr>
              <w:jc w:val="center"/>
              <w:rPr>
                <w:rFonts w:hint="eastAsia" w:ascii="仿宋_GB2312" w:eastAsia="仿宋_GB2312" w:cs="仿宋_GB2312"/>
                <w:color w:val="000000"/>
                <w:sz w:val="21"/>
                <w:szCs w:val="21"/>
                <w:vertAlign w:val="baseline"/>
                <w:lang w:val="en-US" w:eastAsia="zh-CN"/>
              </w:rPr>
            </w:pPr>
          </w:p>
        </w:tc>
      </w:tr>
      <w:tr w14:paraId="45B27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exact"/>
        </w:trPr>
        <w:tc>
          <w:tcPr>
            <w:tcW w:w="890" w:type="dxa"/>
            <w:vMerge w:val="continue"/>
            <w:noWrap w:val="0"/>
            <w:vAlign w:val="center"/>
          </w:tcPr>
          <w:p w14:paraId="40F6246F"/>
        </w:tc>
        <w:tc>
          <w:tcPr>
            <w:tcW w:w="456" w:type="dxa"/>
            <w:noWrap w:val="0"/>
            <w:vAlign w:val="center"/>
          </w:tcPr>
          <w:p w14:paraId="3BBD0EE8">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20C2E18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kern w:val="2"/>
                <w:sz w:val="21"/>
                <w:szCs w:val="24"/>
                <w:lang w:val="en-US" w:eastAsia="zh-CN" w:bidi="ar-SA"/>
              </w:rPr>
              <w:t>重点学习宣传市场监督管理行政处罚程序规定、公司法、反垄断法、价格法、反不正当竞争法、食品安全法、产品质量法、广告法、药品管理法、中华人民共和国特种设备安全法、商标法、专利法、湖南省专利条例、标准化法等法律法规规章。</w:t>
            </w:r>
          </w:p>
        </w:tc>
        <w:tc>
          <w:tcPr>
            <w:tcW w:w="563" w:type="dxa"/>
            <w:noWrap w:val="0"/>
            <w:vAlign w:val="top"/>
          </w:tcPr>
          <w:p w14:paraId="1F6EE5A9">
            <w:pPr>
              <w:jc w:val="center"/>
              <w:rPr>
                <w:rFonts w:hint="eastAsia" w:ascii="仿宋_GB2312" w:eastAsia="仿宋_GB2312" w:cs="仿宋_GB2312"/>
                <w:color w:val="000000"/>
                <w:sz w:val="21"/>
                <w:szCs w:val="21"/>
                <w:vertAlign w:val="baseline"/>
                <w:lang w:val="en-US" w:eastAsia="zh-CN"/>
              </w:rPr>
            </w:pPr>
          </w:p>
        </w:tc>
      </w:tr>
      <w:tr w14:paraId="5CADD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exact"/>
        </w:trPr>
        <w:tc>
          <w:tcPr>
            <w:tcW w:w="890" w:type="dxa"/>
            <w:noWrap w:val="0"/>
            <w:vAlign w:val="center"/>
          </w:tcPr>
          <w:p w14:paraId="4822629D">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县统计局</w:t>
            </w:r>
          </w:p>
        </w:tc>
        <w:tc>
          <w:tcPr>
            <w:tcW w:w="456" w:type="dxa"/>
            <w:noWrap w:val="0"/>
            <w:vAlign w:val="center"/>
          </w:tcPr>
          <w:p w14:paraId="29519CF4">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0A890CF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kern w:val="2"/>
                <w:sz w:val="21"/>
                <w:szCs w:val="24"/>
                <w:lang w:val="en-US" w:eastAsia="zh-CN" w:bidi="ar-SA"/>
              </w:rPr>
              <w:t>开展统计法集中宣传月活动和12.8统计法宣传日活动。重点宣传普及统计法、统计法实施条例、经济普查条例、农业普查条例、人口普查条例、湖南省统计管理条例等法律法规。</w:t>
            </w:r>
          </w:p>
        </w:tc>
        <w:tc>
          <w:tcPr>
            <w:tcW w:w="563" w:type="dxa"/>
            <w:noWrap w:val="0"/>
            <w:vAlign w:val="top"/>
          </w:tcPr>
          <w:p w14:paraId="24565632">
            <w:pPr>
              <w:jc w:val="center"/>
              <w:rPr>
                <w:rFonts w:hint="eastAsia" w:ascii="仿宋_GB2312" w:eastAsia="仿宋_GB2312" w:cs="仿宋_GB2312"/>
                <w:color w:val="000000"/>
                <w:sz w:val="21"/>
                <w:szCs w:val="21"/>
                <w:vertAlign w:val="baseline"/>
                <w:lang w:val="en-US" w:eastAsia="zh-CN"/>
              </w:rPr>
            </w:pPr>
          </w:p>
        </w:tc>
      </w:tr>
      <w:tr w14:paraId="3F1EA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exact"/>
        </w:trPr>
        <w:tc>
          <w:tcPr>
            <w:tcW w:w="890" w:type="dxa"/>
            <w:noWrap w:val="0"/>
            <w:vAlign w:val="center"/>
          </w:tcPr>
          <w:p w14:paraId="5818AC24">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县城管执法局</w:t>
            </w:r>
          </w:p>
        </w:tc>
        <w:tc>
          <w:tcPr>
            <w:tcW w:w="456" w:type="dxa"/>
            <w:noWrap w:val="0"/>
            <w:vAlign w:val="center"/>
          </w:tcPr>
          <w:p w14:paraId="47B4CF3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1</w:t>
            </w:r>
          </w:p>
        </w:tc>
        <w:tc>
          <w:tcPr>
            <w:tcW w:w="13217" w:type="dxa"/>
            <w:noWrap w:val="0"/>
            <w:vAlign w:val="center"/>
          </w:tcPr>
          <w:p w14:paraId="437AC9F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利用安全生产月、城市绿化周等重要时间节点开展集中普法宣传活动，宣传普及行政许可法、行政处罚法、行政强制法、建筑法、招标投标法、湘潭市城市市容和环境卫生管理条例、湘潭市城市绿化条例、湘潭市城市户外广告和招牌设置管理办法、大气污染防治法、城镇燃气管理条例等法律法规。</w:t>
            </w:r>
          </w:p>
        </w:tc>
        <w:tc>
          <w:tcPr>
            <w:tcW w:w="563" w:type="dxa"/>
            <w:noWrap w:val="0"/>
            <w:vAlign w:val="top"/>
          </w:tcPr>
          <w:p w14:paraId="47A74ABA">
            <w:pPr>
              <w:jc w:val="center"/>
              <w:rPr>
                <w:rFonts w:hint="eastAsia" w:ascii="仿宋_GB2312" w:eastAsia="仿宋_GB2312" w:cs="仿宋_GB2312"/>
                <w:color w:val="000000"/>
                <w:sz w:val="21"/>
                <w:szCs w:val="21"/>
                <w:vertAlign w:val="baseline"/>
                <w:lang w:val="en-US" w:eastAsia="zh-CN"/>
              </w:rPr>
            </w:pPr>
          </w:p>
        </w:tc>
      </w:tr>
      <w:tr w14:paraId="0CDE4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exact"/>
        </w:trPr>
        <w:tc>
          <w:tcPr>
            <w:tcW w:w="890" w:type="dxa"/>
            <w:noWrap w:val="0"/>
            <w:vAlign w:val="center"/>
          </w:tcPr>
          <w:p w14:paraId="2BF41E49">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县金融办</w:t>
            </w:r>
          </w:p>
        </w:tc>
        <w:tc>
          <w:tcPr>
            <w:tcW w:w="456" w:type="dxa"/>
            <w:noWrap w:val="0"/>
            <w:vAlign w:val="center"/>
          </w:tcPr>
          <w:p w14:paraId="3B82D541">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7157BAA2">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开展6.15防范和处置非法集资主题宣传活动。重点宣传普及防范和处置非法集资条例等方面的法律法规。</w:t>
            </w:r>
          </w:p>
        </w:tc>
        <w:tc>
          <w:tcPr>
            <w:tcW w:w="563" w:type="dxa"/>
            <w:noWrap w:val="0"/>
            <w:vAlign w:val="top"/>
          </w:tcPr>
          <w:p w14:paraId="4A8718EA">
            <w:pPr>
              <w:jc w:val="center"/>
              <w:rPr>
                <w:rFonts w:hint="eastAsia" w:ascii="仿宋_GB2312" w:eastAsia="仿宋_GB2312" w:cs="仿宋_GB2312"/>
                <w:color w:val="000000"/>
                <w:sz w:val="21"/>
                <w:szCs w:val="21"/>
                <w:vertAlign w:val="baseline"/>
                <w:lang w:val="en-US" w:eastAsia="zh-CN"/>
              </w:rPr>
            </w:pPr>
          </w:p>
        </w:tc>
      </w:tr>
      <w:tr w14:paraId="397EB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exact"/>
        </w:trPr>
        <w:tc>
          <w:tcPr>
            <w:tcW w:w="890" w:type="dxa"/>
            <w:vMerge w:val="restart"/>
            <w:noWrap w:val="0"/>
            <w:vAlign w:val="center"/>
          </w:tcPr>
          <w:p w14:paraId="2488346A">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县信访局</w:t>
            </w:r>
          </w:p>
        </w:tc>
        <w:tc>
          <w:tcPr>
            <w:tcW w:w="456" w:type="dxa"/>
            <w:noWrap w:val="0"/>
            <w:vAlign w:val="center"/>
          </w:tcPr>
          <w:p w14:paraId="29F1246C">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320E5F8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kern w:val="2"/>
                <w:sz w:val="21"/>
                <w:szCs w:val="24"/>
                <w:lang w:val="en-US" w:eastAsia="zh-CN" w:bidi="ar-SA"/>
              </w:rPr>
              <w:t>组织开展信访工作条例宣传月暨第五个信访法治宣传月活动，结合学习宣传贯彻实施《关于加强新时代网上信访工作的意见》，开展“网上信访”宣传周活动，采取横幅标语、网站专栏、电子屏滚动、现场宣传等宣传方式进行宣传。</w:t>
            </w:r>
          </w:p>
        </w:tc>
        <w:tc>
          <w:tcPr>
            <w:tcW w:w="563" w:type="dxa"/>
            <w:noWrap w:val="0"/>
            <w:vAlign w:val="top"/>
          </w:tcPr>
          <w:p w14:paraId="73F54FE8">
            <w:pPr>
              <w:jc w:val="center"/>
              <w:rPr>
                <w:rFonts w:hint="eastAsia" w:ascii="仿宋_GB2312" w:eastAsia="仿宋_GB2312" w:cs="仿宋_GB2312"/>
                <w:color w:val="000000"/>
                <w:sz w:val="21"/>
                <w:szCs w:val="21"/>
                <w:vertAlign w:val="baseline"/>
                <w:lang w:val="en-US" w:eastAsia="zh-CN"/>
              </w:rPr>
            </w:pPr>
          </w:p>
        </w:tc>
      </w:tr>
      <w:tr w14:paraId="3726C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trPr>
        <w:tc>
          <w:tcPr>
            <w:tcW w:w="890" w:type="dxa"/>
            <w:vMerge w:val="continue"/>
            <w:noWrap w:val="0"/>
            <w:vAlign w:val="center"/>
          </w:tcPr>
          <w:p w14:paraId="7529CF0B"/>
        </w:tc>
        <w:tc>
          <w:tcPr>
            <w:tcW w:w="456" w:type="dxa"/>
            <w:noWrap w:val="0"/>
            <w:vAlign w:val="center"/>
          </w:tcPr>
          <w:p w14:paraId="32D85467">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74C6CC7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重点宣传信访工作条例、中国共产党信访工作条例、湖南省信访条例等信访法规规章。</w:t>
            </w:r>
          </w:p>
        </w:tc>
        <w:tc>
          <w:tcPr>
            <w:tcW w:w="563" w:type="dxa"/>
            <w:noWrap w:val="0"/>
            <w:vAlign w:val="top"/>
          </w:tcPr>
          <w:p w14:paraId="2025C55F">
            <w:pPr>
              <w:jc w:val="center"/>
              <w:rPr>
                <w:rFonts w:hint="eastAsia" w:ascii="仿宋_GB2312" w:eastAsia="仿宋_GB2312" w:cs="仿宋_GB2312"/>
                <w:color w:val="000000"/>
                <w:sz w:val="21"/>
                <w:szCs w:val="21"/>
                <w:vertAlign w:val="baseline"/>
                <w:lang w:val="en-US" w:eastAsia="zh-CN"/>
              </w:rPr>
            </w:pPr>
          </w:p>
        </w:tc>
      </w:tr>
      <w:tr w14:paraId="38158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exact"/>
        </w:trPr>
        <w:tc>
          <w:tcPr>
            <w:tcW w:w="890" w:type="dxa"/>
            <w:noWrap w:val="0"/>
            <w:vAlign w:val="center"/>
          </w:tcPr>
          <w:p w14:paraId="14B8DE7C">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县医疗保障局</w:t>
            </w:r>
          </w:p>
        </w:tc>
        <w:tc>
          <w:tcPr>
            <w:tcW w:w="456" w:type="dxa"/>
            <w:noWrap w:val="0"/>
            <w:vAlign w:val="center"/>
          </w:tcPr>
          <w:p w14:paraId="27BDF66D">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253E024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组织开展基本医疗卫生与健康促进法、社会保险法、医疗保障基金使用监管条例以及医疗保险、生育保险、医疗救助筹资和管理等医疗保障领域的法律法规宣传。</w:t>
            </w:r>
          </w:p>
        </w:tc>
        <w:tc>
          <w:tcPr>
            <w:tcW w:w="563" w:type="dxa"/>
            <w:noWrap w:val="0"/>
            <w:vAlign w:val="top"/>
          </w:tcPr>
          <w:p w14:paraId="26B0FE27">
            <w:pPr>
              <w:jc w:val="center"/>
              <w:rPr>
                <w:rFonts w:hint="eastAsia" w:ascii="仿宋_GB2312" w:eastAsia="仿宋_GB2312" w:cs="仿宋_GB2312"/>
                <w:color w:val="000000"/>
                <w:sz w:val="21"/>
                <w:szCs w:val="21"/>
                <w:vertAlign w:val="baseline"/>
                <w:lang w:val="en-US" w:eastAsia="zh-CN"/>
              </w:rPr>
            </w:pPr>
          </w:p>
        </w:tc>
      </w:tr>
      <w:tr w14:paraId="400FA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exact"/>
        </w:trPr>
        <w:tc>
          <w:tcPr>
            <w:tcW w:w="890" w:type="dxa"/>
            <w:vMerge w:val="restart"/>
            <w:noWrap w:val="0"/>
            <w:vAlign w:val="center"/>
          </w:tcPr>
          <w:p w14:paraId="0531F22C">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县机关事务中心</w:t>
            </w:r>
          </w:p>
        </w:tc>
        <w:tc>
          <w:tcPr>
            <w:tcW w:w="456" w:type="dxa"/>
            <w:noWrap w:val="0"/>
            <w:vAlign w:val="center"/>
          </w:tcPr>
          <w:p w14:paraId="7924F6F7">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65B4EEE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kern w:val="2"/>
                <w:sz w:val="21"/>
                <w:szCs w:val="24"/>
                <w:lang w:val="en-US" w:eastAsia="zh-CN" w:bidi="ar-SA"/>
              </w:rPr>
              <w:t>面向各级党政机关、事业单位以及其他公共机构开展反食品浪费法、党政机关厉行节约反对浪费条例、公共机构节能条例专题学习宣传，规范公共机构节能管理，推动构建绿色低碳节约型社会。</w:t>
            </w:r>
          </w:p>
        </w:tc>
        <w:tc>
          <w:tcPr>
            <w:tcW w:w="563" w:type="dxa"/>
            <w:noWrap w:val="0"/>
            <w:vAlign w:val="top"/>
          </w:tcPr>
          <w:p w14:paraId="78399D39">
            <w:pPr>
              <w:jc w:val="center"/>
              <w:rPr>
                <w:rFonts w:hint="eastAsia" w:ascii="仿宋_GB2312" w:eastAsia="仿宋_GB2312" w:cs="仿宋_GB2312"/>
                <w:color w:val="000000"/>
                <w:sz w:val="21"/>
                <w:szCs w:val="21"/>
                <w:vertAlign w:val="baseline"/>
                <w:lang w:val="en-US" w:eastAsia="zh-CN"/>
              </w:rPr>
            </w:pPr>
          </w:p>
        </w:tc>
      </w:tr>
      <w:tr w14:paraId="2326A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890" w:type="dxa"/>
            <w:vMerge w:val="continue"/>
            <w:noWrap w:val="0"/>
            <w:vAlign w:val="center"/>
          </w:tcPr>
          <w:p w14:paraId="19E4039B"/>
        </w:tc>
        <w:tc>
          <w:tcPr>
            <w:tcW w:w="456" w:type="dxa"/>
            <w:noWrap w:val="0"/>
            <w:vAlign w:val="center"/>
          </w:tcPr>
          <w:p w14:paraId="15B99036">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5594FBF0">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kern w:val="2"/>
                <w:sz w:val="21"/>
                <w:szCs w:val="24"/>
                <w:lang w:val="en-US" w:eastAsia="zh-CN" w:bidi="ar-SA"/>
              </w:rPr>
              <w:t>重点宣传普及机关事务管理条例、湖南省实施机关事务管理条例办法、湖南省党政机关公务用车管理实施办法、湘潭市市直党政机关办公用房管理实施办法，加强政府及机关部门机关事务管理和运作的法治意识。</w:t>
            </w:r>
          </w:p>
        </w:tc>
        <w:tc>
          <w:tcPr>
            <w:tcW w:w="563" w:type="dxa"/>
            <w:noWrap w:val="0"/>
            <w:vAlign w:val="top"/>
          </w:tcPr>
          <w:p w14:paraId="0F91A389">
            <w:pPr>
              <w:jc w:val="center"/>
              <w:rPr>
                <w:rFonts w:hint="eastAsia" w:ascii="仿宋_GB2312" w:eastAsia="仿宋_GB2312" w:cs="仿宋_GB2312"/>
                <w:color w:val="000000"/>
                <w:sz w:val="21"/>
                <w:szCs w:val="21"/>
                <w:vertAlign w:val="baseline"/>
                <w:lang w:val="en-US" w:eastAsia="zh-CN"/>
              </w:rPr>
            </w:pPr>
          </w:p>
        </w:tc>
      </w:tr>
      <w:tr w14:paraId="2D821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exact"/>
        </w:trPr>
        <w:tc>
          <w:tcPr>
            <w:tcW w:w="890" w:type="dxa"/>
            <w:vMerge w:val="restart"/>
            <w:noWrap w:val="0"/>
            <w:vAlign w:val="center"/>
          </w:tcPr>
          <w:p w14:paraId="74A4786E">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县法院</w:t>
            </w:r>
          </w:p>
        </w:tc>
        <w:tc>
          <w:tcPr>
            <w:tcW w:w="456" w:type="dxa"/>
            <w:noWrap w:val="0"/>
            <w:vAlign w:val="center"/>
          </w:tcPr>
          <w:p w14:paraId="03475AF2">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34A11FA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kern w:val="2"/>
                <w:sz w:val="21"/>
                <w:szCs w:val="24"/>
                <w:lang w:val="en-US" w:eastAsia="zh-CN" w:bidi="ar-SA"/>
              </w:rPr>
              <w:t>结合</w:t>
            </w:r>
            <w:r>
              <w:rPr>
                <w:rFonts w:hint="eastAsia" w:ascii="仿宋_GB2312" w:eastAsia="仿宋_GB2312" w:cs="宋体"/>
                <w:color w:val="000000"/>
                <w:lang w:val="en-US" w:eastAsia="zh-CN"/>
              </w:rPr>
              <w:t>“12·4”</w:t>
            </w:r>
            <w:r>
              <w:rPr>
                <w:rFonts w:hint="eastAsia" w:ascii="仿宋_GB2312" w:eastAsia="仿宋_GB2312" w:cs="宋体"/>
                <w:color w:val="000000"/>
                <w:kern w:val="2"/>
                <w:sz w:val="21"/>
                <w:szCs w:val="24"/>
                <w:lang w:val="en-US" w:eastAsia="zh-CN" w:bidi="ar-SA"/>
              </w:rPr>
              <w:t>国家宪法日、法律实施日和重大节日，积极开展各类普法送法活动。</w:t>
            </w:r>
          </w:p>
        </w:tc>
        <w:tc>
          <w:tcPr>
            <w:tcW w:w="563" w:type="dxa"/>
            <w:noWrap w:val="0"/>
            <w:vAlign w:val="top"/>
          </w:tcPr>
          <w:p w14:paraId="2430F18D">
            <w:pPr>
              <w:jc w:val="center"/>
              <w:rPr>
                <w:rFonts w:hint="eastAsia" w:ascii="仿宋_GB2312" w:eastAsia="仿宋_GB2312" w:cs="仿宋_GB2312"/>
                <w:color w:val="000000"/>
                <w:sz w:val="21"/>
                <w:szCs w:val="21"/>
                <w:vertAlign w:val="baseline"/>
                <w:lang w:val="en-US" w:eastAsia="zh-CN"/>
              </w:rPr>
            </w:pPr>
          </w:p>
        </w:tc>
      </w:tr>
      <w:tr w14:paraId="01400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exact"/>
        </w:trPr>
        <w:tc>
          <w:tcPr>
            <w:tcW w:w="890" w:type="dxa"/>
            <w:vMerge w:val="continue"/>
            <w:noWrap w:val="0"/>
            <w:vAlign w:val="center"/>
          </w:tcPr>
          <w:p w14:paraId="21872D8F"/>
        </w:tc>
        <w:tc>
          <w:tcPr>
            <w:tcW w:w="456" w:type="dxa"/>
            <w:noWrap w:val="0"/>
            <w:vAlign w:val="center"/>
          </w:tcPr>
          <w:p w14:paraId="4DCBDDF3">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05A0D4C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开展“送法进乡村 法治助振兴”送法下乡活动。常态化开展“公众开放日”活动，配合国家机关组织开展国家工作人员旁听庭审。</w:t>
            </w:r>
          </w:p>
        </w:tc>
        <w:tc>
          <w:tcPr>
            <w:tcW w:w="563" w:type="dxa"/>
            <w:noWrap w:val="0"/>
            <w:vAlign w:val="top"/>
          </w:tcPr>
          <w:p w14:paraId="7A2635D8">
            <w:pPr>
              <w:jc w:val="center"/>
              <w:rPr>
                <w:rFonts w:hint="eastAsia" w:ascii="仿宋_GB2312" w:eastAsia="仿宋_GB2312" w:cs="仿宋_GB2312"/>
                <w:color w:val="000000"/>
                <w:sz w:val="21"/>
                <w:szCs w:val="21"/>
                <w:vertAlign w:val="baseline"/>
                <w:lang w:val="en-US" w:eastAsia="zh-CN"/>
              </w:rPr>
            </w:pPr>
          </w:p>
        </w:tc>
      </w:tr>
      <w:tr w14:paraId="59307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exact"/>
        </w:trPr>
        <w:tc>
          <w:tcPr>
            <w:tcW w:w="890" w:type="dxa"/>
            <w:vMerge w:val="continue"/>
            <w:noWrap w:val="0"/>
            <w:vAlign w:val="center"/>
          </w:tcPr>
          <w:p w14:paraId="0E2735BC"/>
        </w:tc>
        <w:tc>
          <w:tcPr>
            <w:tcW w:w="456" w:type="dxa"/>
            <w:noWrap w:val="0"/>
            <w:vAlign w:val="center"/>
          </w:tcPr>
          <w:p w14:paraId="08B25DE3">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0FB46EEC">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重点宣传普及刑法、刑事诉讼法、民法典、民事诉讼法、行政诉讼法、行政处罚法、行政强制法、国家赔偿法、未成年人保护法、预防未成年人犯罪法、妇女权益保障法、反家庭暴力法、老年人权益保障法、劳动法、劳动合同法、消费者权益保护法、产品质量法、公司法、企业破产法、反不正当竞争法、专利法、反有组织犯罪法等法律法规。</w:t>
            </w:r>
          </w:p>
        </w:tc>
        <w:tc>
          <w:tcPr>
            <w:tcW w:w="563" w:type="dxa"/>
            <w:noWrap w:val="0"/>
            <w:vAlign w:val="top"/>
          </w:tcPr>
          <w:p w14:paraId="7B2267C6">
            <w:pPr>
              <w:jc w:val="center"/>
              <w:rPr>
                <w:rFonts w:hint="eastAsia" w:ascii="仿宋_GB2312" w:eastAsia="仿宋_GB2312" w:cs="仿宋_GB2312"/>
                <w:color w:val="000000"/>
                <w:sz w:val="21"/>
                <w:szCs w:val="21"/>
                <w:vertAlign w:val="baseline"/>
                <w:lang w:val="en-US" w:eastAsia="zh-CN"/>
              </w:rPr>
            </w:pPr>
          </w:p>
        </w:tc>
      </w:tr>
      <w:tr w14:paraId="1509F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exact"/>
        </w:trPr>
        <w:tc>
          <w:tcPr>
            <w:tcW w:w="890" w:type="dxa"/>
            <w:vMerge w:val="restart"/>
            <w:noWrap w:val="0"/>
            <w:vAlign w:val="center"/>
          </w:tcPr>
          <w:p w14:paraId="5A2C6DA1">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县检察院</w:t>
            </w:r>
          </w:p>
        </w:tc>
        <w:tc>
          <w:tcPr>
            <w:tcW w:w="456" w:type="dxa"/>
            <w:noWrap w:val="0"/>
            <w:vAlign w:val="center"/>
          </w:tcPr>
          <w:p w14:paraId="17575EB4">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77B11E0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kern w:val="2"/>
                <w:sz w:val="21"/>
                <w:szCs w:val="24"/>
                <w:lang w:val="en-US" w:eastAsia="zh-CN" w:bidi="ar-SA"/>
              </w:rPr>
              <w:t>持续开展预防青少年犯罪“法治进校园”活动。依托法治副校长，深化开展送法进校园进社区进乡村活动。制定并提供“预防校园欺凌、网络安全与犯罪预防、禁毒教育、预防性侵与自我保护、留守未成年人保护”等为主题的菜单式法治服务。</w:t>
            </w:r>
          </w:p>
        </w:tc>
        <w:tc>
          <w:tcPr>
            <w:tcW w:w="563" w:type="dxa"/>
            <w:noWrap w:val="0"/>
            <w:vAlign w:val="top"/>
          </w:tcPr>
          <w:p w14:paraId="24C2958E">
            <w:pPr>
              <w:jc w:val="center"/>
              <w:rPr>
                <w:rFonts w:hint="eastAsia" w:ascii="仿宋_GB2312" w:eastAsia="仿宋_GB2312" w:cs="仿宋_GB2312"/>
                <w:color w:val="000000"/>
                <w:sz w:val="21"/>
                <w:szCs w:val="21"/>
                <w:vertAlign w:val="baseline"/>
                <w:lang w:val="en-US" w:eastAsia="zh-CN"/>
              </w:rPr>
            </w:pPr>
          </w:p>
        </w:tc>
      </w:tr>
      <w:tr w14:paraId="5D486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exact"/>
        </w:trPr>
        <w:tc>
          <w:tcPr>
            <w:tcW w:w="890" w:type="dxa"/>
            <w:vMerge w:val="continue"/>
            <w:noWrap w:val="0"/>
            <w:vAlign w:val="center"/>
          </w:tcPr>
          <w:p w14:paraId="7E5A0FDD"/>
        </w:tc>
        <w:tc>
          <w:tcPr>
            <w:tcW w:w="456" w:type="dxa"/>
            <w:noWrap w:val="0"/>
            <w:vAlign w:val="center"/>
          </w:tcPr>
          <w:p w14:paraId="56649F3B">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1B3D4862">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kern w:val="2"/>
                <w:sz w:val="21"/>
                <w:szCs w:val="24"/>
                <w:lang w:val="en-US" w:eastAsia="zh-CN" w:bidi="ar-SA"/>
              </w:rPr>
              <w:t>在世界水日、地球日、环境日等重要生态环保节日，联合生态环保、水利、自然资源等部门共同开展生态环境与资源保护主题宣传活动，让公益诉讼走进平常百姓家。</w:t>
            </w:r>
          </w:p>
        </w:tc>
        <w:tc>
          <w:tcPr>
            <w:tcW w:w="563" w:type="dxa"/>
            <w:noWrap w:val="0"/>
            <w:vAlign w:val="top"/>
          </w:tcPr>
          <w:p w14:paraId="7E962D73">
            <w:pPr>
              <w:jc w:val="center"/>
              <w:rPr>
                <w:rFonts w:hint="eastAsia" w:ascii="仿宋_GB2312" w:eastAsia="仿宋_GB2312" w:cs="仿宋_GB2312"/>
                <w:color w:val="000000"/>
                <w:sz w:val="21"/>
                <w:szCs w:val="21"/>
                <w:vertAlign w:val="baseline"/>
                <w:lang w:val="en-US" w:eastAsia="zh-CN"/>
              </w:rPr>
            </w:pPr>
          </w:p>
        </w:tc>
      </w:tr>
      <w:tr w14:paraId="743E7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exact"/>
        </w:trPr>
        <w:tc>
          <w:tcPr>
            <w:tcW w:w="890" w:type="dxa"/>
            <w:vMerge w:val="continue"/>
            <w:noWrap w:val="0"/>
            <w:vAlign w:val="center"/>
          </w:tcPr>
          <w:p w14:paraId="1B95E293"/>
        </w:tc>
        <w:tc>
          <w:tcPr>
            <w:tcW w:w="456" w:type="dxa"/>
            <w:noWrap w:val="0"/>
            <w:vAlign w:val="center"/>
          </w:tcPr>
          <w:p w14:paraId="103473E5">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178CAD78">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重点宣传普及刑法、刑事诉讼法、民法典、民事诉讼法、行政诉讼法、行政处罚法、行政强制法、国家赔偿法、社区矫正法、未成年人保护法、预防未成年人犯罪法、妇女权益保障法、反家庭暴力法、老年人权益保障法、劳动法、劳动合同法、消费者权益保护法、产品质量法、公司法、企业破产法、反不正当竞争法、专利法、反有组织犯罪法等法律法规。</w:t>
            </w:r>
          </w:p>
        </w:tc>
        <w:tc>
          <w:tcPr>
            <w:tcW w:w="563" w:type="dxa"/>
            <w:noWrap w:val="0"/>
            <w:vAlign w:val="top"/>
          </w:tcPr>
          <w:p w14:paraId="2B482422">
            <w:pPr>
              <w:jc w:val="center"/>
              <w:rPr>
                <w:rFonts w:hint="eastAsia" w:ascii="仿宋_GB2312" w:eastAsia="仿宋_GB2312" w:cs="仿宋_GB2312"/>
                <w:color w:val="000000"/>
                <w:sz w:val="21"/>
                <w:szCs w:val="21"/>
                <w:vertAlign w:val="baseline"/>
                <w:lang w:val="en-US" w:eastAsia="zh-CN"/>
              </w:rPr>
            </w:pPr>
          </w:p>
        </w:tc>
      </w:tr>
      <w:tr w14:paraId="0DB2F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exact"/>
        </w:trPr>
        <w:tc>
          <w:tcPr>
            <w:tcW w:w="890" w:type="dxa"/>
            <w:vMerge w:val="continue"/>
            <w:noWrap w:val="0"/>
            <w:vAlign w:val="center"/>
          </w:tcPr>
          <w:p w14:paraId="5C19CEE9"/>
        </w:tc>
        <w:tc>
          <w:tcPr>
            <w:tcW w:w="456" w:type="dxa"/>
            <w:noWrap w:val="0"/>
            <w:vAlign w:val="center"/>
          </w:tcPr>
          <w:p w14:paraId="4C788A5F">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4</w:t>
            </w:r>
          </w:p>
        </w:tc>
        <w:tc>
          <w:tcPr>
            <w:tcW w:w="13217" w:type="dxa"/>
            <w:noWrap w:val="0"/>
            <w:vAlign w:val="center"/>
          </w:tcPr>
          <w:p w14:paraId="7A2A3783">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发挥公开听证制度的普法功能。对社会关注度高、影响广的群体性、疑难复杂案件，积极引入公开听证模式，在矛盾化解的同时强化个案普法。积极邀请人大代表、政协委员、律师等社会第三方力量参与公开听证，发挥第三方的矛盾化解与检察普法作用。</w:t>
            </w:r>
          </w:p>
        </w:tc>
        <w:tc>
          <w:tcPr>
            <w:tcW w:w="563" w:type="dxa"/>
            <w:noWrap w:val="0"/>
            <w:vAlign w:val="top"/>
          </w:tcPr>
          <w:p w14:paraId="79DD9A98">
            <w:pPr>
              <w:jc w:val="center"/>
              <w:rPr>
                <w:rFonts w:hint="eastAsia" w:ascii="仿宋_GB2312" w:eastAsia="仿宋_GB2312" w:cs="仿宋_GB2312"/>
                <w:color w:val="000000"/>
                <w:sz w:val="21"/>
                <w:szCs w:val="21"/>
                <w:vertAlign w:val="baseline"/>
                <w:lang w:val="en-US" w:eastAsia="zh-CN"/>
              </w:rPr>
            </w:pPr>
          </w:p>
        </w:tc>
      </w:tr>
      <w:tr w14:paraId="1954D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exact"/>
        </w:trPr>
        <w:tc>
          <w:tcPr>
            <w:tcW w:w="890" w:type="dxa"/>
            <w:vMerge w:val="restart"/>
            <w:noWrap w:val="0"/>
            <w:vAlign w:val="center"/>
          </w:tcPr>
          <w:p w14:paraId="670CAE66">
            <w:pPr>
              <w:jc w:val="center"/>
              <w:rPr>
                <w:rFonts w:hint="eastAsia" w:ascii="仿宋_GB2312" w:eastAsia="仿宋_GB2312" w:cs="仿宋_GB2312"/>
                <w:color w:val="000000"/>
                <w:sz w:val="21"/>
                <w:szCs w:val="21"/>
                <w:vertAlign w:val="baseline"/>
                <w:lang w:val="en-US" w:eastAsia="zh-CN"/>
              </w:rPr>
            </w:pPr>
            <w:r>
              <w:rPr>
                <w:rFonts w:hint="eastAsia" w:ascii="仿宋_GB2312" w:hAnsi="仿宋_GB2312" w:eastAsia="仿宋_GB2312" w:cs="仿宋_GB2312"/>
                <w:color w:val="000000"/>
                <w:sz w:val="21"/>
                <w:szCs w:val="21"/>
                <w:vertAlign w:val="baseline"/>
                <w:lang w:val="en-US" w:eastAsia="zh-CN"/>
              </w:rPr>
              <w:t>★</w:t>
            </w:r>
            <w:r>
              <w:rPr>
                <w:rFonts w:hint="eastAsia" w:ascii="仿宋_GB2312" w:eastAsia="仿宋_GB2312" w:cs="仿宋_GB2312"/>
                <w:color w:val="000000"/>
                <w:sz w:val="21"/>
                <w:szCs w:val="21"/>
                <w:vertAlign w:val="baseline"/>
                <w:lang w:val="en-US" w:eastAsia="zh-CN"/>
              </w:rPr>
              <w:t>县公安局</w:t>
            </w:r>
          </w:p>
        </w:tc>
        <w:tc>
          <w:tcPr>
            <w:tcW w:w="456" w:type="dxa"/>
            <w:noWrap w:val="0"/>
            <w:vAlign w:val="center"/>
          </w:tcPr>
          <w:p w14:paraId="73269C8B">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758D80B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kern w:val="2"/>
                <w:sz w:val="21"/>
                <w:szCs w:val="24"/>
                <w:lang w:val="en-US" w:eastAsia="zh-CN" w:bidi="ar-SA"/>
              </w:rPr>
              <w:t>督促指导各个业务警种根据本部门的执法特点以法律进机关、进乡村、进社区、进学校、进企业、进单位等为载体，开展形式多样的普法宣传教育，让更多的群众熟悉公安法律法规，引导广大群众和企业自觉守法，提升防范不法侵害的能力和意识。</w:t>
            </w:r>
          </w:p>
        </w:tc>
        <w:tc>
          <w:tcPr>
            <w:tcW w:w="563" w:type="dxa"/>
            <w:noWrap w:val="0"/>
            <w:vAlign w:val="top"/>
          </w:tcPr>
          <w:p w14:paraId="53114F68">
            <w:pPr>
              <w:jc w:val="center"/>
              <w:rPr>
                <w:rFonts w:hint="eastAsia" w:ascii="仿宋_GB2312" w:eastAsia="仿宋_GB2312" w:cs="仿宋_GB2312"/>
                <w:color w:val="000000"/>
                <w:sz w:val="21"/>
                <w:szCs w:val="21"/>
                <w:vertAlign w:val="baseline"/>
                <w:lang w:val="en-US" w:eastAsia="zh-CN"/>
              </w:rPr>
            </w:pPr>
          </w:p>
        </w:tc>
      </w:tr>
      <w:tr w14:paraId="6968D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exact"/>
        </w:trPr>
        <w:tc>
          <w:tcPr>
            <w:tcW w:w="890" w:type="dxa"/>
            <w:vMerge w:val="continue"/>
            <w:noWrap w:val="0"/>
            <w:vAlign w:val="center"/>
          </w:tcPr>
          <w:p w14:paraId="2C41D55F"/>
        </w:tc>
        <w:tc>
          <w:tcPr>
            <w:tcW w:w="456" w:type="dxa"/>
            <w:noWrap w:val="0"/>
            <w:vAlign w:val="center"/>
          </w:tcPr>
          <w:p w14:paraId="6299B462">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278B0CA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 w:eastAsia="仿宋" w:cs="宋体"/>
                <w:color w:val="000000"/>
                <w:kern w:val="0"/>
                <w:sz w:val="24"/>
              </w:rPr>
            </w:pPr>
            <w:r>
              <w:rPr>
                <w:rFonts w:hint="eastAsia" w:ascii="仿宋_GB2312" w:eastAsia="仿宋_GB2312" w:cs="宋体"/>
                <w:color w:val="000000"/>
                <w:kern w:val="2"/>
                <w:sz w:val="21"/>
                <w:szCs w:val="24"/>
                <w:lang w:val="en-US" w:eastAsia="zh-CN" w:bidi="ar-SA"/>
              </w:rPr>
              <w:t>充分利用“1.10”宣传周、“5.15”全国打击和防范经济犯罪宣传日、“6.26”国际禁毒日、“12.2”全国交通安全日、“12·4”国家宪法日、“反恐怖主义法”宣传周等特殊时间节点，结合公安工作实际，开展面向社会的集中法治宣传活动。</w:t>
            </w:r>
          </w:p>
        </w:tc>
        <w:tc>
          <w:tcPr>
            <w:tcW w:w="563" w:type="dxa"/>
            <w:noWrap w:val="0"/>
            <w:vAlign w:val="top"/>
          </w:tcPr>
          <w:p w14:paraId="7DCE5CBA">
            <w:pPr>
              <w:jc w:val="center"/>
              <w:rPr>
                <w:rFonts w:hint="eastAsia" w:ascii="仿宋_GB2312" w:eastAsia="仿宋_GB2312" w:cs="仿宋_GB2312"/>
                <w:color w:val="000000"/>
                <w:sz w:val="21"/>
                <w:szCs w:val="21"/>
                <w:vertAlign w:val="baseline"/>
                <w:lang w:val="en-US" w:eastAsia="zh-CN"/>
              </w:rPr>
            </w:pPr>
          </w:p>
        </w:tc>
      </w:tr>
      <w:tr w14:paraId="33F79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890" w:type="dxa"/>
            <w:vMerge w:val="continue"/>
            <w:noWrap w:val="0"/>
            <w:vAlign w:val="center"/>
          </w:tcPr>
          <w:p w14:paraId="7AE92DC0"/>
        </w:tc>
        <w:tc>
          <w:tcPr>
            <w:tcW w:w="456" w:type="dxa"/>
            <w:noWrap w:val="0"/>
            <w:vAlign w:val="center"/>
          </w:tcPr>
          <w:p w14:paraId="05BB51CF">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3</w:t>
            </w:r>
          </w:p>
        </w:tc>
        <w:tc>
          <w:tcPr>
            <w:tcW w:w="13217" w:type="dxa"/>
            <w:noWrap w:val="0"/>
            <w:vAlign w:val="center"/>
          </w:tcPr>
          <w:p w14:paraId="40F43082">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组织开展预防打击电信诈骗相关普法宣传活动。</w:t>
            </w:r>
          </w:p>
        </w:tc>
        <w:tc>
          <w:tcPr>
            <w:tcW w:w="563" w:type="dxa"/>
            <w:noWrap w:val="0"/>
            <w:vAlign w:val="top"/>
          </w:tcPr>
          <w:p w14:paraId="11D38D90">
            <w:pPr>
              <w:jc w:val="center"/>
              <w:rPr>
                <w:rFonts w:hint="eastAsia" w:ascii="仿宋_GB2312" w:eastAsia="仿宋_GB2312" w:cs="仿宋_GB2312"/>
                <w:color w:val="000000"/>
                <w:sz w:val="21"/>
                <w:szCs w:val="21"/>
                <w:vertAlign w:val="baseline"/>
                <w:lang w:val="en-US" w:eastAsia="zh-CN"/>
              </w:rPr>
            </w:pPr>
          </w:p>
        </w:tc>
      </w:tr>
      <w:tr w14:paraId="4AE4E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exact"/>
        </w:trPr>
        <w:tc>
          <w:tcPr>
            <w:tcW w:w="890" w:type="dxa"/>
            <w:vMerge w:val="continue"/>
            <w:noWrap w:val="0"/>
            <w:vAlign w:val="center"/>
          </w:tcPr>
          <w:p w14:paraId="0971EFF0"/>
        </w:tc>
        <w:tc>
          <w:tcPr>
            <w:tcW w:w="456" w:type="dxa"/>
            <w:noWrap w:val="0"/>
            <w:vAlign w:val="center"/>
          </w:tcPr>
          <w:p w14:paraId="258AA51E">
            <w:pPr>
              <w:jc w:val="center"/>
              <w:rPr>
                <w:rFonts w:hint="default"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4</w:t>
            </w:r>
          </w:p>
        </w:tc>
        <w:tc>
          <w:tcPr>
            <w:tcW w:w="13217" w:type="dxa"/>
            <w:noWrap w:val="0"/>
            <w:vAlign w:val="center"/>
          </w:tcPr>
          <w:p w14:paraId="15EABFBB">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在“全国中小学生安全教育日”,组织民警进校园开展法治安全教育活动。</w:t>
            </w:r>
          </w:p>
        </w:tc>
        <w:tc>
          <w:tcPr>
            <w:tcW w:w="563" w:type="dxa"/>
            <w:noWrap w:val="0"/>
            <w:vAlign w:val="top"/>
          </w:tcPr>
          <w:p w14:paraId="7C8D352B">
            <w:pPr>
              <w:jc w:val="center"/>
              <w:rPr>
                <w:rFonts w:hint="eastAsia" w:ascii="仿宋_GB2312" w:eastAsia="仿宋_GB2312" w:cs="仿宋_GB2312"/>
                <w:color w:val="000000"/>
                <w:sz w:val="21"/>
                <w:szCs w:val="21"/>
                <w:vertAlign w:val="baseline"/>
                <w:lang w:val="en-US" w:eastAsia="zh-CN"/>
              </w:rPr>
            </w:pPr>
          </w:p>
        </w:tc>
      </w:tr>
      <w:tr w14:paraId="79FC8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exact"/>
        </w:trPr>
        <w:tc>
          <w:tcPr>
            <w:tcW w:w="890" w:type="dxa"/>
            <w:vMerge w:val="continue"/>
            <w:noWrap w:val="0"/>
            <w:vAlign w:val="center"/>
          </w:tcPr>
          <w:p w14:paraId="44CD3979">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p>
        </w:tc>
        <w:tc>
          <w:tcPr>
            <w:tcW w:w="456" w:type="dxa"/>
            <w:noWrap w:val="0"/>
            <w:vAlign w:val="center"/>
          </w:tcPr>
          <w:p w14:paraId="1D1AB89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5</w:t>
            </w:r>
          </w:p>
        </w:tc>
        <w:tc>
          <w:tcPr>
            <w:tcW w:w="13217" w:type="dxa"/>
            <w:noWrap w:val="0"/>
            <w:vAlign w:val="center"/>
          </w:tcPr>
          <w:p w14:paraId="196D140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kern w:val="2"/>
                <w:sz w:val="21"/>
                <w:szCs w:val="24"/>
                <w:lang w:val="en-US" w:eastAsia="zh-CN" w:bidi="ar-SA"/>
              </w:rPr>
              <w:t>重点宣传普及刑法、刑事诉讼法、治安管理处罚法、行政处罚法、民法典、行政复议法、国家赔偿法、行政强制法、人民警察法、人民武装警察法、道路交通安全法、居民身份证法、枪支管理法、戒严法、集会游行示威法、禁毒法、消防法、反恐怖主义法、国家安全法、护照法、出境入境管理法、反有组织犯罪法、人民警察警衔条例、人民警察使用警械和武器条例、湖南省警务辅助人员条例、道路交通安全法实施条例、城市道路管理条例、校车安全管理条例、保安服务管理条例、危险化学品安全管理条例、烟花爆竹安全管理条例、民用爆炸物品安全管理条例、集会游行示威法实施条例、娱乐场所管理条例、公安机关督察条例等法律法规。</w:t>
            </w:r>
          </w:p>
          <w:p w14:paraId="4E13D379">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p>
        </w:tc>
        <w:tc>
          <w:tcPr>
            <w:tcW w:w="563" w:type="dxa"/>
            <w:noWrap w:val="0"/>
            <w:vAlign w:val="top"/>
          </w:tcPr>
          <w:p w14:paraId="66DAFB1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p>
        </w:tc>
      </w:tr>
      <w:tr w14:paraId="044DC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exact"/>
        </w:trPr>
        <w:tc>
          <w:tcPr>
            <w:tcW w:w="890" w:type="dxa"/>
            <w:vMerge w:val="restart"/>
            <w:noWrap w:val="0"/>
            <w:vAlign w:val="center"/>
          </w:tcPr>
          <w:p w14:paraId="42356238">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市生态环境局湘潭县分局</w:t>
            </w:r>
          </w:p>
        </w:tc>
        <w:tc>
          <w:tcPr>
            <w:tcW w:w="456" w:type="dxa"/>
            <w:noWrap w:val="0"/>
            <w:vAlign w:val="center"/>
          </w:tcPr>
          <w:p w14:paraId="054ABC25">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1</w:t>
            </w:r>
          </w:p>
        </w:tc>
        <w:tc>
          <w:tcPr>
            <w:tcW w:w="13217" w:type="dxa"/>
            <w:noWrap w:val="0"/>
            <w:vAlign w:val="center"/>
          </w:tcPr>
          <w:p w14:paraId="48D1033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土壤污染防治法、湖南省实施《中华人民共和国土壤污染防治法》办法、固体废物污染环境防治法、湖南省实施《中华人民共和国固体废物污染环境防治法》办法、大气污染防治法、噪声污染防治法、消耗臭氧层物质管理条例、长江保护法、湖南省洞庭湖保护条例、环境保护法、放射性污染防治法、水污染防治法、环境影响评价法、清洁生产促进法、放射性废物安全管理条例、医疗废物管理条例等法律法规。</w:t>
            </w:r>
          </w:p>
        </w:tc>
        <w:tc>
          <w:tcPr>
            <w:tcW w:w="563" w:type="dxa"/>
            <w:noWrap w:val="0"/>
            <w:vAlign w:val="top"/>
          </w:tcPr>
          <w:p w14:paraId="091ADBA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p>
        </w:tc>
      </w:tr>
      <w:tr w14:paraId="0B97B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exact"/>
        </w:trPr>
        <w:tc>
          <w:tcPr>
            <w:tcW w:w="890" w:type="dxa"/>
            <w:vMerge w:val="continue"/>
            <w:noWrap w:val="0"/>
            <w:vAlign w:val="center"/>
          </w:tcPr>
          <w:p w14:paraId="6284BFE0">
            <w:pPr>
              <w:rPr>
                <w:rFonts w:hint="eastAsia" w:ascii="仿宋_GB2312" w:eastAsia="仿宋_GB2312" w:cs="仿宋_GB2312"/>
                <w:color w:val="000000"/>
                <w:sz w:val="21"/>
                <w:szCs w:val="21"/>
                <w:vertAlign w:val="baseline"/>
                <w:lang w:val="en-US" w:eastAsia="zh-CN"/>
              </w:rPr>
            </w:pPr>
          </w:p>
        </w:tc>
        <w:tc>
          <w:tcPr>
            <w:tcW w:w="456" w:type="dxa"/>
            <w:noWrap w:val="0"/>
            <w:vAlign w:val="center"/>
          </w:tcPr>
          <w:p w14:paraId="6C6CC15A">
            <w:pPr>
              <w:jc w:val="center"/>
              <w:rPr>
                <w:rFonts w:hint="eastAsia" w:ascii="仿宋_GB2312" w:eastAsia="仿宋_GB2312" w:cs="仿宋_GB2312"/>
                <w:color w:val="000000"/>
                <w:sz w:val="21"/>
                <w:szCs w:val="21"/>
                <w:vertAlign w:val="baseline"/>
                <w:lang w:val="en-US" w:eastAsia="zh-CN"/>
              </w:rPr>
            </w:pPr>
            <w:r>
              <w:rPr>
                <w:rFonts w:hint="eastAsia" w:ascii="仿宋_GB2312" w:eastAsia="仿宋_GB2312" w:cs="仿宋_GB2312"/>
                <w:color w:val="000000"/>
                <w:sz w:val="21"/>
                <w:szCs w:val="21"/>
                <w:vertAlign w:val="baseline"/>
                <w:lang w:val="en-US" w:eastAsia="zh-CN"/>
              </w:rPr>
              <w:t>2</w:t>
            </w:r>
          </w:p>
        </w:tc>
        <w:tc>
          <w:tcPr>
            <w:tcW w:w="13217" w:type="dxa"/>
            <w:noWrap w:val="0"/>
            <w:vAlign w:val="center"/>
          </w:tcPr>
          <w:p w14:paraId="10BED3C7">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kern w:val="2"/>
                <w:sz w:val="21"/>
                <w:szCs w:val="24"/>
                <w:lang w:val="en-US" w:eastAsia="zh-CN" w:bidi="ar-SA"/>
              </w:rPr>
            </w:pPr>
            <w:r>
              <w:rPr>
                <w:rFonts w:hint="eastAsia" w:ascii="仿宋_GB2312" w:eastAsia="仿宋_GB2312" w:cs="宋体"/>
                <w:color w:val="000000"/>
                <w:lang w:val="en-US" w:eastAsia="zh-CN"/>
              </w:rPr>
              <w:t>利用“六五”环境日、“12·4”国家宪法日等重要时间节点，开展环境保护集中普法宣传活动。</w:t>
            </w:r>
          </w:p>
        </w:tc>
        <w:tc>
          <w:tcPr>
            <w:tcW w:w="563" w:type="dxa"/>
            <w:noWrap w:val="0"/>
            <w:vAlign w:val="top"/>
          </w:tcPr>
          <w:p w14:paraId="55C534BE">
            <w:pPr>
              <w:jc w:val="center"/>
              <w:rPr>
                <w:rFonts w:hint="eastAsia" w:ascii="仿宋_GB2312" w:eastAsia="仿宋_GB2312" w:cs="仿宋_GB2312"/>
                <w:color w:val="000000"/>
                <w:sz w:val="21"/>
                <w:szCs w:val="21"/>
                <w:vertAlign w:val="baseline"/>
                <w:lang w:val="en-US" w:eastAsia="zh-CN"/>
              </w:rPr>
            </w:pPr>
          </w:p>
        </w:tc>
      </w:tr>
      <w:tr w14:paraId="28F32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exact"/>
        </w:trPr>
        <w:tc>
          <w:tcPr>
            <w:tcW w:w="890" w:type="dxa"/>
            <w:vMerge w:val="restart"/>
            <w:noWrap w:val="0"/>
            <w:vAlign w:val="center"/>
          </w:tcPr>
          <w:p w14:paraId="615D396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0000FF"/>
                <w:lang w:val="en-US" w:eastAsia="zh-CN"/>
              </w:rPr>
            </w:pPr>
            <w:r>
              <w:rPr>
                <w:rFonts w:hint="eastAsia" w:ascii="仿宋_GB2312" w:eastAsia="仿宋_GB2312" w:cs="仿宋_GB2312"/>
                <w:color w:val="000000"/>
                <w:sz w:val="21"/>
                <w:szCs w:val="21"/>
                <w:vertAlign w:val="baseline"/>
                <w:lang w:val="en-US" w:eastAsia="zh-CN"/>
              </w:rPr>
              <w:t>县民族宗教事务局</w:t>
            </w:r>
          </w:p>
        </w:tc>
        <w:tc>
          <w:tcPr>
            <w:tcW w:w="456" w:type="dxa"/>
            <w:noWrap w:val="0"/>
            <w:vAlign w:val="center"/>
          </w:tcPr>
          <w:p w14:paraId="3AA1E14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000000"/>
                <w:lang w:val="en-US" w:eastAsia="zh-CN"/>
              </w:rPr>
            </w:pPr>
            <w:r>
              <w:rPr>
                <w:rFonts w:hint="eastAsia" w:ascii="仿宋_GB2312" w:eastAsia="仿宋_GB2312" w:cs="宋体"/>
                <w:color w:val="000000"/>
                <w:lang w:val="en-US" w:eastAsia="zh-CN"/>
              </w:rPr>
              <w:t>1</w:t>
            </w:r>
          </w:p>
        </w:tc>
        <w:tc>
          <w:tcPr>
            <w:tcW w:w="13217" w:type="dxa"/>
            <w:noWrap w:val="0"/>
            <w:vAlign w:val="center"/>
          </w:tcPr>
          <w:p w14:paraId="464438F5">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依托全市民族团结进步创建示范单位和教育基地开展民族宗教政策法规宣传教育。</w:t>
            </w:r>
          </w:p>
        </w:tc>
        <w:tc>
          <w:tcPr>
            <w:tcW w:w="563" w:type="dxa"/>
            <w:noWrap w:val="0"/>
            <w:vAlign w:val="top"/>
          </w:tcPr>
          <w:p w14:paraId="6DA0C79E">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r w14:paraId="4D3BD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exact"/>
        </w:trPr>
        <w:tc>
          <w:tcPr>
            <w:tcW w:w="890" w:type="dxa"/>
            <w:vMerge w:val="continue"/>
            <w:noWrap w:val="0"/>
            <w:vAlign w:val="center"/>
          </w:tcPr>
          <w:p w14:paraId="178E9DF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0000FF"/>
                <w:lang w:val="en-US" w:eastAsia="zh-CN"/>
              </w:rPr>
            </w:pPr>
          </w:p>
        </w:tc>
        <w:tc>
          <w:tcPr>
            <w:tcW w:w="456" w:type="dxa"/>
            <w:noWrap w:val="0"/>
            <w:vAlign w:val="center"/>
          </w:tcPr>
          <w:p w14:paraId="32F687B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000000"/>
                <w:lang w:val="en-US" w:eastAsia="zh-CN"/>
              </w:rPr>
            </w:pPr>
            <w:r>
              <w:rPr>
                <w:rFonts w:hint="eastAsia" w:ascii="仿宋_GB2312" w:eastAsia="仿宋_GB2312" w:cs="宋体"/>
                <w:color w:val="000000"/>
                <w:lang w:val="en-US" w:eastAsia="zh-CN"/>
              </w:rPr>
              <w:t>2</w:t>
            </w:r>
          </w:p>
        </w:tc>
        <w:tc>
          <w:tcPr>
            <w:tcW w:w="13217" w:type="dxa"/>
            <w:noWrap w:val="0"/>
            <w:vAlign w:val="center"/>
          </w:tcPr>
          <w:p w14:paraId="0556308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结合国家宪法日和重大节日，将法治宣传教育融入民族团结进步创建和宗教界“五进五好”等活动中，对各族群众和宗教界人士开展经常性的普法宣传教育，广泛开展民族区域自治法、宗教团体管理办法、宗教事务条例、湖南省散居少数民族工作条例、湖南省宗教事务条例及相关民族政策法规的宣传普及。</w:t>
            </w:r>
          </w:p>
        </w:tc>
        <w:tc>
          <w:tcPr>
            <w:tcW w:w="563" w:type="dxa"/>
            <w:noWrap w:val="0"/>
            <w:vAlign w:val="top"/>
          </w:tcPr>
          <w:p w14:paraId="7665E1F0">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r w14:paraId="4D43C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890" w:type="dxa"/>
            <w:vMerge w:val="restart"/>
            <w:noWrap w:val="0"/>
            <w:vAlign w:val="center"/>
          </w:tcPr>
          <w:p w14:paraId="7FCB7A9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县林业局</w:t>
            </w:r>
          </w:p>
        </w:tc>
        <w:tc>
          <w:tcPr>
            <w:tcW w:w="456" w:type="dxa"/>
            <w:noWrap w:val="0"/>
            <w:vAlign w:val="center"/>
          </w:tcPr>
          <w:p w14:paraId="6846EBD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000000"/>
                <w:lang w:val="en-US" w:eastAsia="zh-CN"/>
              </w:rPr>
            </w:pPr>
            <w:r>
              <w:rPr>
                <w:rFonts w:hint="eastAsia" w:ascii="仿宋_GB2312" w:eastAsia="仿宋_GB2312" w:cs="宋体"/>
                <w:color w:val="000000"/>
                <w:lang w:val="en-US" w:eastAsia="zh-CN"/>
              </w:rPr>
              <w:t>1</w:t>
            </w:r>
          </w:p>
        </w:tc>
        <w:tc>
          <w:tcPr>
            <w:tcW w:w="13217" w:type="dxa"/>
            <w:noWrap w:val="0"/>
            <w:vAlign w:val="center"/>
          </w:tcPr>
          <w:p w14:paraId="1364879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结合“湿地保护日”“野生动植物日”“生物多样性日”“植树节”“爱鸟周”“森林防火宣传月”等重要时节，加大林业法律法规知识宣传力度。</w:t>
            </w:r>
          </w:p>
        </w:tc>
        <w:tc>
          <w:tcPr>
            <w:tcW w:w="563" w:type="dxa"/>
            <w:noWrap w:val="0"/>
            <w:vAlign w:val="top"/>
          </w:tcPr>
          <w:p w14:paraId="0C8D3299">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r w14:paraId="14925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exact"/>
        </w:trPr>
        <w:tc>
          <w:tcPr>
            <w:tcW w:w="890" w:type="dxa"/>
            <w:vMerge w:val="continue"/>
            <w:noWrap w:val="0"/>
            <w:vAlign w:val="center"/>
          </w:tcPr>
          <w:p w14:paraId="162BABFF">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000000"/>
                <w:lang w:val="en-US" w:eastAsia="zh-CN"/>
              </w:rPr>
            </w:pPr>
          </w:p>
        </w:tc>
        <w:tc>
          <w:tcPr>
            <w:tcW w:w="456" w:type="dxa"/>
            <w:noWrap w:val="0"/>
            <w:vAlign w:val="center"/>
          </w:tcPr>
          <w:p w14:paraId="6A32D84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000000"/>
                <w:lang w:val="en-US" w:eastAsia="zh-CN"/>
              </w:rPr>
            </w:pPr>
            <w:r>
              <w:rPr>
                <w:rFonts w:hint="eastAsia" w:ascii="仿宋_GB2312" w:eastAsia="仿宋_GB2312" w:cs="宋体"/>
                <w:color w:val="000000"/>
                <w:lang w:val="en-US" w:eastAsia="zh-CN"/>
              </w:rPr>
              <w:t>2</w:t>
            </w:r>
          </w:p>
        </w:tc>
        <w:tc>
          <w:tcPr>
            <w:tcW w:w="13217" w:type="dxa"/>
            <w:noWrap w:val="0"/>
            <w:vAlign w:val="center"/>
          </w:tcPr>
          <w:p w14:paraId="6D6B87FF">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eastAsia="仿宋_GB2312" w:cs="宋体"/>
                <w:color w:val="000000"/>
                <w:lang w:val="en-US" w:eastAsia="zh-CN"/>
              </w:rPr>
            </w:pPr>
            <w:r>
              <w:rPr>
                <w:rFonts w:hint="eastAsia" w:ascii="仿宋_GB2312" w:eastAsia="仿宋_GB2312" w:cs="宋体"/>
                <w:color w:val="000000"/>
                <w:lang w:val="en-US" w:eastAsia="zh-CN"/>
              </w:rPr>
              <w:t>重点宣传普及森林法、野生动物保护法、种子法、防沙治沙法、草原法、湿地保护法、农业技术推广法、动物防疫法、自然保护区条例、野生植物保护条例、森林病虫害防治条例、植物新品种保护条例、森林防火条例、植物检疫条例、退耕还林条例、陆生野生动物保护实施条例、风景名胜区条例、湖南省林业条例、湖南省野生动植物资源保护条例、湖南省森林公园管理条例、湖南省湿地保护条例、湖南省林产品质量安全条例、湖南省林业有害生物防治检疫条例、湖南省植物园条例等有关法律法规。加强林业工作人员、生态护林员等重点人员的法治宣传培训。</w:t>
            </w:r>
          </w:p>
          <w:p w14:paraId="41043287">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仿宋_GB2312" w:eastAsia="仿宋_GB2312" w:cs="宋体"/>
                <w:color w:val="000000"/>
                <w:lang w:val="en-US" w:eastAsia="zh-CN"/>
              </w:rPr>
            </w:pPr>
          </w:p>
        </w:tc>
        <w:tc>
          <w:tcPr>
            <w:tcW w:w="563" w:type="dxa"/>
            <w:noWrap w:val="0"/>
            <w:vAlign w:val="top"/>
          </w:tcPr>
          <w:p w14:paraId="1ABF3C2F">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r w14:paraId="0F674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exact"/>
        </w:trPr>
        <w:tc>
          <w:tcPr>
            <w:tcW w:w="890" w:type="dxa"/>
            <w:noWrap w:val="0"/>
            <w:vAlign w:val="center"/>
          </w:tcPr>
          <w:p w14:paraId="0C33F97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auto"/>
                <w:lang w:val="en-US" w:eastAsia="zh-CN"/>
              </w:rPr>
            </w:pPr>
            <w:r>
              <w:rPr>
                <w:rFonts w:hint="eastAsia" w:ascii="仿宋_GB2312" w:eastAsia="仿宋_GB2312" w:cs="宋体"/>
                <w:color w:val="auto"/>
                <w:lang w:val="en-US" w:eastAsia="zh-CN"/>
              </w:rPr>
              <w:t>县委政法委</w:t>
            </w:r>
          </w:p>
        </w:tc>
        <w:tc>
          <w:tcPr>
            <w:tcW w:w="456" w:type="dxa"/>
            <w:noWrap w:val="0"/>
            <w:vAlign w:val="center"/>
          </w:tcPr>
          <w:p w14:paraId="2DE62DF9">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auto"/>
                <w:lang w:val="en-US" w:eastAsia="zh-CN"/>
              </w:rPr>
            </w:pPr>
            <w:r>
              <w:rPr>
                <w:rFonts w:hint="eastAsia" w:ascii="仿宋_GB2312" w:eastAsia="仿宋_GB2312" w:cs="宋体"/>
                <w:color w:val="auto"/>
                <w:lang w:val="en-US" w:eastAsia="zh-CN"/>
              </w:rPr>
              <w:t>1</w:t>
            </w:r>
          </w:p>
        </w:tc>
        <w:tc>
          <w:tcPr>
            <w:tcW w:w="13217" w:type="dxa"/>
            <w:noWrap w:val="0"/>
            <w:vAlign w:val="center"/>
          </w:tcPr>
          <w:p w14:paraId="47FCD34B">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r>
              <w:rPr>
                <w:rFonts w:hint="eastAsia" w:ascii="仿宋_GB2312" w:eastAsia="仿宋_GB2312" w:cs="宋体"/>
                <w:color w:val="000000"/>
                <w:lang w:val="en-US" w:eastAsia="zh-CN"/>
              </w:rPr>
              <w:t>利用4·15国家安全教育日，重点宣传普及反有组织犯罪法、国家安全法、反间谍法、反分裂国家法、国家情报法、保守国家秘密法、境外非政府组织境内活动管理办法、反恐怖主义法、网络安全法等法律法规。开展打击整治养老领域诈骗宣传，推动进机关、进学校、进社区、进农村、进养老机构场所。</w:t>
            </w:r>
          </w:p>
        </w:tc>
        <w:tc>
          <w:tcPr>
            <w:tcW w:w="563" w:type="dxa"/>
            <w:noWrap w:val="0"/>
            <w:vAlign w:val="top"/>
          </w:tcPr>
          <w:p w14:paraId="4485DE81">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r w14:paraId="3AEF9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exact"/>
        </w:trPr>
        <w:tc>
          <w:tcPr>
            <w:tcW w:w="890" w:type="dxa"/>
            <w:vMerge w:val="restart"/>
            <w:noWrap w:val="0"/>
            <w:vAlign w:val="center"/>
          </w:tcPr>
          <w:p w14:paraId="0E80A27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auto"/>
                <w:lang w:val="en-US" w:eastAsia="zh-CN"/>
              </w:rPr>
            </w:pPr>
            <w:r>
              <w:rPr>
                <w:rFonts w:hint="eastAsia" w:ascii="仿宋_GB2312" w:eastAsia="仿宋_GB2312" w:cs="宋体"/>
                <w:color w:val="auto"/>
                <w:lang w:val="en-US" w:eastAsia="zh-CN"/>
              </w:rPr>
              <w:t>县税务局</w:t>
            </w:r>
          </w:p>
        </w:tc>
        <w:tc>
          <w:tcPr>
            <w:tcW w:w="456" w:type="dxa"/>
            <w:noWrap w:val="0"/>
            <w:vAlign w:val="center"/>
          </w:tcPr>
          <w:p w14:paraId="4A80565C">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auto"/>
                <w:lang w:val="en-US" w:eastAsia="zh-CN"/>
              </w:rPr>
            </w:pPr>
            <w:r>
              <w:rPr>
                <w:rFonts w:hint="eastAsia" w:ascii="仿宋_GB2312" w:eastAsia="仿宋_GB2312" w:cs="宋体"/>
                <w:color w:val="auto"/>
                <w:lang w:val="en-US" w:eastAsia="zh-CN"/>
              </w:rPr>
              <w:t>1</w:t>
            </w:r>
          </w:p>
        </w:tc>
        <w:tc>
          <w:tcPr>
            <w:tcW w:w="13217" w:type="dxa"/>
            <w:noWrap w:val="0"/>
            <w:vAlign w:val="center"/>
          </w:tcPr>
          <w:p w14:paraId="390AA4A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auto"/>
                <w:lang w:val="en-US" w:eastAsia="zh-CN"/>
              </w:rPr>
            </w:pPr>
            <w:r>
              <w:rPr>
                <w:rFonts w:hint="eastAsia" w:ascii="仿宋_GB2312" w:eastAsia="仿宋_GB2312" w:cs="宋体"/>
                <w:color w:val="auto"/>
                <w:lang w:val="en-US" w:eastAsia="zh-CN"/>
              </w:rPr>
              <w:t>结合国家宪法日、税法宣传月、法律实行日等重大节日，开展税收法治宣传教育，重点做好青少年税法宣传教育专题活动。</w:t>
            </w:r>
          </w:p>
        </w:tc>
        <w:tc>
          <w:tcPr>
            <w:tcW w:w="563" w:type="dxa"/>
            <w:noWrap w:val="0"/>
            <w:vAlign w:val="top"/>
          </w:tcPr>
          <w:p w14:paraId="0AC9071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r w14:paraId="41119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exact"/>
        </w:trPr>
        <w:tc>
          <w:tcPr>
            <w:tcW w:w="890" w:type="dxa"/>
            <w:vMerge w:val="continue"/>
            <w:noWrap w:val="0"/>
            <w:vAlign w:val="center"/>
          </w:tcPr>
          <w:p w14:paraId="043DC60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auto"/>
                <w:lang w:val="en-US" w:eastAsia="zh-CN"/>
              </w:rPr>
            </w:pPr>
          </w:p>
        </w:tc>
        <w:tc>
          <w:tcPr>
            <w:tcW w:w="456" w:type="dxa"/>
            <w:noWrap w:val="0"/>
            <w:vAlign w:val="center"/>
          </w:tcPr>
          <w:p w14:paraId="63348E9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auto"/>
                <w:lang w:val="en-US" w:eastAsia="zh-CN"/>
              </w:rPr>
            </w:pPr>
            <w:r>
              <w:rPr>
                <w:rFonts w:hint="eastAsia" w:ascii="仿宋_GB2312" w:eastAsia="仿宋_GB2312" w:cs="宋体"/>
                <w:color w:val="auto"/>
                <w:lang w:val="en-US" w:eastAsia="zh-CN"/>
              </w:rPr>
              <w:t>2</w:t>
            </w:r>
          </w:p>
        </w:tc>
        <w:tc>
          <w:tcPr>
            <w:tcW w:w="13217" w:type="dxa"/>
            <w:noWrap w:val="0"/>
            <w:vAlign w:val="center"/>
          </w:tcPr>
          <w:p w14:paraId="5DE2716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auto"/>
                <w:lang w:val="en-US" w:eastAsia="zh-CN"/>
              </w:rPr>
            </w:pPr>
            <w:r>
              <w:rPr>
                <w:rFonts w:hint="eastAsia" w:ascii="仿宋_GB2312" w:eastAsia="仿宋_GB2312" w:cs="宋体"/>
                <w:color w:val="auto"/>
                <w:lang w:val="en-US" w:eastAsia="zh-CN"/>
              </w:rPr>
              <w:t>及时宣传落实新修订的《中华人民共和国发票管理办法》等法规制度。</w:t>
            </w:r>
          </w:p>
        </w:tc>
        <w:tc>
          <w:tcPr>
            <w:tcW w:w="563" w:type="dxa"/>
            <w:noWrap w:val="0"/>
            <w:vAlign w:val="top"/>
          </w:tcPr>
          <w:p w14:paraId="232A263D">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r w14:paraId="6F751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exact"/>
        </w:trPr>
        <w:tc>
          <w:tcPr>
            <w:tcW w:w="890" w:type="dxa"/>
            <w:vMerge w:val="restart"/>
            <w:noWrap w:val="0"/>
            <w:vAlign w:val="center"/>
          </w:tcPr>
          <w:p w14:paraId="3311658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auto"/>
                <w:lang w:val="en-US" w:eastAsia="zh-CN"/>
              </w:rPr>
            </w:pPr>
            <w:r>
              <w:rPr>
                <w:rFonts w:hint="eastAsia" w:ascii="仿宋_GB2312" w:eastAsia="仿宋_GB2312" w:cs="宋体"/>
                <w:color w:val="auto"/>
                <w:lang w:val="en-US" w:eastAsia="zh-CN"/>
              </w:rPr>
              <w:t>县气象局</w:t>
            </w:r>
          </w:p>
        </w:tc>
        <w:tc>
          <w:tcPr>
            <w:tcW w:w="456" w:type="dxa"/>
            <w:noWrap w:val="0"/>
            <w:vAlign w:val="center"/>
          </w:tcPr>
          <w:p w14:paraId="378792F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auto"/>
                <w:lang w:val="en-US" w:eastAsia="zh-CN"/>
              </w:rPr>
            </w:pPr>
            <w:r>
              <w:rPr>
                <w:rFonts w:hint="eastAsia" w:ascii="仿宋_GB2312" w:eastAsia="仿宋_GB2312" w:cs="宋体"/>
                <w:color w:val="auto"/>
                <w:lang w:val="en-US" w:eastAsia="zh-CN"/>
              </w:rPr>
              <w:t>1</w:t>
            </w:r>
          </w:p>
        </w:tc>
        <w:tc>
          <w:tcPr>
            <w:tcW w:w="13217" w:type="dxa"/>
            <w:noWrap w:val="0"/>
            <w:vAlign w:val="center"/>
          </w:tcPr>
          <w:p w14:paraId="78362ED2">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auto"/>
                <w:lang w:val="en-US" w:eastAsia="zh-CN"/>
              </w:rPr>
            </w:pPr>
            <w:r>
              <w:rPr>
                <w:rFonts w:hint="eastAsia" w:ascii="仿宋_GB2312" w:eastAsia="仿宋_GB2312" w:cs="宋体"/>
                <w:color w:val="auto"/>
                <w:lang w:val="en-US" w:eastAsia="zh-CN"/>
              </w:rPr>
              <w:t>在“3·23”世界气象日、“5·12”全国防灾减灾日等时间节点，开展生动有效的普法活动。</w:t>
            </w:r>
          </w:p>
        </w:tc>
        <w:tc>
          <w:tcPr>
            <w:tcW w:w="563" w:type="dxa"/>
            <w:noWrap w:val="0"/>
            <w:vAlign w:val="top"/>
          </w:tcPr>
          <w:p w14:paraId="7F9C645C">
            <w:pPr>
              <w:keepNext w:val="0"/>
              <w:keepLines w:val="0"/>
              <w:pageBreakBefore w:val="0"/>
              <w:widowControl w:val="0"/>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r w14:paraId="2B335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exact"/>
        </w:trPr>
        <w:tc>
          <w:tcPr>
            <w:tcW w:w="890" w:type="dxa"/>
            <w:vMerge w:val="continue"/>
            <w:noWrap w:val="0"/>
            <w:vAlign w:val="center"/>
          </w:tcPr>
          <w:p w14:paraId="3CF51DF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auto"/>
                <w:lang w:val="en-US" w:eastAsia="zh-CN"/>
              </w:rPr>
            </w:pPr>
          </w:p>
        </w:tc>
        <w:tc>
          <w:tcPr>
            <w:tcW w:w="456" w:type="dxa"/>
            <w:noWrap w:val="0"/>
            <w:vAlign w:val="center"/>
          </w:tcPr>
          <w:p w14:paraId="642B7155">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auto"/>
                <w:lang w:val="en-US" w:eastAsia="zh-CN"/>
              </w:rPr>
            </w:pPr>
            <w:r>
              <w:rPr>
                <w:rFonts w:hint="eastAsia" w:ascii="仿宋_GB2312" w:eastAsia="仿宋_GB2312" w:cs="宋体"/>
                <w:color w:val="auto"/>
                <w:lang w:val="en-US" w:eastAsia="zh-CN"/>
              </w:rPr>
              <w:t>2</w:t>
            </w:r>
          </w:p>
        </w:tc>
        <w:tc>
          <w:tcPr>
            <w:tcW w:w="13217" w:type="dxa"/>
            <w:noWrap w:val="0"/>
            <w:vAlign w:val="center"/>
          </w:tcPr>
          <w:p w14:paraId="41D5CB0C">
            <w:pPr>
              <w:keepNext w:val="0"/>
              <w:keepLines w:val="0"/>
              <w:pageBreakBefore w:val="0"/>
              <w:widowControl w:val="0"/>
              <w:tabs>
                <w:tab w:val="left" w:pos="752"/>
              </w:tabs>
              <w:kinsoku/>
              <w:wordWrap/>
              <w:overflowPunct/>
              <w:topLinePunct w:val="0"/>
              <w:autoSpaceDE/>
              <w:autoSpaceDN/>
              <w:bidi w:val="0"/>
              <w:adjustRightInd/>
              <w:snapToGrid/>
              <w:spacing w:line="280" w:lineRule="exact"/>
              <w:textAlignment w:val="auto"/>
              <w:rPr>
                <w:rFonts w:hint="eastAsia" w:ascii="仿宋_GB2312" w:eastAsia="仿宋_GB2312" w:cs="宋体"/>
                <w:color w:val="auto"/>
                <w:lang w:val="en-US" w:eastAsia="zh-CN"/>
              </w:rPr>
            </w:pPr>
            <w:r>
              <w:rPr>
                <w:rFonts w:hint="eastAsia" w:ascii="仿宋_GB2312" w:eastAsia="仿宋_GB2312" w:cs="宋体"/>
                <w:color w:val="auto"/>
                <w:lang w:val="en-US" w:eastAsia="zh-CN"/>
              </w:rPr>
              <w:t>重点宣传普及气象法、长江保护法、突发事件应对法、气象灾害防御条例、人工影响天气管理条例、湖南省雷电灾害防御条例、通用航空飞行管制条例、气象设施和气象探测环境保护条例、湖南省实施《中华人民共和国气象法》办法等气象防灾减灾方面的法律法规。</w:t>
            </w:r>
          </w:p>
        </w:tc>
        <w:tc>
          <w:tcPr>
            <w:tcW w:w="563" w:type="dxa"/>
            <w:noWrap w:val="0"/>
            <w:vAlign w:val="top"/>
          </w:tcPr>
          <w:p w14:paraId="10B5D278">
            <w:pPr>
              <w:keepNext w:val="0"/>
              <w:keepLines w:val="0"/>
              <w:pageBreakBefore w:val="0"/>
              <w:widowControl w:val="0"/>
              <w:tabs>
                <w:tab w:val="left" w:pos="752"/>
              </w:tabs>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r w14:paraId="0F74D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exact"/>
        </w:trPr>
        <w:tc>
          <w:tcPr>
            <w:tcW w:w="890" w:type="dxa"/>
            <w:vMerge w:val="restart"/>
            <w:noWrap w:val="0"/>
            <w:vAlign w:val="center"/>
          </w:tcPr>
          <w:p w14:paraId="6CB3C24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auto"/>
                <w:lang w:val="en-US" w:eastAsia="zh-CN"/>
              </w:rPr>
            </w:pPr>
            <w:r>
              <w:rPr>
                <w:rFonts w:hint="eastAsia" w:ascii="仿宋_GB2312" w:eastAsia="仿宋_GB2312" w:cs="宋体"/>
                <w:color w:val="auto"/>
                <w:lang w:val="en-US" w:eastAsia="zh-CN"/>
              </w:rPr>
              <w:t>县融媒体中心</w:t>
            </w:r>
          </w:p>
        </w:tc>
        <w:tc>
          <w:tcPr>
            <w:tcW w:w="456" w:type="dxa"/>
            <w:noWrap w:val="0"/>
            <w:vAlign w:val="center"/>
          </w:tcPr>
          <w:p w14:paraId="0D5853ED">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auto"/>
                <w:lang w:val="en-US" w:eastAsia="zh-CN"/>
              </w:rPr>
            </w:pPr>
            <w:r>
              <w:rPr>
                <w:rFonts w:hint="eastAsia" w:ascii="仿宋_GB2312" w:eastAsia="仿宋_GB2312" w:cs="宋体"/>
                <w:color w:val="auto"/>
                <w:lang w:val="en-US" w:eastAsia="zh-CN"/>
              </w:rPr>
              <w:t>1</w:t>
            </w:r>
          </w:p>
        </w:tc>
        <w:tc>
          <w:tcPr>
            <w:tcW w:w="13217" w:type="dxa"/>
            <w:noWrap w:val="0"/>
            <w:vAlign w:val="center"/>
          </w:tcPr>
          <w:p w14:paraId="647A7BCB">
            <w:pPr>
              <w:keepNext w:val="0"/>
              <w:keepLines w:val="0"/>
              <w:pageBreakBefore w:val="0"/>
              <w:widowControl w:val="0"/>
              <w:tabs>
                <w:tab w:val="left" w:pos="752"/>
              </w:tabs>
              <w:kinsoku/>
              <w:wordWrap/>
              <w:overflowPunct/>
              <w:topLinePunct w:val="0"/>
              <w:autoSpaceDE/>
              <w:autoSpaceDN/>
              <w:bidi w:val="0"/>
              <w:adjustRightInd/>
              <w:snapToGrid/>
              <w:spacing w:line="280" w:lineRule="exact"/>
              <w:textAlignment w:val="auto"/>
              <w:rPr>
                <w:rFonts w:hint="eastAsia" w:ascii="仿宋_GB2312" w:eastAsia="仿宋_GB2312" w:cs="宋体"/>
                <w:color w:val="auto"/>
                <w:lang w:val="en-US" w:eastAsia="zh-CN"/>
              </w:rPr>
            </w:pPr>
            <w:r>
              <w:rPr>
                <w:rFonts w:hint="eastAsia" w:ascii="仿宋_GB2312" w:eastAsia="仿宋_GB2312" w:cs="宋体"/>
                <w:color w:val="auto"/>
                <w:lang w:val="en-US" w:eastAsia="zh-CN"/>
              </w:rPr>
              <w:t>推进网络视听媒体依法经营，组织广播电视网络视听媒体节目内容审核人员培训，年内不少于1次。</w:t>
            </w:r>
          </w:p>
        </w:tc>
        <w:tc>
          <w:tcPr>
            <w:tcW w:w="563" w:type="dxa"/>
            <w:noWrap w:val="0"/>
            <w:vAlign w:val="top"/>
          </w:tcPr>
          <w:p w14:paraId="784B61F3">
            <w:pPr>
              <w:keepNext w:val="0"/>
              <w:keepLines w:val="0"/>
              <w:pageBreakBefore w:val="0"/>
              <w:widowControl w:val="0"/>
              <w:tabs>
                <w:tab w:val="left" w:pos="752"/>
              </w:tabs>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r w14:paraId="2A861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trPr>
        <w:tc>
          <w:tcPr>
            <w:tcW w:w="890" w:type="dxa"/>
            <w:vMerge w:val="continue"/>
            <w:noWrap w:val="0"/>
            <w:vAlign w:val="center"/>
          </w:tcPr>
          <w:p w14:paraId="399A71F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auto"/>
                <w:lang w:val="en-US" w:eastAsia="zh-CN"/>
              </w:rPr>
            </w:pPr>
          </w:p>
        </w:tc>
        <w:tc>
          <w:tcPr>
            <w:tcW w:w="456" w:type="dxa"/>
            <w:noWrap w:val="0"/>
            <w:vAlign w:val="center"/>
          </w:tcPr>
          <w:p w14:paraId="6B5B6644">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auto"/>
                <w:lang w:val="en-US" w:eastAsia="zh-CN"/>
              </w:rPr>
            </w:pPr>
            <w:r>
              <w:rPr>
                <w:rFonts w:hint="eastAsia" w:ascii="仿宋_GB2312" w:eastAsia="仿宋_GB2312" w:cs="宋体"/>
                <w:color w:val="auto"/>
                <w:lang w:val="en-US" w:eastAsia="zh-CN"/>
              </w:rPr>
              <w:t>2</w:t>
            </w:r>
          </w:p>
        </w:tc>
        <w:tc>
          <w:tcPr>
            <w:tcW w:w="13217" w:type="dxa"/>
            <w:noWrap w:val="0"/>
            <w:vAlign w:val="center"/>
          </w:tcPr>
          <w:p w14:paraId="72C9F555">
            <w:pPr>
              <w:keepNext w:val="0"/>
              <w:keepLines w:val="0"/>
              <w:pageBreakBefore w:val="0"/>
              <w:widowControl w:val="0"/>
              <w:tabs>
                <w:tab w:val="left" w:pos="752"/>
              </w:tabs>
              <w:kinsoku/>
              <w:wordWrap/>
              <w:overflowPunct/>
              <w:topLinePunct w:val="0"/>
              <w:autoSpaceDE/>
              <w:autoSpaceDN/>
              <w:bidi w:val="0"/>
              <w:adjustRightInd/>
              <w:snapToGrid/>
              <w:spacing w:line="280" w:lineRule="exact"/>
              <w:textAlignment w:val="auto"/>
              <w:rPr>
                <w:rFonts w:hint="eastAsia" w:ascii="仿宋_GB2312" w:eastAsia="仿宋_GB2312" w:cs="宋体"/>
                <w:color w:val="auto"/>
                <w:lang w:val="en-US" w:eastAsia="zh-CN"/>
              </w:rPr>
            </w:pPr>
            <w:r>
              <w:rPr>
                <w:rFonts w:hint="eastAsia" w:ascii="仿宋_GB2312" w:eastAsia="仿宋_GB2312" w:cs="宋体"/>
                <w:color w:val="auto"/>
                <w:lang w:val="en-US" w:eastAsia="zh-CN"/>
              </w:rPr>
              <w:t>面向广播电视广告从业人员开展重点领域的治理，通过约谈，发整改通知等形式加强对违规播出广告的监管，年内不少于2次。</w:t>
            </w:r>
          </w:p>
        </w:tc>
        <w:tc>
          <w:tcPr>
            <w:tcW w:w="563" w:type="dxa"/>
            <w:noWrap w:val="0"/>
            <w:vAlign w:val="top"/>
          </w:tcPr>
          <w:p w14:paraId="6BFC4A82">
            <w:pPr>
              <w:keepNext w:val="0"/>
              <w:keepLines w:val="0"/>
              <w:pageBreakBefore w:val="0"/>
              <w:widowControl w:val="0"/>
              <w:tabs>
                <w:tab w:val="left" w:pos="752"/>
              </w:tabs>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r w14:paraId="0FF81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trPr>
        <w:tc>
          <w:tcPr>
            <w:tcW w:w="890" w:type="dxa"/>
            <w:vMerge w:val="continue"/>
            <w:noWrap w:val="0"/>
            <w:vAlign w:val="center"/>
          </w:tcPr>
          <w:p w14:paraId="0ED59FCB">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eastAsia="仿宋_GB2312" w:cs="宋体"/>
                <w:color w:val="auto"/>
                <w:lang w:val="en-US" w:eastAsia="zh-CN"/>
              </w:rPr>
            </w:pPr>
          </w:p>
        </w:tc>
        <w:tc>
          <w:tcPr>
            <w:tcW w:w="456" w:type="dxa"/>
            <w:noWrap w:val="0"/>
            <w:vAlign w:val="center"/>
          </w:tcPr>
          <w:p w14:paraId="09E2BC8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仿宋_GB2312" w:eastAsia="仿宋_GB2312" w:cs="宋体"/>
                <w:color w:val="auto"/>
                <w:lang w:val="en-US" w:eastAsia="zh-CN"/>
              </w:rPr>
            </w:pPr>
            <w:r>
              <w:rPr>
                <w:rFonts w:hint="eastAsia" w:ascii="仿宋_GB2312" w:eastAsia="仿宋_GB2312" w:cs="宋体"/>
                <w:color w:val="auto"/>
                <w:lang w:val="en-US" w:eastAsia="zh-CN"/>
              </w:rPr>
              <w:t>3</w:t>
            </w:r>
          </w:p>
        </w:tc>
        <w:tc>
          <w:tcPr>
            <w:tcW w:w="13217" w:type="dxa"/>
            <w:noWrap w:val="0"/>
            <w:vAlign w:val="center"/>
          </w:tcPr>
          <w:p w14:paraId="2A2AF95C">
            <w:pPr>
              <w:keepNext w:val="0"/>
              <w:keepLines w:val="0"/>
              <w:pageBreakBefore w:val="0"/>
              <w:widowControl w:val="0"/>
              <w:tabs>
                <w:tab w:val="left" w:pos="752"/>
              </w:tabs>
              <w:kinsoku/>
              <w:wordWrap/>
              <w:overflowPunct/>
              <w:topLinePunct w:val="0"/>
              <w:autoSpaceDE/>
              <w:autoSpaceDN/>
              <w:bidi w:val="0"/>
              <w:adjustRightInd/>
              <w:snapToGrid/>
              <w:spacing w:line="280" w:lineRule="exact"/>
              <w:textAlignment w:val="auto"/>
              <w:rPr>
                <w:rFonts w:hint="eastAsia" w:ascii="仿宋_GB2312" w:eastAsia="仿宋_GB2312" w:cs="宋体"/>
                <w:color w:val="auto"/>
                <w:lang w:val="en-US" w:eastAsia="zh-CN"/>
              </w:rPr>
            </w:pPr>
            <w:r>
              <w:rPr>
                <w:rFonts w:hint="eastAsia" w:ascii="仿宋_GB2312" w:eastAsia="仿宋_GB2312" w:cs="宋体"/>
                <w:color w:val="auto"/>
                <w:lang w:val="en-US" w:eastAsia="zh-CN"/>
              </w:rPr>
              <w:t>落实媒体公益普法制度，推动媒体开设普法栏目，制作播出法治节目，创作播出普法公益广告。</w:t>
            </w:r>
          </w:p>
        </w:tc>
        <w:tc>
          <w:tcPr>
            <w:tcW w:w="563" w:type="dxa"/>
            <w:noWrap w:val="0"/>
            <w:vAlign w:val="top"/>
          </w:tcPr>
          <w:p w14:paraId="3B1B6E7B">
            <w:pPr>
              <w:keepNext w:val="0"/>
              <w:keepLines w:val="0"/>
              <w:pageBreakBefore w:val="0"/>
              <w:widowControl w:val="0"/>
              <w:tabs>
                <w:tab w:val="left" w:pos="752"/>
              </w:tabs>
              <w:kinsoku/>
              <w:wordWrap/>
              <w:overflowPunct/>
              <w:topLinePunct w:val="0"/>
              <w:autoSpaceDE/>
              <w:autoSpaceDN/>
              <w:bidi w:val="0"/>
              <w:adjustRightInd/>
              <w:snapToGrid/>
              <w:spacing w:line="280" w:lineRule="exact"/>
              <w:textAlignment w:val="auto"/>
              <w:rPr>
                <w:rFonts w:hint="eastAsia" w:ascii="仿宋_GB2312" w:eastAsia="仿宋_GB2312" w:cs="宋体"/>
                <w:color w:val="0000FF"/>
                <w:lang w:val="en-US" w:eastAsia="zh-CN"/>
              </w:rPr>
            </w:pPr>
          </w:p>
        </w:tc>
      </w:tr>
    </w:tbl>
    <w:p w14:paraId="10678D53">
      <w:pPr>
        <w:pStyle w:val="2"/>
        <w:spacing w:after="0" w:line="240" w:lineRule="auto"/>
        <w:ind w:left="0" w:leftChars="0" w:firstLine="0" w:firstLineChars="0"/>
      </w:pPr>
    </w:p>
    <w:p w14:paraId="629E752A"/>
    <w:p w14:paraId="4EEE0BB5"/>
    <w:sectPr>
      <w:footerReference r:id="rId3" w:type="default"/>
      <w:pgSz w:w="16838" w:h="11906" w:orient="landscape"/>
      <w:pgMar w:top="1800" w:right="1440" w:bottom="1800" w:left="144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宋体"/>
    <w:panose1 w:val="02010601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1" w:fontKey="{A2B8A076-D6C2-4011-AD8A-A6B05E3DA2D8}"/>
  </w:font>
  <w:font w:name="仿宋_GB2312">
    <w:panose1 w:val="02010609030101010101"/>
    <w:charset w:val="86"/>
    <w:family w:val="modern"/>
    <w:pitch w:val="default"/>
    <w:sig w:usb0="00000001" w:usb1="080E0000" w:usb2="00000000" w:usb3="00000000" w:csb0="00040000" w:csb1="00000000"/>
    <w:embedRegular r:id="rId2" w:fontKey="{4C177E5A-D72B-4EF9-826A-CB2B611EBCE0}"/>
  </w:font>
  <w:font w:name="仿宋">
    <w:panose1 w:val="02010609060101010101"/>
    <w:charset w:val="86"/>
    <w:family w:val="modern"/>
    <w:pitch w:val="default"/>
    <w:sig w:usb0="800002BF" w:usb1="38CF7CFA" w:usb2="00000016" w:usb3="00000000" w:csb0="00040001" w:csb1="00000000"/>
    <w:embedRegular r:id="rId3" w:fontKey="{897C86C3-B748-44BF-A795-0048351FC456}"/>
  </w:font>
  <w:font w:name="MS PGothic">
    <w:panose1 w:val="020B0600070205080204"/>
    <w:charset w:val="80"/>
    <w:family w:val="auto"/>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4A909">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0ABECF">
                          <w:pPr>
                            <w:pStyle w:val="3"/>
                            <w:rPr>
                              <w:sz w:val="20"/>
                              <w:szCs w:val="28"/>
                            </w:rPr>
                          </w:pPr>
                          <w:r>
                            <w:rPr>
                              <w:sz w:val="20"/>
                              <w:szCs w:val="28"/>
                            </w:rPr>
                            <w:t xml:space="preserve">— </w:t>
                          </w:r>
                          <w:r>
                            <w:rPr>
                              <w:sz w:val="21"/>
                              <w:szCs w:val="32"/>
                            </w:rPr>
                            <w:fldChar w:fldCharType="begin"/>
                          </w:r>
                          <w:r>
                            <w:rPr>
                              <w:sz w:val="21"/>
                              <w:szCs w:val="32"/>
                            </w:rPr>
                            <w:instrText xml:space="preserve"> PAGE  \* MERGEFORMAT </w:instrText>
                          </w:r>
                          <w:r>
                            <w:rPr>
                              <w:sz w:val="21"/>
                              <w:szCs w:val="32"/>
                            </w:rPr>
                            <w:fldChar w:fldCharType="separate"/>
                          </w:r>
                          <w:r>
                            <w:rPr>
                              <w:sz w:val="21"/>
                              <w:szCs w:val="32"/>
                            </w:rPr>
                            <w:t>2</w:t>
                          </w:r>
                          <w:r>
                            <w:rPr>
                              <w:sz w:val="21"/>
                              <w:szCs w:val="32"/>
                            </w:rPr>
                            <w:fldChar w:fldCharType="end"/>
                          </w:r>
                          <w:r>
                            <w:rPr>
                              <w:sz w:val="21"/>
                              <w:szCs w:val="32"/>
                            </w:rPr>
                            <w:t xml:space="preserve"> </w:t>
                          </w:r>
                          <w:r>
                            <w:rPr>
                              <w:sz w:val="20"/>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C0ABECF">
                    <w:pPr>
                      <w:pStyle w:val="3"/>
                      <w:rPr>
                        <w:sz w:val="20"/>
                        <w:szCs w:val="28"/>
                      </w:rPr>
                    </w:pPr>
                    <w:r>
                      <w:rPr>
                        <w:sz w:val="20"/>
                        <w:szCs w:val="28"/>
                      </w:rPr>
                      <w:t xml:space="preserve">— </w:t>
                    </w:r>
                    <w:r>
                      <w:rPr>
                        <w:sz w:val="21"/>
                        <w:szCs w:val="32"/>
                      </w:rPr>
                      <w:fldChar w:fldCharType="begin"/>
                    </w:r>
                    <w:r>
                      <w:rPr>
                        <w:sz w:val="21"/>
                        <w:szCs w:val="32"/>
                      </w:rPr>
                      <w:instrText xml:space="preserve"> PAGE  \* MERGEFORMAT </w:instrText>
                    </w:r>
                    <w:r>
                      <w:rPr>
                        <w:sz w:val="21"/>
                        <w:szCs w:val="32"/>
                      </w:rPr>
                      <w:fldChar w:fldCharType="separate"/>
                    </w:r>
                    <w:r>
                      <w:rPr>
                        <w:sz w:val="21"/>
                        <w:szCs w:val="32"/>
                      </w:rPr>
                      <w:t>2</w:t>
                    </w:r>
                    <w:r>
                      <w:rPr>
                        <w:sz w:val="21"/>
                        <w:szCs w:val="32"/>
                      </w:rPr>
                      <w:fldChar w:fldCharType="end"/>
                    </w:r>
                    <w:r>
                      <w:rPr>
                        <w:sz w:val="21"/>
                        <w:szCs w:val="32"/>
                      </w:rPr>
                      <w:t xml:space="preserve"> </w:t>
                    </w:r>
                    <w:r>
                      <w:rPr>
                        <w:sz w:val="20"/>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ZjBhZWVjNDRlNGEyNzkzZjJkOWQxM2UwZGJiYjcifQ=="/>
  </w:docVars>
  <w:rsids>
    <w:rsidRoot w:val="319B060A"/>
    <w:rsid w:val="0ADA1E0F"/>
    <w:rsid w:val="11C02ABD"/>
    <w:rsid w:val="189736CA"/>
    <w:rsid w:val="1AD37D7A"/>
    <w:rsid w:val="1D370090"/>
    <w:rsid w:val="279F76CF"/>
    <w:rsid w:val="319B060A"/>
    <w:rsid w:val="352340A0"/>
    <w:rsid w:val="3D1617E6"/>
    <w:rsid w:val="49FB531A"/>
    <w:rsid w:val="534B46FF"/>
    <w:rsid w:val="689A3FFE"/>
    <w:rsid w:val="6E8E6D9E"/>
    <w:rsid w:val="77186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qFormat/>
    <w:uiPriority w:val="0"/>
    <w:pPr>
      <w:widowControl w:val="0"/>
      <w:spacing w:after="120" w:line="630" w:lineRule="exact"/>
      <w:ind w:firstLine="420" w:firstLineChars="100"/>
      <w:jc w:val="both"/>
      <w:textAlignment w:val="bottom"/>
    </w:pPr>
    <w:rPr>
      <w:rFonts w:ascii="Times New Roman" w:hAnsi="Times New Roman" w:eastAsia="方正仿宋简体" w:cs="Times New Roman"/>
      <w:spacing w:val="6"/>
      <w:kern w:val="2"/>
      <w:sz w:val="32"/>
      <w:szCs w:val="32"/>
      <w:lang w:val="en-US" w:eastAsia="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11079</Words>
  <Characters>11150</Characters>
  <Lines>0</Lines>
  <Paragraphs>0</Paragraphs>
  <TotalTime>4</TotalTime>
  <ScaleCrop>false</ScaleCrop>
  <LinksUpToDate>false</LinksUpToDate>
  <CharactersWithSpaces>11152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2022-08-15T09:47:00Z</dcterms:created>
  <dc:creator>huhuhu</dc:creator>
  <cp:lastModifiedBy>大旭子专用号～</cp:lastModifiedBy>
  <dcterms:modified xsi:type="dcterms:W3CDTF">2025-03-17T07:02:43Z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63EF18BBC3484F79925049A63AE4B5BF_13</vt:lpwstr>
  </property>
  <property fmtid="{D5CDD505-2E9C-101B-9397-08002B2CF9AE}" pid="4" name="KSOTemplateDocerSaveRecord">
    <vt:lpwstr>eyJoZGlkIjoiYWJiZjBhZWVjNDRlNGEyNzkzZjJkOWQxM2UwZGJiYjciLCJ1c2VySWQiOiIzMDQzOTM1OTkifQ==</vt:lpwstr>
  </property>
</Properties>
</file>