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5AD5" w:rsidRDefault="00067B81">
      <w:pPr>
        <w:pStyle w:val="2"/>
        <w:widowControl/>
        <w:shd w:val="clear" w:color="auto" w:fill="FFFFFF"/>
        <w:spacing w:beforeAutospacing="0" w:afterAutospacing="0" w:line="17" w:lineRule="atLeast"/>
        <w:jc w:val="center"/>
        <w:rPr>
          <w:rFonts w:ascii="黑体" w:eastAsia="黑体" w:hAnsi="黑体" w:cs="黑体" w:hint="default"/>
          <w:sz w:val="44"/>
          <w:szCs w:val="44"/>
        </w:rPr>
      </w:pPr>
      <w:r>
        <w:rPr>
          <w:rFonts w:ascii="黑体" w:eastAsia="黑体" w:hAnsi="黑体" w:cs="黑体"/>
          <w:sz w:val="44"/>
          <w:szCs w:val="44"/>
          <w:shd w:val="clear" w:color="auto" w:fill="FFFFFF"/>
        </w:rPr>
        <w:t>湘潭县卫生健康局2018年度部门整体支出绩效自评报告</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一、 基本情况和主要职能</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湘潭县卫生健康局（原湘潭县卫生和计划生育局），是财政补助事业单位，下属有二级机构 24 个，包括县卫计综合监督执法局（原卫生监督所），县疾病预防控制中心，县直三家医院，乡镇（中心）卫生院19家。</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现有编制人数 75人，实有在职人员92人（其中统发人员66人，非统发全额人员 1人，其他人员25人），遗属补助4人，退休人员45人。 车辆1台。</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主要职能：</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一）贯彻执行国家、省卫生和计划生育工作的方针、政策和法律法规。负责起草湘潭县卫生和计划生育相关规范性文件。负责协调推进全县医药卫生体制改革和医疗保障、医疗服务、公共卫生、药品供应和监管体制综合改革，统筹规划全县卫生和计划生育服务资源配置，组织和指导辖区卫生和计划生育规划的编制和实施。</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二）组织医疗机构和采供血机构实施医疗技术、医疗质量、医疗服务、医疗安全的政策、规范、标准等，会同有关部门贯彻执行国家卫生专业技术人员准入、资格标准；组织实施卫生专业技术人员执业规则和服务规范，建立医疗机构运行监管和医疗服务评价体系。</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（三）贯彻中西并重方针，制定全县中医药中长期发展规划，推进中医药民族医药的传承与创新，促进中医药事业的发展。</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四）负责制定全县疾病预防控制规划、免疫规划、卫生应急和紧急医学救援预案，组织和指导实施严重危害人民健康和公共卫生问题的干预措施、突发公共卫生事件监测和风险评估、突发公共卫生事件预防处置、医疗救援等工作；承担法定报告传染病疫情和突发公共卫生事件应急处置信息的报告工作。</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五）负责职责范围内的职业卫生、放射卫生、环境卫生、学校卫生、公共场所卫生、饮用水卫生和传染病防治的监测、调查、评估和监督；负责传染病防治监督。组织有关部门按照国家、省、市部署开展食品安全风险监测，负责全县并指导基层食源性疾病监测及与食品安全事故有关的流行病学调查。</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（六）组织拟订并实施职责范围内的基层卫生和计划生育服务、妇幼卫生发展规划和政策措施；指导基层卫生和计划生育、妇幼卫生服务体系建设，推</w:t>
      </w:r>
      <w:r>
        <w:rPr>
          <w:rFonts w:ascii="仿宋" w:eastAsia="仿宋" w:hAnsi="仿宋" w:cs="仿宋" w:hint="eastAsia"/>
          <w:color w:val="333333"/>
          <w:shd w:val="clear" w:color="auto" w:fill="FFFFFF"/>
        </w:rPr>
        <w:lastRenderedPageBreak/>
        <w:t>进基本公共卫生和计划生育服务均等化，指导完善基层运行新机制和乡村医生管理制度。</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七）贯彻执行国家药物政策和国家基本药物制度；督促并指导实施国家、省、市药物政策和基本药物采购、配送、使用的管理措施；督促全县医疗卫生机构落实药品集中招标采购、监督管理药品配送企业、医疗机构网上药品集中采购交易及配送活动。</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八）组织监测全县计划生育发展动态，贯彻执行全县出生人口性别比综合治理的政策措施；贯彻执行计划生育技术服务管理制度；贯彻执行优生优育和提高出生人口素质的政策措施，指导实施计划生育生殖健康促进计划，降低出生缺陷发生率。</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（九）建立并实施计划生育利益导向、计划生育特殊困难家庭扶助和促进计划生育家庭发展等机制。负责协调推进有关部门、群众团体履行计划生育工作相关职责，建立与经济社会发展政策的衔接机制。</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（十）贯彻落实流动人口计划生育服务管理制度，推动建立实施流动人口卫生和计划生育信息共享、区域协作和公共服务工作机制。</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（十一）组织拟订全县卫生和计划生育人才发展规划，指导卫生和计划生育人才队伍建设工作。加强全科医生等急需紧缺专业人才培养，建立完善住院医师和专科医生规范化培训制度并组织实施。</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（十二）组织拟订全县卫生和计划生育科技发展规划，组织实施卫生和计划生育相关科研项目。组织实施医学毕业生医学教育和继续医学教育。</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十三）督促指导全县卫生和计划生育工作，完善卫生和计划生育综合监督执法体系，规范执法行为，监督检查卫生和计划生育法律法规和政策措施的落实，组织查处重大违法行为。监督落实计划生育一票否决制。</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（十四）负责组织全县卫生和计划生育宣传、健康教育、健康促进和信息化建设等工作，依法组织实施统计调查，参与全县人口基础信息库建设。</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（十五）贯彻执行中央、省、市保健政策，负责重要会议与重大活动及重要宾客的医疗卫生保障工作，负责医疗卫生援外工作。</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（十六）承担县爱国卫生运动委员会办公室、县深化医药卫生体制改革领导小组的日常工作。</w:t>
      </w:r>
    </w:p>
    <w:p w:rsidR="00A35AD5" w:rsidRDefault="00067B81">
      <w:pPr>
        <w:pStyle w:val="a3"/>
        <w:widowControl/>
        <w:spacing w:before="360" w:beforeAutospacing="0" w:afterAutospacing="0" w:line="33" w:lineRule="atLeast"/>
        <w:ind w:firstLine="420"/>
        <w:rPr>
          <w:rFonts w:ascii="仿宋" w:eastAsia="仿宋" w:hAnsi="仿宋" w:cs="仿宋"/>
          <w:color w:val="333333"/>
        </w:rPr>
      </w:pPr>
      <w:r>
        <w:rPr>
          <w:rFonts w:ascii="仿宋" w:eastAsia="仿宋" w:hAnsi="仿宋" w:cs="仿宋" w:hint="eastAsia"/>
          <w:color w:val="333333"/>
          <w:shd w:val="clear" w:color="auto" w:fill="FFFFFF"/>
        </w:rPr>
        <w:t>（十七）承办县人民政府交办的其他事项。</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lastRenderedPageBreak/>
        <w:t>二、评价工作开展</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（一）绩效评价实施过程情况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1、评价方法</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一是对照“部门整体支出绩效评价指标体系评分表”的</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主要考评内容及工作完成情况，将可以公开的资料整理成佐证材料。对照当年工作计划和上级交办的各项工作内容，进行自评、复合，形成总体得分。</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二是制作了90份调查问卷，指派专人现场调查，对评价情况进行统计、汇总和复核后，形成本单位社会满意度调查结果。</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三是组织纳入部门整体支出绩效评价范围的局属单位开展部门绩效评价工作，特别是对县级专项的项目实施了绩效自评，并通过部门上报数据和资料、实地核查分析、重点抽查及调查问卷等方式客观进行整体评价、打分。</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2、工作程序</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根据县财政局绩效办开展2018年度部门整体支出绩效评价通知及要求，我局成立了湘潭县卫生和计划生育局2018年度整体支出绩效评价工作小组，全面负责此次评价工作。本次整体支出绩效考评工作，由局办公室工作人员负责开展此项工作，设计推进工作的时间节点，针对我局工作内容和实际效果自评“部门整体支出绩效评价指标体系评分表”、认真做好“社会满意度调查”，及时开展、汇报相关工作进展情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（二）绩效评价整体结果概况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1、得分情况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整体支出绩效评价方面：“投入”10分，得分9分。因在职人员控制率略有超标，因此此项扣1分；“过程”60分，得分58分。因公用经费的控制数有超标情况，因此此项扣2分；“产出及效率”30分，得分30分。通过汇总，我局2018年度部门整体支出绩效评价得分为97分。</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 三、部门整体支出管理及使用情况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根据</w:t>
      </w:r>
      <w:r w:rsidR="00C26DFD" w:rsidRPr="00C26DFD">
        <w:rPr>
          <w:rFonts w:ascii="仿宋" w:eastAsia="仿宋" w:hAnsi="仿宋" w:cs="仿宋" w:hint="eastAsia"/>
          <w:color w:val="333333"/>
          <w:shd w:val="clear" w:color="auto" w:fill="FFFFFF"/>
        </w:rPr>
        <w:t>《中华人民共和国会计法》</w:t>
      </w:r>
      <w:bookmarkStart w:id="0" w:name="_GoBack"/>
      <w:bookmarkEnd w:id="0"/>
      <w:r w:rsidR="00C26DFD" w:rsidRPr="00C26DFD">
        <w:rPr>
          <w:rFonts w:ascii="仿宋" w:eastAsia="仿宋" w:hAnsi="仿宋" w:cs="仿宋" w:hint="eastAsia"/>
          <w:color w:val="333333"/>
          <w:shd w:val="clear" w:color="auto" w:fill="FFFFFF"/>
        </w:rPr>
        <w:t>《中华人民共和国预算法》</w:t>
      </w:r>
      <w:r>
        <w:rPr>
          <w:rFonts w:ascii="仿宋" w:eastAsia="仿宋" w:hAnsi="仿宋" w:cs="仿宋" w:hint="eastAsia"/>
          <w:color w:val="333333"/>
          <w:shd w:val="clear" w:color="auto" w:fill="FFFFFF"/>
        </w:rPr>
        <w:t>《行政事业单位财务规则》等法律和财政部、省财政厅及市、县财政局有关财务规章的规定，县卫计局制订了《湘潭县卫计局财务管理办法》，对会计和出纳的职业素养、工作要求作出明确规定对资产的配置、处置、管理和清查进行了规范。针对主要经费</w:t>
      </w:r>
      <w:r>
        <w:rPr>
          <w:rFonts w:ascii="仿宋" w:eastAsia="仿宋" w:hAnsi="仿宋" w:cs="仿宋" w:hint="eastAsia"/>
          <w:color w:val="333333"/>
          <w:shd w:val="clear" w:color="auto" w:fill="FFFFFF"/>
        </w:rPr>
        <w:lastRenderedPageBreak/>
        <w:t>的管理，明确了相应原则和要求、开支范围、程序、办法及标准、审批权限等，上述制度规定基本得到执行。</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2018年度卫健局总支出合计为19788.26万元，其中：基本支出为1201.21万元，项目支出为18587.05万元（中央5475.4万元、省级2745.12万元（含省直拨人民医院的2万元免疫规划）、市级320.53万元、县级10046万元）。另外疾控中心项目支出 547.83万元（中央267.75万元、省级12.98 万元、县级267.1万元）；卫监项目支出88.2万元（均为县本级资金支出）。因此经数据整合后卫健系统的项目总支出为19223.08万元（中央5743.15万元、省级2758.1 万元、市级320.53万元、县级10401.3万元）</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 （一）基本支出</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基本支出用于为保障机构正常运转、完成日常工作任务而发生的支出，基本支出1201.21万元（人员经费880.23万元，日常公用经费320.98万元）。按经济科目划分，各项支出金额分别为：按经济科目划分，各项支出金额分别为：工资福利支出875.13万元，一般商品和服务支出281.12万元，对个人和家庭补助支出5.10万元，其他资本性支出39.86万元。</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 （二）项目支出</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项目支出是在基本支出之外为完成其特定的行政工作任务而发生的支出，主要用于公共卫生专项、国家基本药物制度专项、医疗服务能力提升工程专项、计划生育服务专项、以及其他医疗卫生和计划生育事务支出专项等。</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2018年，卫健系统的项目总支出为19223.08万元（中央5743.15万元、省级2758.1 万元、市级320.53万元、县级10401.3万元）。其中由卫健局机关及医院和乡镇卫生院合计实施机关实施的项目金额为18587.05万元（中央5475.4万元、省级2745.12万元（含省直拨人民医院的2万元免疫规划），其中卫健局机关实施4004.89万元，由医院和乡镇卫生院实施的项目 14582.16万元、市级320.53万元、县级10046万元）。由疾控中心项目支出 547.83万元（中央267.75万元、省级12.98 万元、县级267.1万元），由卫监实施的项目88.2万元（均为县本级资金安排）。以上项目资金分别是用于公共卫生专项6499.83万元（中央3660.64万元、省级1102.63万元、市级303.73万元、县级1432.83万元），国家基本药物制度专项1752.30万元（中央741万元、省级479.5万元、县级531.8万元）、医疗服务能力提升工程专项906.34万元（中央404.16万元、省级202.18万元、县级906.34万元），计划生育服务专项2979.71万元（中央937.35万元、省级973.79万元、市级16.8万元、县级1051.77万元），以及其他医疗卫生和计划生育事务支出专项7084.90万元（均为县级资金安排）。</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附表如下：</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lastRenderedPageBreak/>
        <w:t> </w:t>
      </w:r>
    </w:p>
    <w:tbl>
      <w:tblPr>
        <w:tblW w:w="8302" w:type="dxa"/>
        <w:jc w:val="center"/>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Layout w:type="fixed"/>
        <w:tblCellMar>
          <w:top w:w="30" w:type="dxa"/>
          <w:left w:w="30" w:type="dxa"/>
          <w:bottom w:w="30" w:type="dxa"/>
          <w:right w:w="30" w:type="dxa"/>
        </w:tblCellMar>
        <w:tblLook w:val="04A0" w:firstRow="1" w:lastRow="0" w:firstColumn="1" w:lastColumn="0" w:noHBand="0" w:noVBand="1"/>
      </w:tblPr>
      <w:tblGrid>
        <w:gridCol w:w="727"/>
        <w:gridCol w:w="2034"/>
        <w:gridCol w:w="962"/>
        <w:gridCol w:w="962"/>
        <w:gridCol w:w="896"/>
        <w:gridCol w:w="962"/>
        <w:gridCol w:w="1211"/>
        <w:gridCol w:w="548"/>
      </w:tblGrid>
      <w:tr w:rsidR="00A35AD5">
        <w:trPr>
          <w:jc w:val="center"/>
        </w:trPr>
        <w:tc>
          <w:tcPr>
            <w:tcW w:w="8302" w:type="dxa"/>
            <w:gridSpan w:val="8"/>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2018年度卫健系统项目支出</w:t>
            </w:r>
          </w:p>
        </w:tc>
      </w:tr>
      <w:tr w:rsidR="00A35AD5">
        <w:trPr>
          <w:jc w:val="center"/>
        </w:trPr>
        <w:tc>
          <w:tcPr>
            <w:tcW w:w="727"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明细分类</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中央</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省级</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市级</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县级</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合计</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实施单位</w:t>
            </w:r>
          </w:p>
        </w:tc>
      </w:tr>
      <w:tr w:rsidR="00A35AD5">
        <w:trPr>
          <w:jc w:val="center"/>
        </w:trPr>
        <w:tc>
          <w:tcPr>
            <w:tcW w:w="727"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国家基本药物制度</w:t>
            </w: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基层医疗机构实施基本药物制度</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531</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337.5</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531.8</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1400.3</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村卫生室实施基本药物制度</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210</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142</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352</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小 计</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741</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479.5</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531.8</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1752.3</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r>
      <w:tr w:rsidR="00A35AD5">
        <w:trPr>
          <w:jc w:val="center"/>
        </w:trPr>
        <w:tc>
          <w:tcPr>
            <w:tcW w:w="727"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公共卫生</w:t>
            </w: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降消项目</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2.84</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2.84</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基本公共卫生服务专项补助</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3339</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841.94</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144.33</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395.07</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4720.34</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计划生育节育手术补助</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100.76</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100.76</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农村妇女“两癌”筛查</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86.8</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45.5</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175.7</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308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w:t>
            </w:r>
            <w:r>
              <w:rPr>
                <w:rFonts w:ascii="仿宋" w:eastAsia="仿宋" w:hAnsi="仿宋" w:cs="仿宋" w:hint="eastAsia"/>
                <w:color w:val="333333"/>
              </w:rPr>
              <w:lastRenderedPageBreak/>
              <w:t>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出生缺陷干预(产前筛查）</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33.6</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25.2</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26.3</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85.1</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新生儿疾病筛查</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88.7</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133.06</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221.76</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计划生育免费孕前优生检测经费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53.89</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21.71</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32.4</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改厕经费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爱卫经费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9</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9</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病媒生物防制专项经费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46</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46</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w:t>
            </w:r>
            <w:r>
              <w:rPr>
                <w:rFonts w:ascii="仿宋" w:eastAsia="仿宋" w:hAnsi="仿宋" w:cs="仿宋" w:hint="eastAsia"/>
                <w:color w:val="333333"/>
              </w:rPr>
              <w:lastRenderedPageBreak/>
              <w:t>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精神病障碍救助</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202</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202</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解决购置禽流感救治设备经费（人民医院）</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48</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艾滋病防治</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84.63</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15.5</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100.13</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结核病防治</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27.14</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47.14</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慢性病防治</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104.98</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12.6</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117.58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饮用水水质卫生检测</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5.28</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5.28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免疫规划</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15</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7</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19</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41</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狂犬病防治专项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12</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12</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预防接种补助</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食品监测采样及安全事故</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18</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职业病防治专项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学生体检专项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儿童预防接种信息化系统建设项目</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医疗机构消毒监测项目</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流脑</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重大传染病</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36</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36</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万步有约</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疾病控制</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0.7</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0.7</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疾控中心</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餐饮具集中消毒专项整治</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4.7</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4.7</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卫监</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五小行业整治专项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14</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14</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卫监</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乡镇卫生监督执法专项经费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25.5</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25.5</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卫监</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传染病防治、生活饮用水安全监督、国家抽检工作专项经费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19</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19</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卫监</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卫生监督执法专项经费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25</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25</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卫监</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免疫规划</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人民医院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小 计</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3660.64</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1102.63</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303.73</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1432.83</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6499.83</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r>
      <w:tr w:rsidR="00A35AD5">
        <w:trPr>
          <w:jc w:val="center"/>
        </w:trPr>
        <w:tc>
          <w:tcPr>
            <w:tcW w:w="727"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医疗服务能力提升工程</w:t>
            </w: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助理全科医生培训项目经费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80</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10.75</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90.75</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公立医院综合改革项目经费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300</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152.43</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452.43</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中医药专项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34</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34</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中心卫生院医疗设备更新专项经费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300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300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w:t>
            </w:r>
            <w:r>
              <w:rPr>
                <w:rFonts w:ascii="仿宋" w:eastAsia="仿宋" w:hAnsi="仿宋" w:cs="仿宋" w:hint="eastAsia"/>
                <w:color w:val="333333"/>
              </w:rPr>
              <w:lastRenderedPageBreak/>
              <w:t>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湘潭县人民医院创伤中心建设试点专项经费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县乡村卫生人才能力培训经费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24.16</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24.16</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小计</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404.16</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202.18</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300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906.34</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r>
      <w:tr w:rsidR="00A35AD5">
        <w:trPr>
          <w:jc w:val="center"/>
        </w:trPr>
        <w:tc>
          <w:tcPr>
            <w:tcW w:w="727"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计划生育服务</w:t>
            </w: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计划生育失独家庭补助资金</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126</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126</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独生子女保健费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71.11</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54.48</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48.63</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174.22</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计划生育家庭特别扶助——死亡、伤残</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266.24</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215.88</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46.66</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528.78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计生家庭奖扶资金</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600</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415.57</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10.8</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153.23</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1179.6</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w:t>
            </w:r>
            <w:r>
              <w:rPr>
                <w:rFonts w:ascii="仿宋" w:eastAsia="仿宋" w:hAnsi="仿宋" w:cs="仿宋" w:hint="eastAsia"/>
                <w:color w:val="333333"/>
              </w:rPr>
              <w:lastRenderedPageBreak/>
              <w:t>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城镇独生子女父母奖励</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253.18</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546.79</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799.97</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计划生育避孕药具经费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人口出生性别比综合治理经费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计划生育目标责任制考核经费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6</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52.46</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63.46</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计划生育抽样调查和数据核查经费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28</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流动人口计划生育宣传管理和服务经费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w:t>
            </w:r>
            <w:r>
              <w:rPr>
                <w:rFonts w:ascii="仿宋" w:eastAsia="仿宋" w:hAnsi="仿宋" w:cs="仿宋" w:hint="eastAsia"/>
                <w:color w:val="333333"/>
              </w:rPr>
              <w:lastRenderedPageBreak/>
              <w:t>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计划生育能力建设经费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29.68</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29.68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小 计</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937.35</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973.79</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16.8</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1051.77</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2979.71</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r>
      <w:tr w:rsidR="00A35AD5">
        <w:trPr>
          <w:jc w:val="center"/>
        </w:trPr>
        <w:tc>
          <w:tcPr>
            <w:tcW w:w="727"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其他项目</w:t>
            </w: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解决吞食异物罪犯病房的改造及住院费用的经费（人民医院）</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35.68</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35.68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120急救指挥中心人员及运行经费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38</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卫生和计划生育宣教经费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县级公立医院人员经费固定补助</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475</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475</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基层医疗卫生院人员两保经费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1453</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1453</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w:t>
            </w:r>
            <w:r>
              <w:rPr>
                <w:rFonts w:ascii="仿宋" w:eastAsia="仿宋" w:hAnsi="仿宋" w:cs="仿宋" w:hint="eastAsia"/>
                <w:color w:val="333333"/>
              </w:rPr>
              <w:lastRenderedPageBreak/>
              <w:t>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湘潭县妇幼保健院经费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168</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168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老年乡村医生生活困难补助</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105.36</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105.36</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肇事肇祸等严重精神病障碍患者监护人申领看护管理奖励资金</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80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80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尘肺病农民工基本救治经费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19</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19</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人民医院建设项目（年初财源建设专项）</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4000</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4000</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尿毒症患者门诊医药费救助</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9.86</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9.86</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健康扶贫兜底资金</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681</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681</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卫健局机关及医院或乡镇卫生院</w:t>
            </w:r>
          </w:p>
        </w:tc>
      </w:tr>
      <w:tr w:rsidR="00A35AD5">
        <w:trPr>
          <w:jc w:val="center"/>
        </w:trPr>
        <w:tc>
          <w:tcPr>
            <w:tcW w:w="727" w:type="dxa"/>
            <w:vMerge/>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A35AD5">
            <w:pPr>
              <w:rPr>
                <w:rFonts w:ascii="仿宋" w:eastAsia="仿宋" w:hAnsi="仿宋" w:cs="仿宋"/>
                <w:sz w:val="24"/>
              </w:rPr>
            </w:pP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小 计</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7084.9</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7084.9</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r>
      <w:tr w:rsidR="00A35AD5">
        <w:trPr>
          <w:jc w:val="center"/>
        </w:trPr>
        <w:tc>
          <w:tcPr>
            <w:tcW w:w="727"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2034"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5743.15</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2758.1</w:t>
            </w:r>
          </w:p>
        </w:tc>
        <w:tc>
          <w:tcPr>
            <w:tcW w:w="896"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320.53</w:t>
            </w:r>
          </w:p>
        </w:tc>
        <w:tc>
          <w:tcPr>
            <w:tcW w:w="962"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10401.3</w:t>
            </w:r>
          </w:p>
        </w:tc>
        <w:tc>
          <w:tcPr>
            <w:tcW w:w="1211"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19223.08</w:t>
            </w:r>
          </w:p>
        </w:tc>
        <w:tc>
          <w:tcPr>
            <w:tcW w:w="548"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tcPr>
          <w:p w:rsidR="00A35AD5" w:rsidRDefault="00067B81">
            <w:pPr>
              <w:pStyle w:val="a3"/>
              <w:widowControl/>
              <w:spacing w:beforeAutospacing="0" w:afterAutospacing="0" w:line="33" w:lineRule="atLeast"/>
              <w:jc w:val="both"/>
              <w:rPr>
                <w:rFonts w:ascii="仿宋" w:eastAsia="仿宋" w:hAnsi="仿宋" w:cs="仿宋"/>
                <w:color w:val="333333"/>
              </w:rPr>
            </w:pPr>
            <w:r>
              <w:rPr>
                <w:rFonts w:ascii="仿宋" w:eastAsia="仿宋" w:hAnsi="仿宋" w:cs="仿宋" w:hint="eastAsia"/>
                <w:color w:val="333333"/>
              </w:rPr>
              <w:t> </w:t>
            </w:r>
          </w:p>
        </w:tc>
      </w:tr>
    </w:tbl>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 四、“三公”经费情况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（一）、“三公”经费财政拨款支出总体情况说明</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2018年三公经费实际支出7.06万元，其中公务车购置及运行维护费3.56万元，公务接待费3.5万元。公务接待费比年初预算节约8.4万元，比上年决算数78.56万元节约75.06万元，减少的原因如下：一是严格控制培训、会议规模，二是严格按《公务接待规定》接待、控制公务接待。公务车购置及运行维护费比2018年初预算6万元减少40.67%，比上年决算数4.43万元节约了19.64%，主要是实行了公车改革，且严格执行机关公务车管理制度。</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（二）、“三公”经费财政拨款支出决算具体情况说明</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我局2018年“三公”经费没有因公出国（境）团组人员，公务用车保有量是1辆，一般公务用车1辆，没有购置公务用车，国内公务接待批次是42个，国内接待人数706人。</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 五、政府性基金预算收入支出决算情况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我局2018年没有政府性基金预算收入和支出。</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 六、其他重要事项</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（一）、机关运行经费支出情况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本部门2018年度机关运行经费支出288.01万元，比2017年减少1424.9万元，降低83.19%。原因是：1、按照上级文件要求压减了一般性支出；2、将去年列入基本支出的项目调整到项目支出中，如计划生育奖扶、特扶、城镇独生子女父母奖励等资金列入到项目支出中。</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（二）政府采购支出情况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lastRenderedPageBreak/>
        <w:t>本部门2018 年度政府采购支出总额37.1万元，其中货物类16.14万元，服务类20.96万元。</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（三）、国有资产占用情况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截止2018年12月31日止，我局共有车辆1台，其中一般公务用车1台，没有部级领导干部用车，没有特种专业技术用车，没有其他用车。单位价值50万元以上的通用设备没有，单位价值100万元以上的专用设备没有。</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（三）、预算绩效情况的说明：</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我局严格执行【湘潭县预算绩效管理实施办法】。对本单位的总体支出及项目支出严格按照财政要求开展预算绩效评价工作，并将自评报告在门户网站进行了公开。</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 七、绩效评价工作情况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根据省财政厅《关于开展2018年开展部门整体绩效自评工作的通知》（湘财绩〔2019〕2号），湘潭县卫生健康局成立了由党组书记、局长贺卫文同志任组长，副局长刘冰薇同志任副组长，相关科室负责人为成员的绩效评价工作领导小组，负责绩效评价工作的组织领导和具体实施。评价小组采取座谈等方式听取情况，检查基本支出、项目支出有关账目，收集整理支出相关资料，并根据各部门报送的绩效自评材料进行分析，形成评价结论。</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八、部门整体支出绩效情况</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2018年，在县委、县政府的正确领导下，各部门根据《2018年湘潭县卫生计生工作要点》的要求，认真履行职责，较好地完成了年初确定的各项工作任务，湘潭县卫计各部门工作紧紧围绕“挺近全国百强县、创建全国文明城市”的全县既定目标，按照“改体制、强管理、优资源、扩渠道、抓基础”的基本原则，深入推进计划生育服务管理改革，持续深化医药卫生体制改革，卫生计生各项工作全面落实，人民群众健康水平稳步提升。</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 1.医政中医工作全面推进。推进名医、名科、名院建设，积极发挥13个医疗质量控制中心作用，采取业务指导、专家会诊、人员培训等方式加强县内各公立医疗机构质量管理。全年共计开展各类专家会诊53次，医务人员培训122次，业务指导性查房47次；调处医疗纠纷60起，调处成功59起，医疗纠纷数较去年同期下降25%，没有因医疗纠纷引发群体性事件或恶劣社会影响。全县19家乡镇卫生院均建成了中医药综合服务区，能运用6种以上中医适宜技术治疗基层常见病、多发病，基本满足了中医药服务需求。</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2.公卫传防工作全面发展。国家基本公共卫生服务能力持续提升，公卫覆盖人群上升到97%，全面落实了慢性病防控、免疫规划、居民健康档案等公共卫生</w:t>
      </w:r>
      <w:r>
        <w:rPr>
          <w:rFonts w:ascii="仿宋" w:eastAsia="仿宋" w:hAnsi="仿宋" w:cs="仿宋" w:hint="eastAsia"/>
          <w:color w:val="333333"/>
          <w:shd w:val="clear" w:color="auto" w:fill="FFFFFF"/>
        </w:rPr>
        <w:lastRenderedPageBreak/>
        <w:t>工作。积极开展传染病防治工作，县内法定传染病报告率、报告及时率100%；出生儿童建卡、建证、卡证符合率100%，入托入学儿童预防接种证查验率100%，卫生计生综合监督协管巡查、建档、报告率100%。全年未发生重大传染病暴发疫情，所有聚集性疫情均得到及时有效的控制，未发生因防控措施不力而导致疫情蔓延和扩散，未发生死亡病例。</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3.民生实事工作全面落实。全县人均期望寿命上升到80.3岁，符合政策生育率上升到97%，孕产妇死亡率下降到0.16/10万，三项指标均处于全省先进水平。累计开展免费“两癌”筛查23470例，免费产前检查6083例，严重精神障碍患者救治救助108例，均超额高质量完成工作任务。</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4.卫计执法工作全面推进。全面开展卫计执法体系建设，在乡镇设立卫计执法所，坚持广泛开展法制宣传教育。积极组织开展“五小”行业、非法行医等专项整治活动，严厉打击各类危害群众健康的违法行为。严格按照</w:t>
      </w:r>
      <w:r w:rsidRPr="00067B81">
        <w:rPr>
          <w:rFonts w:ascii="仿宋" w:eastAsia="仿宋" w:hAnsi="仿宋" w:cs="仿宋" w:hint="eastAsia"/>
          <w:color w:val="333333"/>
          <w:shd w:val="clear" w:color="auto" w:fill="FFFFFF"/>
        </w:rPr>
        <w:t>《中华人民共和国传染病防治法》</w:t>
      </w:r>
      <w:r>
        <w:rPr>
          <w:rFonts w:ascii="仿宋" w:eastAsia="仿宋" w:hAnsi="仿宋" w:cs="仿宋" w:hint="eastAsia"/>
          <w:color w:val="333333"/>
          <w:shd w:val="clear" w:color="auto" w:fill="FFFFFF"/>
        </w:rPr>
        <w:t>依法管理和防治各类传染病，采取有力措施，预防和控制传染病的发生和流行传播，全年无行政复议、行政诉讼案件发生。</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（五）聚焦服务民生，计划生育工作提质提档</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2018年，全县共出生11132人，符合政策生育率97.14%，出生性别比107.89，全年审查个人共计1812人次，审查单位244家，否决个人10人，否决单位1家。严格依法行政，通过系统督查，交办线索，掌握“两非”线索5条，办理案件5起。对7个乡镇进行了数据核查，对工作滑坡较严重的乡镇执行了“黄牌警告”或“预否决”。对乡镇卫计办主任、微机员和部分村专干进行了相关政策和业务培训。加快智慧阳光平台建设，充分利用信息化手段，满足群众多元化服务需求。在全县各医疗机构和步步高开设了母婴设施建设，落实对计生特殊家庭的关怀关爱举措及各项惠民政策。 </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九、存在的主要问题</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（一）预算准确率有待提高。从预、决算对比表中可以看出，各项费用明细存在超支或节约的现象，甚至某些明细有预算无决算，或有决算无预算。</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（二）资金支付的及时性有待加强，从资金入账的跨年度情况可以看出，因为资金支付的不及时，原本2018年需使用的项目资金，很一部分在2019年年初才予以支付。</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 十、改进措施和有关建议</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（一）经费拨付的时间要及时、并统筹调度好，避免项目实施与资金到位时间脱节，一方面影响项目建设进度，另一方面造成账面上存量资金过大。</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lastRenderedPageBreak/>
        <w:t>（二）合理安排预算支出计划，避免超额支出的情况，以加强预算的控制。科学编制预算，提高预算准确率。</w:t>
      </w:r>
    </w:p>
    <w:p w:rsidR="00A35AD5" w:rsidRDefault="00067B81">
      <w:pPr>
        <w:pStyle w:val="a3"/>
        <w:widowControl/>
        <w:spacing w:before="360" w:beforeAutospacing="0" w:afterAutospacing="0" w:line="33" w:lineRule="atLeast"/>
        <w:ind w:firstLine="420"/>
        <w:jc w:val="both"/>
        <w:rPr>
          <w:rFonts w:ascii="仿宋" w:eastAsia="仿宋" w:hAnsi="仿宋" w:cs="仿宋"/>
          <w:color w:val="333333"/>
        </w:rPr>
      </w:pPr>
      <w:r>
        <w:rPr>
          <w:rFonts w:ascii="仿宋" w:eastAsia="仿宋" w:hAnsi="仿宋" w:cs="仿宋" w:hint="eastAsia"/>
          <w:color w:val="333333"/>
          <w:shd w:val="clear" w:color="auto" w:fill="FFFFFF"/>
        </w:rPr>
        <w:t> </w:t>
      </w:r>
    </w:p>
    <w:p w:rsidR="00A35AD5" w:rsidRDefault="00067B81">
      <w:pPr>
        <w:pStyle w:val="a3"/>
        <w:widowControl/>
        <w:spacing w:before="360" w:beforeAutospacing="0" w:afterAutospacing="0" w:line="33" w:lineRule="atLeast"/>
        <w:ind w:firstLine="420"/>
        <w:jc w:val="right"/>
        <w:rPr>
          <w:rFonts w:ascii="仿宋" w:eastAsia="仿宋" w:hAnsi="仿宋" w:cs="仿宋"/>
          <w:color w:val="333333"/>
        </w:rPr>
      </w:pPr>
      <w:r>
        <w:rPr>
          <w:rFonts w:ascii="仿宋" w:eastAsia="仿宋" w:hAnsi="仿宋" w:cs="仿宋" w:hint="eastAsia"/>
          <w:color w:val="333333"/>
          <w:shd w:val="clear" w:color="auto" w:fill="FFFFFF"/>
        </w:rPr>
        <w:t> 湘潭县卫生健康局</w:t>
      </w:r>
    </w:p>
    <w:p w:rsidR="00A35AD5" w:rsidRDefault="00067B81">
      <w:pPr>
        <w:pStyle w:val="a3"/>
        <w:widowControl/>
        <w:spacing w:before="360" w:beforeAutospacing="0" w:afterAutospacing="0" w:line="33" w:lineRule="atLeast"/>
        <w:ind w:firstLine="420"/>
        <w:jc w:val="right"/>
        <w:rPr>
          <w:rFonts w:ascii="仿宋" w:eastAsia="仿宋" w:hAnsi="仿宋" w:cs="仿宋"/>
          <w:color w:val="333333"/>
        </w:rPr>
      </w:pPr>
      <w:r>
        <w:rPr>
          <w:rFonts w:ascii="仿宋" w:eastAsia="仿宋" w:hAnsi="仿宋" w:cs="仿宋" w:hint="eastAsia"/>
          <w:color w:val="333333"/>
          <w:shd w:val="clear" w:color="auto" w:fill="FFFFFF"/>
        </w:rPr>
        <w:t>2019年6月20日</w:t>
      </w:r>
    </w:p>
    <w:p w:rsidR="00A35AD5" w:rsidRDefault="00A35AD5">
      <w:pPr>
        <w:rPr>
          <w:rFonts w:ascii="仿宋" w:eastAsia="仿宋" w:hAnsi="仿宋" w:cs="仿宋"/>
        </w:rPr>
      </w:pPr>
    </w:p>
    <w:sectPr w:rsidR="00A35AD5" w:rsidSect="00A35A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06F6969"/>
    <w:rsid w:val="00067B81"/>
    <w:rsid w:val="00A35AD5"/>
    <w:rsid w:val="00C26DFD"/>
    <w:rsid w:val="00CB473B"/>
    <w:rsid w:val="2A7A0DFB"/>
    <w:rsid w:val="406F6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4CFE5B4-053F-4B24-AD40-86271727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35AD5"/>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A35AD5"/>
    <w:pPr>
      <w:spacing w:beforeAutospacing="1" w:afterAutospacing="1"/>
      <w:jc w:val="left"/>
      <w:outlineLvl w:val="1"/>
    </w:pPr>
    <w:rPr>
      <w:rFonts w:ascii="宋体" w:eastAsia="宋体" w:hAnsi="宋体" w:cs="Times New Roman" w:hint="eastAsia"/>
      <w:b/>
      <w:kern w:val="0"/>
      <w:sz w:val="36"/>
      <w:szCs w:val="36"/>
    </w:rPr>
  </w:style>
  <w:style w:type="paragraph" w:styleId="4">
    <w:name w:val="heading 4"/>
    <w:basedOn w:val="a"/>
    <w:next w:val="a"/>
    <w:semiHidden/>
    <w:unhideWhenUsed/>
    <w:qFormat/>
    <w:rsid w:val="00A35AD5"/>
    <w:pPr>
      <w:spacing w:beforeAutospacing="1" w:afterAutospacing="1"/>
      <w:jc w:val="left"/>
      <w:outlineLvl w:val="3"/>
    </w:pPr>
    <w:rPr>
      <w:rFonts w:ascii="宋体" w:eastAsia="宋体" w:hAnsi="宋体" w:cs="Times New Roman" w:hint="eastAsia"/>
      <w:b/>
      <w:kern w:val="0"/>
      <w:sz w:val="24"/>
    </w:rPr>
  </w:style>
  <w:style w:type="paragraph" w:styleId="6">
    <w:name w:val="heading 6"/>
    <w:basedOn w:val="a"/>
    <w:next w:val="a"/>
    <w:semiHidden/>
    <w:unhideWhenUsed/>
    <w:qFormat/>
    <w:rsid w:val="00A35AD5"/>
    <w:pPr>
      <w:spacing w:beforeAutospacing="1" w:afterAutospacing="1"/>
      <w:jc w:val="left"/>
      <w:outlineLvl w:val="5"/>
    </w:pPr>
    <w:rPr>
      <w:rFonts w:ascii="宋体" w:eastAsia="宋体" w:hAnsi="宋体" w:cs="Times New Roman" w:hint="eastAsia"/>
      <w:b/>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35AD5"/>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7317</Words>
  <Characters>1989</Characters>
  <Application>Microsoft Office Word</Application>
  <DocSecurity>0</DocSecurity>
  <Lines>16</Lines>
  <Paragraphs>18</Paragraphs>
  <ScaleCrop>false</ScaleCrop>
  <Company/>
  <LinksUpToDate>false</LinksUpToDate>
  <CharactersWithSpaces>9288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_丹_丹_</dc:creator>
  <cp:lastModifiedBy>Administrator</cp:lastModifiedBy>
  <cp:revision>3</cp:revision>
  <dcterms:created xsi:type="dcterms:W3CDTF">2025-03-17T03:43:00Z</dcterms:created>
  <dcterms:modified xsi:type="dcterms:W3CDTF">2025-03-17T03:44:00Z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2052-10.8.2.7072</vt:lpwstr>
  </property>
</Properties>
</file>