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jc w:val="center"/>
        <w:rPr>
          <w:sz w:val="56"/>
          <w:szCs w:val="56"/>
        </w:rPr>
      </w:pPr>
    </w:p>
    <w:p>
      <w:pPr>
        <w:pStyle w:val="15"/>
        <w:jc w:val="center"/>
        <w:rPr>
          <w:sz w:val="56"/>
          <w:szCs w:val="56"/>
        </w:rPr>
      </w:pPr>
    </w:p>
    <w:p>
      <w:pPr>
        <w:pStyle w:val="15"/>
        <w:jc w:val="center"/>
        <w:rPr>
          <w:sz w:val="84"/>
          <w:szCs w:val="84"/>
        </w:rPr>
      </w:pPr>
    </w:p>
    <w:p>
      <w:pPr>
        <w:pStyle w:val="15"/>
        <w:jc w:val="center"/>
        <w:rPr>
          <w:sz w:val="84"/>
          <w:szCs w:val="84"/>
        </w:rPr>
      </w:pPr>
    </w:p>
    <w:p>
      <w:pPr>
        <w:pStyle w:val="15"/>
        <w:jc w:val="center"/>
        <w:rPr>
          <w:sz w:val="84"/>
          <w:szCs w:val="84"/>
        </w:rPr>
      </w:pPr>
      <w:r>
        <w:rPr>
          <w:rFonts w:hint="eastAsia"/>
          <w:sz w:val="84"/>
          <w:szCs w:val="84"/>
        </w:rPr>
        <w:t>2023年度</w:t>
      </w:r>
    </w:p>
    <w:p>
      <w:pPr>
        <w:pStyle w:val="15"/>
        <w:jc w:val="center"/>
        <w:rPr>
          <w:sz w:val="84"/>
          <w:szCs w:val="84"/>
        </w:rPr>
      </w:pPr>
      <w:r>
        <w:rPr>
          <w:rFonts w:hint="eastAsia"/>
          <w:sz w:val="84"/>
          <w:szCs w:val="84"/>
        </w:rPr>
        <w:t>湘潭县发展和改革局部门</w:t>
      </w:r>
    </w:p>
    <w:p>
      <w:pPr>
        <w:pStyle w:val="15"/>
        <w:jc w:val="center"/>
        <w:rPr>
          <w:sz w:val="84"/>
          <w:szCs w:val="84"/>
        </w:rPr>
      </w:pPr>
      <w:r>
        <w:rPr>
          <w:rFonts w:hint="eastAsia"/>
          <w:sz w:val="84"/>
          <w:szCs w:val="84"/>
        </w:rPr>
        <w:t>决算</w:t>
      </w:r>
    </w:p>
    <w:p>
      <w:pPr>
        <w:pStyle w:val="15"/>
        <w:jc w:val="center"/>
        <w:rPr>
          <w:sz w:val="56"/>
          <w:szCs w:val="56"/>
        </w:rPr>
      </w:pPr>
    </w:p>
    <w:p>
      <w:pPr>
        <w:pStyle w:val="15"/>
        <w:jc w:val="center"/>
        <w:rPr>
          <w:sz w:val="56"/>
          <w:szCs w:val="56"/>
        </w:rPr>
      </w:pPr>
    </w:p>
    <w:p>
      <w:pPr>
        <w:pStyle w:val="15"/>
        <w:jc w:val="center"/>
        <w:rPr>
          <w:sz w:val="56"/>
          <w:szCs w:val="56"/>
        </w:rPr>
      </w:pPr>
    </w:p>
    <w:p>
      <w:pPr>
        <w:pStyle w:val="15"/>
        <w:jc w:val="center"/>
        <w:rPr>
          <w:sz w:val="56"/>
          <w:szCs w:val="56"/>
        </w:rPr>
      </w:pPr>
    </w:p>
    <w:p>
      <w:pPr>
        <w:pStyle w:val="15"/>
        <w:jc w:val="center"/>
        <w:rPr>
          <w:sz w:val="32"/>
          <w:szCs w:val="32"/>
        </w:rPr>
      </w:pPr>
    </w:p>
    <w:p>
      <w:pPr>
        <w:pStyle w:val="15"/>
        <w:jc w:val="center"/>
        <w:rPr>
          <w:sz w:val="32"/>
          <w:szCs w:val="32"/>
        </w:rPr>
      </w:pPr>
    </w:p>
    <w:p>
      <w:pPr>
        <w:pStyle w:val="15"/>
        <w:jc w:val="center"/>
        <w:rPr>
          <w:sz w:val="32"/>
          <w:szCs w:val="32"/>
        </w:rPr>
      </w:pPr>
    </w:p>
    <w:p>
      <w:pPr>
        <w:pStyle w:val="15"/>
        <w:spacing w:line="540" w:lineRule="exact"/>
        <w:jc w:val="center"/>
        <w:rPr>
          <w:sz w:val="56"/>
          <w:szCs w:val="56"/>
        </w:rPr>
      </w:pPr>
    </w:p>
    <w:p>
      <w:pPr>
        <w:pStyle w:val="15"/>
        <w:spacing w:line="500" w:lineRule="exact"/>
        <w:jc w:val="center"/>
        <w:rPr>
          <w:b/>
          <w:sz w:val="36"/>
          <w:szCs w:val="28"/>
        </w:rPr>
      </w:pPr>
    </w:p>
    <w:p>
      <w:pPr>
        <w:pStyle w:val="15"/>
        <w:spacing w:line="500" w:lineRule="exact"/>
        <w:jc w:val="center"/>
        <w:rPr>
          <w:b/>
          <w:sz w:val="36"/>
          <w:szCs w:val="28"/>
        </w:rPr>
      </w:pPr>
    </w:p>
    <w:p>
      <w:pPr>
        <w:pStyle w:val="15"/>
        <w:spacing w:line="500" w:lineRule="exact"/>
        <w:jc w:val="center"/>
        <w:rPr>
          <w:b/>
          <w:sz w:val="36"/>
          <w:szCs w:val="28"/>
        </w:rPr>
      </w:pPr>
      <w:r>
        <w:rPr>
          <w:rFonts w:hint="eastAsia"/>
          <w:b/>
          <w:sz w:val="36"/>
          <w:szCs w:val="28"/>
        </w:rPr>
        <w:t>目录</w:t>
      </w:r>
    </w:p>
    <w:p>
      <w:pPr>
        <w:pStyle w:val="15"/>
        <w:spacing w:line="480" w:lineRule="exact"/>
        <w:outlineLvl w:val="0"/>
        <w:rPr>
          <w:rFonts w:ascii="仿宋_GB2312" w:hAnsi="仿宋_GB2312" w:cs="仿宋_GB2312"/>
          <w:b/>
          <w:sz w:val="28"/>
          <w:szCs w:val="28"/>
        </w:rPr>
      </w:pPr>
      <w:r>
        <w:rPr>
          <w:rFonts w:hint="eastAsia"/>
          <w:b/>
          <w:sz w:val="28"/>
          <w:szCs w:val="28"/>
        </w:rPr>
        <w:t>第一部分湘潭县发展和改革局单位概况</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一、部门职责</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二、机构设置</w:t>
      </w:r>
    </w:p>
    <w:p>
      <w:pPr>
        <w:pStyle w:val="15"/>
        <w:spacing w:line="480" w:lineRule="exact"/>
        <w:outlineLvl w:val="0"/>
        <w:rPr>
          <w:rFonts w:ascii="仿宋_GB2312" w:hAnsi="仿宋_GB2312" w:cs="仿宋_GB2312"/>
          <w:b/>
          <w:sz w:val="28"/>
          <w:szCs w:val="28"/>
        </w:rPr>
      </w:pPr>
      <w:r>
        <w:rPr>
          <w:rFonts w:hint="eastAsia" w:hAnsi="仿宋_GB2312"/>
          <w:b/>
          <w:sz w:val="28"/>
          <w:szCs w:val="28"/>
        </w:rPr>
        <w:t>第二部分部门决算表</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一、收入支出决算总表</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二、收入决算表</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三、支出决算表</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四、财政拨款收入支出决算总表</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五、一般公共预算财政拨款支出决算表</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六、一般公共预算财政拨款基本支出决算明细表</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七、政府性基金预算财政拨款收入支出决算表</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八、国有资本经营预算财政拨款支出决算表</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九、财政拨款“三公”经费支出决算表</w:t>
      </w:r>
    </w:p>
    <w:p>
      <w:pPr>
        <w:pStyle w:val="15"/>
        <w:spacing w:line="480" w:lineRule="exact"/>
        <w:outlineLvl w:val="0"/>
        <w:rPr>
          <w:rFonts w:ascii="仿宋_GB2312" w:hAnsi="仿宋_GB2312" w:cs="仿宋_GB2312"/>
          <w:b/>
          <w:sz w:val="28"/>
          <w:szCs w:val="28"/>
        </w:rPr>
      </w:pPr>
      <w:r>
        <w:rPr>
          <w:rFonts w:hint="eastAsia" w:hAnsi="仿宋_GB2312"/>
          <w:b/>
          <w:sz w:val="28"/>
          <w:szCs w:val="28"/>
        </w:rPr>
        <w:t>第三部分部门决算情况说明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一、收入支出决算总体情况说明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二、收入决算情况说明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三、支出决算情况说明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四、财政拨款收入支出决算总体情况说明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五、一般公共预算财政拨款支出决算情况说明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六、一般公共预算财政拨款基本支出决算情况说明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七、财政拨款三公经费支出决算情况说明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八、政府性基金预算收入支出决算情况</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九、国有资本经营预算财政拨款支出决算情况</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十、关于机关运行经费支出说明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十一、一般性支出情况说明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十二、关于政府采购支出说明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十三、关于国有资产占用情况说明</w:t>
      </w:r>
    </w:p>
    <w:p>
      <w:pPr>
        <w:pStyle w:val="15"/>
        <w:spacing w:line="480" w:lineRule="exact"/>
        <w:ind w:firstLine="700" w:firstLineChars="250"/>
        <w:rPr>
          <w:rFonts w:ascii="仿宋" w:hAnsi="仿宋" w:eastAsia="仿宋" w:cs="仿宋"/>
          <w:sz w:val="28"/>
          <w:szCs w:val="28"/>
        </w:rPr>
      </w:pPr>
      <w:r>
        <w:rPr>
          <w:rFonts w:hint="eastAsia" w:ascii="仿宋" w:hAnsi="仿宋" w:eastAsia="仿宋" w:cs="仿宋"/>
          <w:sz w:val="28"/>
          <w:szCs w:val="28"/>
        </w:rPr>
        <w:t>十四、关于2023年度预算绩效情况的说明</w:t>
      </w:r>
    </w:p>
    <w:p>
      <w:pPr>
        <w:autoSpaceDE w:val="0"/>
        <w:autoSpaceDN w:val="0"/>
        <w:adjustRightInd w:val="0"/>
        <w:spacing w:line="480" w:lineRule="exact"/>
        <w:jc w:val="left"/>
        <w:outlineLvl w:val="0"/>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480" w:lineRule="exact"/>
        <w:jc w:val="left"/>
        <w:outlineLvl w:val="0"/>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5"/>
        <w:jc w:val="center"/>
        <w:rPr>
          <w:sz w:val="84"/>
          <w:szCs w:val="84"/>
        </w:rPr>
      </w:pPr>
      <w:r>
        <w:rPr>
          <w:rFonts w:hint="eastAsia"/>
          <w:sz w:val="84"/>
          <w:szCs w:val="84"/>
        </w:rPr>
        <w:t>第一部分</w:t>
      </w:r>
    </w:p>
    <w:p>
      <w:pPr>
        <w:pStyle w:val="15"/>
        <w:jc w:val="center"/>
        <w:rPr>
          <w:sz w:val="84"/>
          <w:szCs w:val="84"/>
        </w:rPr>
      </w:pPr>
    </w:p>
    <w:p>
      <w:pPr>
        <w:pStyle w:val="15"/>
        <w:jc w:val="center"/>
        <w:outlineLvl w:val="0"/>
        <w:rPr>
          <w:sz w:val="84"/>
          <w:szCs w:val="84"/>
        </w:rPr>
      </w:pPr>
      <w:r>
        <w:rPr>
          <w:rFonts w:hint="eastAsia"/>
          <w:sz w:val="84"/>
          <w:szCs w:val="84"/>
        </w:rPr>
        <w:t>湘潭县发展和改革局</w:t>
      </w:r>
    </w:p>
    <w:p>
      <w:pPr>
        <w:pStyle w:val="15"/>
        <w:jc w:val="center"/>
        <w:outlineLvl w:val="0"/>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6"/>
        <w:ind w:left="720" w:firstLine="0" w:firstLineChars="0"/>
        <w:jc w:val="left"/>
        <w:rPr>
          <w:rFonts w:ascii="黑体" w:hAnsi="黑体" w:eastAsia="黑体"/>
          <w:sz w:val="32"/>
          <w:szCs w:val="32"/>
        </w:rPr>
      </w:pPr>
    </w:p>
    <w:p>
      <w:pPr>
        <w:pStyle w:val="16"/>
        <w:numPr>
          <w:ilvl w:val="0"/>
          <w:numId w:val="1"/>
        </w:numPr>
        <w:ind w:firstLineChars="0"/>
        <w:jc w:val="left"/>
        <w:outlineLvl w:val="0"/>
        <w:rPr>
          <w:rFonts w:ascii="黑体" w:hAnsi="黑体" w:eastAsia="黑体"/>
          <w:sz w:val="32"/>
          <w:szCs w:val="32"/>
        </w:rPr>
      </w:pPr>
      <w:r>
        <w:rPr>
          <w:rFonts w:ascii="黑体" w:hAnsi="黑体" w:eastAsia="黑体"/>
          <w:sz w:val="32"/>
          <w:szCs w:val="32"/>
        </w:rPr>
        <w:t>部门职责</w:t>
      </w:r>
    </w:p>
    <w:p>
      <w:pPr>
        <w:ind w:firstLine="640" w:firstLineChars="200"/>
        <w:jc w:val="left"/>
        <w:outlineLvl w:val="0"/>
        <w:rPr>
          <w:rFonts w:ascii="仿宋" w:hAnsi="仿宋" w:eastAsia="仿宋" w:cs="仿宋"/>
          <w:sz w:val="32"/>
          <w:szCs w:val="32"/>
        </w:rPr>
      </w:pPr>
      <w:r>
        <w:rPr>
          <w:rFonts w:hint="eastAsia" w:ascii="仿宋" w:hAnsi="仿宋" w:eastAsia="仿宋" w:cs="仿宋"/>
          <w:bCs/>
          <w:sz w:val="32"/>
          <w:szCs w:val="32"/>
        </w:rPr>
        <w:t>（一）拟订并组织实施全县国民经济和社会发展、人口发展、粮食流通和物资储备发展战略、中长期规划、年度计划和政策措施。牵头组织统一规划体系建设，负责县级专项规划、区域规划、空间规划与全县发展规划的统筹衔接。受县人民政府委托，向县人民代表大会提交国民经济和社会发展计划的报告。</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（二）统筹协调经济社会发展。研究分析国内外、县内外经济形势和社会发展情况，监测预测预警全县宏观经济和社会发展态势，提出宏观调控措施和建议，协调解决宏观经济运行中的重大问题。</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（三）参与拟订财政政策、金融政策、土地政策等，汇总、分析政策的执行情况。负责企业债券发行的审查和申报，监督发行企业债券募集资金的使用。</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四）研究拟订综合性经济体制改革方案，协调有关专项经济体制改革方案，会同有关部门做好专项经济体制改革之间的衔接。牵头推进供给侧结构性改革，提出优化所有制结构和企业组织结构的建议，协调推进产权制度和要素市场化配置改革。</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五）研究提出全县利用外资和境外投资的战略、规划、总量平衡和结构优化的政策，负责全县全口径外债的总量控制、结构优化和监测工作，协调解决有关重大问题。会同相关部门组织实施市场准入负面清单制度，推动完善基本经济制度和现代市场体系建设。牵头推进实施“一带一路”建设。</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六）推进落实区域协调发展战略和重大政策，组织拟订相关区域规划和政策。贯彻落实国家中部崛起、长株潭城市群发展的政策措施。协调推进长株潭一体化建设和“3+5”城市群战略协作与分工。研究分析区域经济和城镇化发展情况，组织编制实施全县区域经济协调发展规划，会同有关部门研究拟订全县城镇化发展战略和重大政策措施。拟订并组织实施全县以工代赈等规划和计划。</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七）组织拟订综合性产业政策，负责协调第一、二、三产业发展的重大问题并统筹衔接相关发展规划和重大决策。协调推进重大基础设施建设。研究并协调农业和农村经济社会发展的有关重大问题，衔接农村专项规划和政策。会同有关部门拟订服务业发展战略和重大政策。牵头负责全县物流发展工作，拟订现代物流业发展战略、规划和政策，协调物流业发展重大布局。会同有关部门研究和拟订高新技术产业发展、产业技术进步的战略、规划和政策，实施高新技术产业发展的宏观指导，协调解决重大技术装备推广应用等方面的重大问题。综合研判消费变动趋势，拟订实施促进消费的综合性政策措施。</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八）推进实施创新驱动发展战略。会同相关部门拟订推进创新创业的规划和政策，提出创新发展和培育经济发展新动能和政策措施。研究提出产业集群发展相关政策措施。会同相关部门规划布局全县重大科技基础设施。组织拟订并推进实施高技术产业和战略性新兴产业发展规划政策，协调产业升级、重大技术装备推广应用等方面的重大问题。</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九）负责投资综合管理，拟订全县固定资产投资总规模和投资结构的调控目标、政策及措施，会同相关部门拟订政府投资项目审批权限和政府核准固定资产投资项目目录。负责政府投资项目审批，组织实施政府投资项目计划安排、评审论证、方案优化、估算审查、后评价等工作。提出深化投融资体制改革建议，协调推进投资项目审批制度改革。规划全县重大建设项目和生产力布局，按规定权限审批、核准、备案重大项目，协调平衡需要安排政府投资和涉及重大建设项目的专项规划。负责全县重大项目库建设和重大项目前期工作，研究提出全县中长期和年度重点建设项目、政府投资项目计划并组织、协调实施。指导、协调全县招标投标工作。负责政府投资项目代建制实施的指导、协调和监督管理工作。拟订并推动落实鼓励民间投资政策措施。牵头组织特重大自然灾害的灾后恢复重建规划编制，协调有关重大问题。</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十）负责重要商品总量平衡和宏观调控。编制重要农产品、工业品和原材料进出口总量计划并监督计划执行，根据经济运行情况对进出口总量计划进行调整。协助省市拟订国家战略物资储备规划，会同有关部门管理粮食、棉花和食糖等储备。</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十一）负责全县社会发展与国民经济的政策衔接。参与拟订科学技术、教育、文化、卫生、民政等发展政策。会同有关部门统筹推进基本公共服务体系建设，提出促进就业、调整收入分配、完善社会保障与经济协调发展的政策建议。协调社会事业发展和改革中的重大问题及政策。</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十二）研究经济社会与资源、环境协调发展的重大战略问题。组织拟订发展循环经济、全县资源节约和综合利用规划及政策措施并协调实施。参与编制生态建设、环境保护规划，协调生态环境保护与修复、能源资源节约和综合利用等工作。综合协调节能环保产业和清洁生产促进有关工作。统筹协调和优化能源结构，监测分析能源发展状况、运行和市场供应情况，统筹协调全县电力运行保障工作，做好全县能源供需总量平衡，落实能源体制改革。主管全县（除城镇燃气管道和炼油、化工等企业厂区内管道保护之外）的石油天然气管道保护工作。</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十三）宣传贯彻执行国家的价格法律法规、方针政策。负责市场物价形势分析和发展趋势预测。负责市场重要商品的市场价格监测分析工作，研究拟订涉及价格、收费方面的重大改革方案，组织实施价格总水平控制。负责价格成本调查和监审。</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（十四）组织编制全县国民经济建设和国防建设协调发展的规划、计划，组织实施国民经济动员和装备动员有关工作。</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十五）负责全县粮食市场体系建设，研究提出全县粮食宏观调控、县级储备粮总体发展规划和品种目录的建议，组织实施全县战略和应急物资储备的收购、轮换的日常管理，落实有关动用计划和指令。负责粮食流通和物资储备体制改革工作。</w:t>
      </w:r>
    </w:p>
    <w:p>
      <w:pPr>
        <w:pStyle w:val="9"/>
        <w:shd w:val="clear" w:color="auto" w:fill="FFFFFF"/>
        <w:spacing w:before="0" w:beforeAutospacing="0" w:after="0" w:afterAutospacing="0" w:line="480" w:lineRule="auto"/>
        <w:ind w:firstLine="480" w:firstLineChars="150"/>
        <w:jc w:val="both"/>
        <w:rPr>
          <w:rFonts w:ascii="仿宋" w:hAnsi="仿宋" w:eastAsia="仿宋" w:cs="仿宋"/>
          <w:bCs/>
          <w:sz w:val="32"/>
          <w:szCs w:val="32"/>
        </w:rPr>
      </w:pPr>
      <w:r>
        <w:rPr>
          <w:rFonts w:hint="eastAsia" w:ascii="仿宋" w:hAnsi="仿宋" w:eastAsia="仿宋" w:cs="仿宋"/>
          <w:bCs/>
          <w:sz w:val="32"/>
          <w:szCs w:val="32"/>
        </w:rPr>
        <w:t>（十六）负责县级储备粮的行政管理，承担全县粮食统计和粮食市场监测预警工作。指导协调最低收购粮食等政策性粮食购销和粮食产销合作，保障军队粮食供应。负责粮食流通监督检查，对管理的政府储备、企业储备以及储备政策落实情况进行监督检查。</w:t>
      </w:r>
    </w:p>
    <w:p>
      <w:pPr>
        <w:pStyle w:val="9"/>
        <w:shd w:val="clear" w:color="auto" w:fill="FFFFFF"/>
        <w:spacing w:before="0" w:beforeAutospacing="0" w:after="0" w:afterAutospacing="0" w:line="480" w:lineRule="auto"/>
        <w:ind w:firstLine="480" w:firstLineChars="150"/>
        <w:jc w:val="both"/>
        <w:rPr>
          <w:rFonts w:ascii="仿宋" w:hAnsi="仿宋" w:eastAsia="仿宋" w:cs="仿宋"/>
          <w:bCs/>
          <w:sz w:val="32"/>
          <w:szCs w:val="32"/>
        </w:rPr>
      </w:pPr>
      <w:r>
        <w:rPr>
          <w:rFonts w:hint="eastAsia" w:ascii="仿宋" w:hAnsi="仿宋" w:eastAsia="仿宋" w:cs="仿宋"/>
          <w:bCs/>
          <w:sz w:val="32"/>
          <w:szCs w:val="32"/>
        </w:rPr>
        <w:t>（十七）负责县域范围内粮食收购、储存、运输环节粮食质量安全和原粮卫生的监督管理，组织实施粮食库存检查工作。负责全县粮食流通、加工行业安全生产工作的监督管理。承担所属物资储备承储单位安全生产的监管责任。承担粮食安全责任制考核的组织实施工作。</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十八）负责粮食和物资储备基础设施建设和管理。组织编制粮食流通、加工和物资储备基础设施建设规划。管理有关储备基础设施和粮食流通设施投资项目。承担粮食和物资储备信息化建设工作。指导粮食流通和物资储备的科技创新、技术改造。</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（十九）统筹推进信用体系建设工作。</w:t>
      </w:r>
    </w:p>
    <w:p>
      <w:pPr>
        <w:pStyle w:val="9"/>
        <w:shd w:val="clear" w:color="auto" w:fill="FFFFFF"/>
        <w:spacing w:before="0" w:beforeAutospacing="0" w:after="0" w:afterAutospacing="0" w:line="480" w:lineRule="auto"/>
        <w:ind w:firstLine="640" w:firstLineChars="200"/>
        <w:jc w:val="both"/>
        <w:rPr>
          <w:rFonts w:ascii="仿宋" w:hAnsi="仿宋" w:eastAsia="仿宋" w:cs="仿宋"/>
          <w:bCs/>
          <w:sz w:val="32"/>
          <w:szCs w:val="32"/>
        </w:rPr>
      </w:pPr>
      <w:r>
        <w:rPr>
          <w:rFonts w:hint="eastAsia" w:ascii="仿宋" w:hAnsi="仿宋" w:eastAsia="仿宋" w:cs="仿宋"/>
          <w:bCs/>
          <w:sz w:val="32"/>
          <w:szCs w:val="32"/>
        </w:rPr>
        <w:t>（二十）完成县委、县政府交办的其他任务。</w:t>
      </w:r>
    </w:p>
    <w:p>
      <w:pPr>
        <w:widowControl/>
        <w:spacing w:line="600" w:lineRule="exact"/>
        <w:outlineLvl w:val="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ascii="仿宋" w:hAnsi="仿宋" w:eastAsia="仿宋" w:cs="仿宋"/>
          <w:bCs/>
          <w:kern w:val="0"/>
          <w:sz w:val="32"/>
          <w:szCs w:val="32"/>
        </w:rPr>
      </w:pPr>
      <w:r>
        <w:rPr>
          <w:rFonts w:hint="eastAsia" w:ascii="仿宋" w:hAnsi="仿宋" w:eastAsia="仿宋" w:cs="仿宋"/>
          <w:bCs/>
          <w:kern w:val="0"/>
          <w:sz w:val="32"/>
          <w:szCs w:val="32"/>
        </w:rPr>
        <w:t>（一）内设机构设置。湘潭县发展和改革局（湘潭县国防动员办公室、湘潭县粮食和物资储备局）内设股室为：综合办公室﹙经济体制综合改革股﹚、政策法规股（审批服务股）、农村经济股、工业交通能源环资股、第三产业办公室﹙社会事业发展股、商务流通股﹚、价格管理和成本调查股、粮食和物资储备股（粮食产业发展和粮食安全监管股）、财务审计股、离退休人员管理服务股、党建办。下属二级事业机构为：湘潭县重点建设项目事务中心、湘潭县政府投资项目评审中心、湘潭县重点项目开发前期服务中心、湘潭县价格认证和监测中心、长株潭一体化发展事务中心。</w:t>
      </w:r>
    </w:p>
    <w:p>
      <w:pPr>
        <w:widowControl/>
        <w:spacing w:line="600" w:lineRule="exact"/>
        <w:ind w:firstLine="640" w:firstLineChars="200"/>
        <w:rPr>
          <w:rFonts w:ascii="仿宋" w:hAnsi="仿宋" w:eastAsia="仿宋" w:cs="仿宋"/>
          <w:bCs/>
          <w:kern w:val="0"/>
          <w:sz w:val="32"/>
          <w:szCs w:val="32"/>
        </w:rPr>
      </w:pPr>
      <w:r>
        <w:rPr>
          <w:rFonts w:hint="eastAsia" w:ascii="仿宋" w:hAnsi="仿宋" w:eastAsia="仿宋" w:cs="仿宋"/>
          <w:bCs/>
          <w:kern w:val="0"/>
          <w:sz w:val="32"/>
          <w:szCs w:val="32"/>
        </w:rPr>
        <w:t>2023年本部门核定编制人数</w:t>
      </w:r>
      <w:r>
        <w:rPr>
          <w:rFonts w:hint="eastAsia" w:ascii="仿宋" w:hAnsi="仿宋" w:eastAsia="仿宋" w:cs="仿宋"/>
          <w:bCs/>
          <w:kern w:val="0"/>
          <w:sz w:val="32"/>
          <w:szCs w:val="32"/>
          <w:lang w:val="en-US" w:eastAsia="zh-CN"/>
        </w:rPr>
        <w:t>53</w:t>
      </w:r>
      <w:r>
        <w:rPr>
          <w:rFonts w:hint="eastAsia" w:ascii="仿宋" w:hAnsi="仿宋" w:eastAsia="仿宋" w:cs="仿宋"/>
          <w:bCs/>
          <w:kern w:val="0"/>
          <w:sz w:val="32"/>
          <w:szCs w:val="32"/>
        </w:rPr>
        <w:t>人，其中行政编制</w:t>
      </w:r>
      <w:r>
        <w:rPr>
          <w:rFonts w:hint="eastAsia" w:ascii="仿宋" w:hAnsi="仿宋" w:eastAsia="仿宋" w:cs="仿宋"/>
          <w:bCs/>
          <w:kern w:val="0"/>
          <w:sz w:val="32"/>
          <w:szCs w:val="32"/>
          <w:lang w:val="en-US" w:eastAsia="zh-CN"/>
        </w:rPr>
        <w:t>22</w:t>
      </w:r>
      <w:r>
        <w:rPr>
          <w:rFonts w:hint="eastAsia" w:ascii="仿宋" w:hAnsi="仿宋" w:eastAsia="仿宋" w:cs="仿宋"/>
          <w:bCs/>
          <w:kern w:val="0"/>
          <w:sz w:val="32"/>
          <w:szCs w:val="32"/>
        </w:rPr>
        <w:t>人，事业编制</w:t>
      </w:r>
      <w:r>
        <w:rPr>
          <w:rFonts w:hint="eastAsia" w:ascii="仿宋" w:hAnsi="仿宋" w:eastAsia="仿宋" w:cs="仿宋"/>
          <w:bCs/>
          <w:kern w:val="0"/>
          <w:sz w:val="32"/>
          <w:szCs w:val="32"/>
          <w:lang w:val="en-US" w:eastAsia="zh-CN"/>
        </w:rPr>
        <w:t>25</w:t>
      </w:r>
      <w:r>
        <w:rPr>
          <w:rFonts w:hint="eastAsia" w:ascii="仿宋" w:hAnsi="仿宋" w:eastAsia="仿宋" w:cs="仿宋"/>
          <w:bCs/>
          <w:kern w:val="0"/>
          <w:sz w:val="32"/>
          <w:szCs w:val="32"/>
        </w:rPr>
        <w:t>人，后勤编制6人；实有在职人员</w:t>
      </w:r>
      <w:r>
        <w:rPr>
          <w:rFonts w:hint="eastAsia" w:ascii="仿宋" w:hAnsi="仿宋" w:eastAsia="仿宋" w:cs="仿宋"/>
          <w:bCs/>
          <w:kern w:val="0"/>
          <w:sz w:val="32"/>
          <w:szCs w:val="32"/>
          <w:lang w:val="en-US" w:eastAsia="zh-CN"/>
        </w:rPr>
        <w:t>49</w:t>
      </w:r>
      <w:r>
        <w:rPr>
          <w:rFonts w:hint="eastAsia" w:ascii="仿宋" w:hAnsi="仿宋" w:eastAsia="仿宋" w:cs="仿宋"/>
          <w:bCs/>
          <w:kern w:val="0"/>
          <w:sz w:val="32"/>
          <w:szCs w:val="32"/>
        </w:rPr>
        <w:t>人，其中：行政人员12人，非参公事业人员</w:t>
      </w:r>
      <w:r>
        <w:rPr>
          <w:rFonts w:hint="eastAsia" w:ascii="仿宋" w:hAnsi="仿宋" w:eastAsia="仿宋" w:cs="仿宋"/>
          <w:bCs/>
          <w:kern w:val="0"/>
          <w:sz w:val="32"/>
          <w:szCs w:val="32"/>
          <w:lang w:val="en-US" w:eastAsia="zh-CN"/>
        </w:rPr>
        <w:t>31</w:t>
      </w:r>
      <w:r>
        <w:rPr>
          <w:rFonts w:hint="eastAsia" w:ascii="仿宋" w:hAnsi="仿宋" w:eastAsia="仿宋" w:cs="仿宋"/>
          <w:bCs/>
          <w:kern w:val="0"/>
          <w:sz w:val="32"/>
          <w:szCs w:val="32"/>
        </w:rPr>
        <w:t>人，机关后勤人员6人。现有退休人员74人，遗属人员6人。实有车辆数2辆。</w:t>
      </w:r>
    </w:p>
    <w:p>
      <w:pPr>
        <w:widowControl/>
        <w:spacing w:line="600" w:lineRule="exact"/>
        <w:ind w:firstLine="640" w:firstLineChars="200"/>
        <w:rPr>
          <w:rFonts w:ascii="仿宋" w:hAnsi="仿宋" w:eastAsia="仿宋" w:cs="仿宋"/>
          <w:sz w:val="28"/>
          <w:szCs w:val="28"/>
        </w:rPr>
      </w:pPr>
      <w:r>
        <w:rPr>
          <w:rFonts w:hint="eastAsia" w:ascii="仿宋" w:hAnsi="仿宋" w:eastAsia="仿宋" w:cs="仿宋"/>
          <w:bCs/>
          <w:kern w:val="0"/>
          <w:sz w:val="32"/>
          <w:szCs w:val="32"/>
        </w:rPr>
        <w:t>（二）决算单位构成。湘潭县发展和改革局2023年部门决算</w:t>
      </w:r>
      <w:r>
        <w:rPr>
          <w:rFonts w:hint="eastAsia" w:ascii="仿宋" w:hAnsi="仿宋" w:eastAsia="仿宋" w:cs="仿宋"/>
          <w:kern w:val="0"/>
          <w:sz w:val="32"/>
          <w:szCs w:val="32"/>
        </w:rPr>
        <w:t>汇总公开单位</w:t>
      </w:r>
      <w:r>
        <w:rPr>
          <w:rFonts w:hint="eastAsia" w:ascii="仿宋" w:hAnsi="仿宋" w:eastAsia="仿宋" w:cs="仿宋"/>
          <w:bCs/>
          <w:kern w:val="0"/>
          <w:sz w:val="32"/>
          <w:szCs w:val="32"/>
        </w:rPr>
        <w:t>构成包括：湘潭县发展和改革局单位本级，没有其他单位，因此本部门决算仅含本级决算。</w:t>
      </w:r>
    </w:p>
    <w:p>
      <w:pPr>
        <w:widowControl/>
        <w:spacing w:line="600" w:lineRule="exact"/>
        <w:ind w:firstLine="640" w:firstLineChars="200"/>
        <w:rPr>
          <w:rFonts w:ascii="仿宋" w:hAnsi="仿宋" w:eastAsia="仿宋" w:cs="仿宋"/>
          <w:bCs/>
          <w:kern w:val="0"/>
          <w:sz w:val="32"/>
          <w:szCs w:val="32"/>
        </w:rPr>
      </w:pPr>
    </w:p>
    <w:p>
      <w:pPr>
        <w:widowControl/>
        <w:spacing w:line="600" w:lineRule="exact"/>
        <w:ind w:firstLine="320" w:firstLineChars="100"/>
        <w:rPr>
          <w:rFonts w:ascii="仿宋" w:hAnsi="仿宋" w:eastAsia="仿宋" w:cs="仿宋"/>
          <w:bCs/>
          <w:kern w:val="0"/>
          <w:sz w:val="32"/>
          <w:szCs w:val="32"/>
        </w:rPr>
      </w:pPr>
    </w:p>
    <w:p>
      <w:pPr>
        <w:widowControl/>
        <w:spacing w:line="600" w:lineRule="exact"/>
        <w:ind w:firstLine="320" w:firstLineChars="100"/>
        <w:rPr>
          <w:rFonts w:ascii="仿宋" w:hAnsi="仿宋" w:eastAsia="仿宋" w:cs="仿宋"/>
          <w:bCs/>
          <w:kern w:val="0"/>
          <w:sz w:val="32"/>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pStyle w:val="15"/>
        <w:jc w:val="center"/>
        <w:rPr>
          <w:sz w:val="84"/>
          <w:szCs w:val="84"/>
        </w:rPr>
      </w:pPr>
      <w:r>
        <w:rPr>
          <w:rFonts w:hint="eastAsia"/>
          <w:sz w:val="84"/>
          <w:szCs w:val="84"/>
        </w:rPr>
        <w:t>第二部分</w:t>
      </w:r>
    </w:p>
    <w:p>
      <w:pPr>
        <w:pStyle w:val="15"/>
        <w:jc w:val="center"/>
        <w:rPr>
          <w:sz w:val="84"/>
          <w:szCs w:val="84"/>
        </w:rPr>
      </w:pPr>
    </w:p>
    <w:p>
      <w:pPr>
        <w:pStyle w:val="15"/>
        <w:jc w:val="center"/>
        <w:rPr>
          <w:sz w:val="84"/>
          <w:szCs w:val="84"/>
        </w:rPr>
      </w:pPr>
      <w:r>
        <w:rPr>
          <w:rFonts w:hint="eastAsia"/>
          <w:sz w:val="84"/>
          <w:szCs w:val="84"/>
        </w:rPr>
        <w:t>部门决算表</w:t>
      </w:r>
    </w:p>
    <w:p>
      <w:pPr>
        <w:pStyle w:val="15"/>
        <w:jc w:val="center"/>
        <w:rPr>
          <w:sz w:val="84"/>
          <w:szCs w:val="84"/>
        </w:rPr>
      </w:pPr>
    </w:p>
    <w:p>
      <w:pPr>
        <w:jc w:val="center"/>
        <w:rPr>
          <w:sz w:val="72"/>
          <w:szCs w:val="72"/>
        </w:rPr>
      </w:pPr>
    </w:p>
    <w:p>
      <w:pPr>
        <w:jc w:val="center"/>
        <w:rPr>
          <w:sz w:val="72"/>
          <w:szCs w:val="72"/>
        </w:rPr>
      </w:pPr>
    </w:p>
    <w:p>
      <w:pPr>
        <w:jc w:val="center"/>
        <w:rPr>
          <w:sz w:val="72"/>
          <w:szCs w:val="72"/>
        </w:rPr>
        <w:sectPr>
          <w:pgSz w:w="11906" w:h="16838"/>
          <w:pgMar w:top="720" w:right="720" w:bottom="720" w:left="720" w:header="851" w:footer="992" w:gutter="0"/>
          <w:cols w:space="425" w:num="1"/>
          <w:docGrid w:type="lines" w:linePitch="312" w:charSpace="0"/>
        </w:sectPr>
      </w:pPr>
    </w:p>
    <w:p>
      <w:pPr>
        <w:jc w:val="left"/>
        <w:rPr>
          <w:sz w:val="32"/>
          <w:szCs w:val="32"/>
        </w:rPr>
      </w:pPr>
    </w:p>
    <w:tbl>
      <w:tblPr>
        <w:tblStyle w:val="10"/>
        <w:tblpPr w:leftFromText="180" w:rightFromText="180" w:vertAnchor="page" w:horzAnchor="margin" w:tblpXSpec="center" w:tblpY="1203"/>
        <w:tblW w:w="14129" w:type="dxa"/>
        <w:tblInd w:w="0" w:type="dxa"/>
        <w:tblLayout w:type="fixed"/>
        <w:tblCellMar>
          <w:top w:w="0" w:type="dxa"/>
          <w:left w:w="108" w:type="dxa"/>
          <w:bottom w:w="0" w:type="dxa"/>
          <w:right w:w="108" w:type="dxa"/>
        </w:tblCellMar>
      </w:tblPr>
      <w:tblGrid>
        <w:gridCol w:w="4138"/>
        <w:gridCol w:w="450"/>
        <w:gridCol w:w="633"/>
        <w:gridCol w:w="699"/>
        <w:gridCol w:w="237"/>
        <w:gridCol w:w="295"/>
        <w:gridCol w:w="3624"/>
        <w:gridCol w:w="1003"/>
        <w:gridCol w:w="869"/>
        <w:gridCol w:w="659"/>
        <w:gridCol w:w="1522"/>
      </w:tblGrid>
      <w:tr>
        <w:trPr>
          <w:trHeight w:val="355" w:hRule="atLeast"/>
        </w:trPr>
        <w:tc>
          <w:tcPr>
            <w:tcW w:w="14129"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6" w:hRule="atLeast"/>
        </w:trPr>
        <w:tc>
          <w:tcPr>
            <w:tcW w:w="5221"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91"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296" w:hRule="atLeast"/>
        </w:trPr>
        <w:tc>
          <w:tcPr>
            <w:tcW w:w="5221"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部门：湘潭县发展和改革局</w:t>
            </w:r>
          </w:p>
        </w:tc>
        <w:tc>
          <w:tcPr>
            <w:tcW w:w="69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91"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35" w:hRule="atLeast"/>
        </w:trPr>
        <w:tc>
          <w:tcPr>
            <w:tcW w:w="6452"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7677"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864"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05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p>
        </w:tc>
        <w:tc>
          <w:tcPr>
            <w:tcW w:w="1864"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rPr>
            </w:pPr>
          </w:p>
        </w:tc>
        <w:tc>
          <w:tcPr>
            <w:tcW w:w="305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rPr>
          <w:trHeight w:val="90"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3,906.95</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32</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ascii="宋体" w:hAnsi="宋体" w:eastAsia="宋体" w:cs="宋体"/>
                <w:kern w:val="0"/>
                <w:sz w:val="22"/>
              </w:rPr>
              <w:t>1,</w:t>
            </w:r>
            <w:r>
              <w:rPr>
                <w:rFonts w:hint="eastAsia" w:ascii="宋体" w:hAnsi="宋体" w:eastAsia="宋体" w:cs="宋体"/>
                <w:kern w:val="0"/>
                <w:sz w:val="22"/>
              </w:rPr>
              <w:t>821</w:t>
            </w:r>
            <w:r>
              <w:rPr>
                <w:rFonts w:ascii="宋体" w:hAnsi="宋体" w:eastAsia="宋体" w:cs="宋体"/>
                <w:kern w:val="0"/>
                <w:sz w:val="22"/>
              </w:rPr>
              <w:t>.</w:t>
            </w:r>
            <w:r>
              <w:rPr>
                <w:rFonts w:hint="eastAsia" w:ascii="宋体" w:hAnsi="宋体" w:eastAsia="宋体" w:cs="宋体"/>
                <w:kern w:val="0"/>
                <w:sz w:val="22"/>
              </w:rPr>
              <w:t>39</w:t>
            </w:r>
          </w:p>
        </w:tc>
      </w:tr>
      <w:tr>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33</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34</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35</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36</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89"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6</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37</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7</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七、文化旅游体育与传媒支出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38</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8</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470.38</w:t>
            </w: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八、社会保障和就业支出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39</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rPr>
            </w:pPr>
            <w:r>
              <w:rPr>
                <w:rFonts w:hint="eastAsia" w:ascii="宋体" w:hAnsi="宋体" w:eastAsia="宋体" w:cs="宋体"/>
                <w:kern w:val="0"/>
                <w:sz w:val="22"/>
              </w:rPr>
              <w:t>124.44</w:t>
            </w:r>
          </w:p>
        </w:tc>
      </w:tr>
      <w:tr>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9</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九、卫生健康支出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40</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rPr>
            </w:pPr>
            <w:r>
              <w:rPr>
                <w:rFonts w:hint="eastAsia" w:ascii="宋体" w:hAnsi="宋体" w:eastAsia="宋体" w:cs="宋体"/>
                <w:kern w:val="0"/>
                <w:sz w:val="22"/>
              </w:rPr>
              <w:t>30.4</w:t>
            </w:r>
            <w:r>
              <w:rPr>
                <w:rFonts w:ascii="宋体" w:hAnsi="宋体" w:eastAsia="宋体" w:cs="宋体"/>
                <w:kern w:val="0"/>
                <w:sz w:val="22"/>
              </w:rPr>
              <w:t>6</w:t>
            </w:r>
          </w:p>
        </w:tc>
      </w:tr>
      <w:tr>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10</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十、节能环保支出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41</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11</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rPr>
            </w:pPr>
            <w:r>
              <w:rPr>
                <w:rFonts w:hint="eastAsia" w:ascii="宋体" w:hAnsi="宋体" w:eastAsia="宋体" w:cs="宋体"/>
                <w:color w:val="000000"/>
                <w:kern w:val="0"/>
                <w:sz w:val="22"/>
              </w:rPr>
              <w:t>十一、城乡社区支出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42</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rPr>
            </w:pPr>
            <w:r>
              <w:rPr>
                <w:rFonts w:hint="eastAsia" w:ascii="宋体" w:hAnsi="宋体" w:eastAsia="宋体" w:cs="宋体"/>
                <w:kern w:val="0"/>
                <w:sz w:val="22"/>
              </w:rPr>
              <w:t>9</w:t>
            </w:r>
            <w:r>
              <w:rPr>
                <w:rFonts w:ascii="宋体" w:hAnsi="宋体" w:eastAsia="宋体" w:cs="宋体"/>
                <w:kern w:val="0"/>
                <w:sz w:val="22"/>
              </w:rPr>
              <w:t>0.00</w:t>
            </w:r>
          </w:p>
        </w:tc>
      </w:tr>
      <w:tr>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12</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十二、农林水支出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43</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13</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2"/>
              </w:rPr>
            </w:pPr>
            <w:r>
              <w:rPr>
                <w:rFonts w:hint="eastAsia" w:ascii="宋体" w:hAnsi="宋体" w:eastAsia="宋体" w:cs="宋体"/>
                <w:color w:val="000000"/>
                <w:kern w:val="0"/>
                <w:sz w:val="22"/>
              </w:rPr>
              <w:t>十三、交通运输支出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44</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14</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0"/>
                <w:szCs w:val="20"/>
              </w:rPr>
            </w:pPr>
            <w:r>
              <w:rPr>
                <w:rFonts w:hint="eastAsia" w:ascii="宋体" w:hAnsi="宋体" w:eastAsia="宋体" w:cs="宋体"/>
                <w:color w:val="000000"/>
                <w:kern w:val="0"/>
                <w:sz w:val="22"/>
              </w:rPr>
              <w:t>十四、资源勘探工业信息等支出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45</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rPr>
            </w:pPr>
            <w:r>
              <w:rPr>
                <w:rFonts w:hint="eastAsia" w:ascii="宋体" w:hAnsi="宋体" w:eastAsia="宋体" w:cs="宋体"/>
                <w:kern w:val="0"/>
                <w:sz w:val="22"/>
              </w:rPr>
              <w:t>232.86</w:t>
            </w: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15</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十五、商业服务业等支出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46</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70.00</w:t>
            </w: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16</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十六、金融支出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47</w:t>
            </w:r>
          </w:p>
        </w:tc>
        <w:tc>
          <w:tcPr>
            <w:tcW w:w="3050"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17</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十七、援助其他地区支出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48</w:t>
            </w:r>
          </w:p>
        </w:tc>
        <w:tc>
          <w:tcPr>
            <w:tcW w:w="3050"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18</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十八、自然资源海洋气象等支出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49</w:t>
            </w:r>
          </w:p>
        </w:tc>
        <w:tc>
          <w:tcPr>
            <w:tcW w:w="3050"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19</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十九、住房保障支出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50</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rPr>
            </w:pPr>
            <w:r>
              <w:rPr>
                <w:rFonts w:hint="eastAsia" w:ascii="宋体" w:hAnsi="宋体" w:eastAsia="宋体" w:cs="宋体"/>
                <w:kern w:val="0"/>
                <w:sz w:val="22"/>
              </w:rPr>
              <w:t>45.24</w:t>
            </w: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20</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二十、粮油物资储备支出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51</w:t>
            </w:r>
          </w:p>
        </w:tc>
        <w:tc>
          <w:tcPr>
            <w:tcW w:w="3050" w:type="dxa"/>
            <w:gridSpan w:val="3"/>
            <w:tcBorders>
              <w:top w:val="nil"/>
              <w:left w:val="nil"/>
              <w:bottom w:val="single" w:color="auto" w:sz="4" w:space="0"/>
              <w:right w:val="single" w:color="auto" w:sz="4" w:space="0"/>
            </w:tcBorders>
            <w:shd w:val="clear" w:color="auto" w:fill="auto"/>
            <w:noWrap/>
          </w:tcPr>
          <w:p>
            <w:pPr>
              <w:widowControl/>
              <w:jc w:val="right"/>
              <w:rPr>
                <w:rFonts w:ascii="宋体" w:hAnsi="宋体" w:eastAsia="宋体" w:cs="宋体"/>
                <w:kern w:val="0"/>
                <w:sz w:val="22"/>
              </w:rPr>
            </w:pPr>
            <w:r>
              <w:rPr>
                <w:rFonts w:hint="eastAsia" w:ascii="宋体" w:hAnsi="宋体" w:eastAsia="宋体" w:cs="宋体"/>
                <w:kern w:val="0"/>
                <w:sz w:val="22"/>
              </w:rPr>
              <w:t>1,820.93</w:t>
            </w: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21</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二十一、国有资本经营预算支出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52</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89"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22</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二十二、灾害防治及应急管理支出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53</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50.00</w:t>
            </w: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23</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二十三、其他支出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54</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0"/>
                <w:szCs w:val="20"/>
              </w:rPr>
              <w:t>24</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二十四、债务还本支出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55</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0"/>
                <w:szCs w:val="20"/>
              </w:rPr>
              <w:t>25</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二十五、债务付息支出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56</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0"/>
                <w:szCs w:val="20"/>
              </w:rPr>
              <w:t>26</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二十六、抗疫特别国债安排的支出</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kern w:val="0"/>
                <w:sz w:val="22"/>
              </w:rPr>
            </w:pPr>
            <w:r>
              <w:rPr>
                <w:rFonts w:hint="eastAsia" w:ascii="宋体" w:hAnsi="宋体" w:eastAsia="宋体" w:cs="宋体"/>
                <w:bCs/>
                <w:color w:val="000000"/>
                <w:kern w:val="0"/>
                <w:sz w:val="22"/>
              </w:rPr>
              <w:t>57</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kern w:val="0"/>
                <w:sz w:val="22"/>
              </w:rPr>
            </w:pPr>
            <w:r>
              <w:rPr>
                <w:rFonts w:hint="eastAsia" w:ascii="宋体" w:hAnsi="宋体" w:eastAsia="宋体" w:cs="宋体"/>
                <w:b/>
                <w:color w:val="000000"/>
                <w:kern w:val="0"/>
                <w:sz w:val="22"/>
              </w:rPr>
              <w:t>27</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kern w:val="0"/>
                <w:sz w:val="22"/>
              </w:rPr>
            </w:pPr>
            <w:r>
              <w:rPr>
                <w:rFonts w:ascii="宋体" w:hAnsi="宋体" w:eastAsia="宋体" w:cs="宋体"/>
                <w:b/>
                <w:kern w:val="0"/>
                <w:sz w:val="22"/>
              </w:rPr>
              <w:t>4,</w:t>
            </w:r>
            <w:r>
              <w:rPr>
                <w:rFonts w:hint="eastAsia" w:ascii="宋体" w:hAnsi="宋体" w:eastAsia="宋体" w:cs="宋体"/>
                <w:b/>
                <w:kern w:val="0"/>
                <w:sz w:val="22"/>
              </w:rPr>
              <w:t>377</w:t>
            </w:r>
            <w:r>
              <w:rPr>
                <w:rFonts w:ascii="宋体" w:hAnsi="宋体" w:eastAsia="宋体" w:cs="宋体"/>
                <w:b/>
                <w:kern w:val="0"/>
                <w:sz w:val="22"/>
              </w:rPr>
              <w:t>.</w:t>
            </w:r>
            <w:r>
              <w:rPr>
                <w:rFonts w:hint="eastAsia" w:ascii="宋体" w:hAnsi="宋体" w:eastAsia="宋体" w:cs="宋体"/>
                <w:b/>
                <w:kern w:val="0"/>
                <w:sz w:val="22"/>
              </w:rPr>
              <w:t>3</w:t>
            </w:r>
            <w:r>
              <w:rPr>
                <w:rFonts w:ascii="宋体" w:hAnsi="宋体" w:eastAsia="宋体" w:cs="宋体"/>
                <w:b/>
                <w:kern w:val="0"/>
                <w:sz w:val="22"/>
              </w:rPr>
              <w:t>3</w:t>
            </w:r>
          </w:p>
        </w:tc>
        <w:tc>
          <w:tcPr>
            <w:tcW w:w="362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b/>
                <w:bCs/>
                <w:color w:val="000000"/>
                <w:kern w:val="0"/>
                <w:sz w:val="22"/>
              </w:rPr>
              <w:t>58</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kern w:val="0"/>
                <w:sz w:val="22"/>
              </w:rPr>
            </w:pPr>
            <w:r>
              <w:rPr>
                <w:rFonts w:hint="eastAsia" w:ascii="宋体" w:hAnsi="宋体" w:eastAsia="宋体" w:cs="宋体"/>
                <w:b/>
                <w:kern w:val="0"/>
                <w:sz w:val="22"/>
              </w:rPr>
              <w:t>4</w:t>
            </w:r>
            <w:r>
              <w:rPr>
                <w:rFonts w:ascii="宋体" w:hAnsi="宋体" w:eastAsia="宋体" w:cs="宋体"/>
                <w:b/>
                <w:kern w:val="0"/>
                <w:sz w:val="22"/>
              </w:rPr>
              <w:t>,</w:t>
            </w:r>
            <w:r>
              <w:rPr>
                <w:rFonts w:hint="eastAsia" w:ascii="宋体" w:hAnsi="宋体" w:eastAsia="宋体" w:cs="宋体"/>
                <w:b/>
                <w:kern w:val="0"/>
                <w:sz w:val="22"/>
              </w:rPr>
              <w:t>285</w:t>
            </w:r>
            <w:r>
              <w:rPr>
                <w:rFonts w:ascii="宋体" w:hAnsi="宋体" w:eastAsia="宋体" w:cs="宋体"/>
                <w:b/>
                <w:kern w:val="0"/>
                <w:sz w:val="22"/>
              </w:rPr>
              <w:t>.</w:t>
            </w:r>
            <w:r>
              <w:rPr>
                <w:rFonts w:hint="eastAsia" w:ascii="宋体" w:hAnsi="宋体" w:eastAsia="宋体" w:cs="宋体"/>
                <w:b/>
                <w:kern w:val="0"/>
                <w:sz w:val="22"/>
              </w:rPr>
              <w:t>32</w:t>
            </w: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2"/>
              </w:rPr>
            </w:pPr>
            <w:r>
              <w:rPr>
                <w:rFonts w:hint="eastAsia" w:ascii="宋体" w:hAnsi="宋体" w:eastAsia="宋体" w:cs="宋体"/>
                <w:color w:val="000000"/>
                <w:kern w:val="0"/>
                <w:sz w:val="22"/>
              </w:rPr>
              <w:t>使用非财政拨款结余和专用结余</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28</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color w:val="000000"/>
                <w:kern w:val="0"/>
                <w:sz w:val="22"/>
              </w:rPr>
              <w:t>59</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2"/>
              </w:rPr>
            </w:pPr>
            <w:r>
              <w:rPr>
                <w:rFonts w:hint="eastAsia" w:ascii="宋体" w:hAnsi="宋体" w:eastAsia="宋体" w:cs="宋体"/>
                <w:color w:val="000000"/>
                <w:kern w:val="0"/>
                <w:sz w:val="22"/>
              </w:rPr>
              <w:t>年初结转和结余</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bCs/>
                <w:kern w:val="0"/>
                <w:sz w:val="22"/>
              </w:rPr>
            </w:pPr>
            <w:r>
              <w:rPr>
                <w:rFonts w:hint="eastAsia" w:ascii="宋体" w:hAnsi="宋体" w:eastAsia="宋体" w:cs="宋体"/>
                <w:color w:val="000000"/>
                <w:kern w:val="0"/>
                <w:sz w:val="22"/>
              </w:rPr>
              <w:t>29</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470.63</w:t>
            </w:r>
          </w:p>
        </w:tc>
        <w:tc>
          <w:tcPr>
            <w:tcW w:w="36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kern w:val="0"/>
                <w:sz w:val="22"/>
              </w:rPr>
            </w:pPr>
            <w:r>
              <w:rPr>
                <w:rFonts w:hint="eastAsia" w:ascii="宋体" w:hAnsi="宋体" w:eastAsia="宋体" w:cs="宋体"/>
                <w:kern w:val="0"/>
                <w:sz w:val="22"/>
              </w:rPr>
              <w:t>60</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562.64</w:t>
            </w:r>
          </w:p>
        </w:tc>
      </w:tr>
      <w:tr>
        <w:trPr>
          <w:trHeight w:val="335" w:hRule="atLeast"/>
        </w:trPr>
        <w:tc>
          <w:tcPr>
            <w:tcW w:w="413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rPr>
            </w:pP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30</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61</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335" w:hRule="atLeast"/>
        </w:trPr>
        <w:tc>
          <w:tcPr>
            <w:tcW w:w="4138"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50"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bCs/>
                <w:kern w:val="0"/>
                <w:sz w:val="22"/>
              </w:rPr>
            </w:pPr>
            <w:r>
              <w:rPr>
                <w:rFonts w:hint="eastAsia" w:ascii="宋体" w:hAnsi="宋体" w:eastAsia="宋体" w:cs="宋体"/>
                <w:b/>
                <w:bCs/>
                <w:kern w:val="0"/>
                <w:sz w:val="22"/>
              </w:rPr>
              <w:t>31</w:t>
            </w:r>
          </w:p>
        </w:tc>
        <w:tc>
          <w:tcPr>
            <w:tcW w:w="1864" w:type="dxa"/>
            <w:gridSpan w:val="4"/>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kern w:val="0"/>
                <w:sz w:val="22"/>
              </w:rPr>
            </w:pPr>
            <w:r>
              <w:rPr>
                <w:rFonts w:hint="eastAsia" w:ascii="宋体" w:hAnsi="宋体" w:eastAsia="宋体" w:cs="宋体"/>
                <w:b/>
                <w:kern w:val="0"/>
                <w:sz w:val="22"/>
              </w:rPr>
              <w:t>4</w:t>
            </w:r>
            <w:r>
              <w:rPr>
                <w:rFonts w:ascii="宋体" w:hAnsi="宋体" w:eastAsia="宋体" w:cs="宋体"/>
                <w:b/>
                <w:kern w:val="0"/>
                <w:sz w:val="22"/>
              </w:rPr>
              <w:t>,</w:t>
            </w:r>
            <w:r>
              <w:rPr>
                <w:rFonts w:hint="eastAsia" w:ascii="宋体" w:hAnsi="宋体" w:eastAsia="宋体" w:cs="宋体"/>
                <w:b/>
                <w:kern w:val="0"/>
                <w:sz w:val="22"/>
              </w:rPr>
              <w:t>847</w:t>
            </w:r>
            <w:r>
              <w:rPr>
                <w:rFonts w:ascii="宋体" w:hAnsi="宋体" w:eastAsia="宋体" w:cs="宋体"/>
                <w:b/>
                <w:kern w:val="0"/>
                <w:sz w:val="22"/>
              </w:rPr>
              <w:t>.</w:t>
            </w:r>
            <w:r>
              <w:rPr>
                <w:rFonts w:hint="eastAsia" w:ascii="宋体" w:hAnsi="宋体" w:eastAsia="宋体" w:cs="宋体"/>
                <w:b/>
                <w:kern w:val="0"/>
                <w:sz w:val="22"/>
              </w:rPr>
              <w:t>96</w:t>
            </w:r>
          </w:p>
        </w:tc>
        <w:tc>
          <w:tcPr>
            <w:tcW w:w="362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03"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eastAsia="宋体" w:cs="宋体"/>
                <w:b/>
                <w:kern w:val="0"/>
                <w:sz w:val="22"/>
              </w:rPr>
            </w:pPr>
            <w:r>
              <w:rPr>
                <w:rFonts w:hint="eastAsia" w:ascii="宋体" w:hAnsi="宋体" w:eastAsia="宋体" w:cs="宋体"/>
                <w:b/>
                <w:color w:val="000000"/>
                <w:kern w:val="0"/>
                <w:sz w:val="22"/>
              </w:rPr>
              <w:t>62</w:t>
            </w:r>
          </w:p>
        </w:tc>
        <w:tc>
          <w:tcPr>
            <w:tcW w:w="305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kern w:val="0"/>
                <w:sz w:val="22"/>
              </w:rPr>
            </w:pPr>
            <w:r>
              <w:rPr>
                <w:rFonts w:hint="eastAsia" w:ascii="宋体" w:hAnsi="宋体" w:eastAsia="宋体" w:cs="宋体"/>
                <w:b/>
                <w:kern w:val="0"/>
                <w:sz w:val="22"/>
              </w:rPr>
              <w:t>4</w:t>
            </w:r>
            <w:r>
              <w:rPr>
                <w:rFonts w:ascii="宋体" w:hAnsi="宋体" w:eastAsia="宋体" w:cs="宋体"/>
                <w:b/>
                <w:kern w:val="0"/>
                <w:sz w:val="22"/>
              </w:rPr>
              <w:t>,</w:t>
            </w:r>
            <w:r>
              <w:rPr>
                <w:rFonts w:hint="eastAsia" w:ascii="宋体" w:hAnsi="宋体" w:eastAsia="宋体" w:cs="宋体"/>
                <w:b/>
                <w:kern w:val="0"/>
                <w:sz w:val="22"/>
              </w:rPr>
              <w:t>847</w:t>
            </w:r>
            <w:r>
              <w:rPr>
                <w:rFonts w:ascii="宋体" w:hAnsi="宋体" w:eastAsia="宋体" w:cs="宋体"/>
                <w:b/>
                <w:kern w:val="0"/>
                <w:sz w:val="22"/>
              </w:rPr>
              <w:t>.</w:t>
            </w:r>
            <w:r>
              <w:rPr>
                <w:rFonts w:hint="eastAsia" w:ascii="宋体" w:hAnsi="宋体" w:eastAsia="宋体" w:cs="宋体"/>
                <w:b/>
                <w:kern w:val="0"/>
                <w:sz w:val="22"/>
              </w:rPr>
              <w:t>96</w:t>
            </w:r>
          </w:p>
        </w:tc>
      </w:tr>
      <w:tr>
        <w:trPr>
          <w:trHeight w:val="1006" w:hRule="atLeast"/>
        </w:trPr>
        <w:tc>
          <w:tcPr>
            <w:tcW w:w="14129"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pPr>
    </w:p>
    <w:p>
      <w:pPr>
        <w:jc w:val="center"/>
        <w:rPr>
          <w:rFonts w:ascii="黑体" w:hAnsi="黑体" w:eastAsia="黑体"/>
          <w:sz w:val="28"/>
          <w:szCs w:val="28"/>
        </w:rPr>
        <w:sectPr>
          <w:pgSz w:w="16838" w:h="11906" w:orient="landscape"/>
          <w:pgMar w:top="720" w:right="720" w:bottom="720" w:left="720" w:header="851" w:footer="992" w:gutter="0"/>
          <w:cols w:space="425" w:num="1"/>
          <w:docGrid w:linePitch="312" w:charSpace="0"/>
        </w:sectPr>
      </w:pPr>
    </w:p>
    <w:tbl>
      <w:tblPr>
        <w:tblStyle w:val="10"/>
        <w:tblW w:w="14205" w:type="dxa"/>
        <w:jc w:val="center"/>
        <w:tblLayout w:type="fixed"/>
        <w:tblCellMar>
          <w:top w:w="0" w:type="dxa"/>
          <w:left w:w="0" w:type="dxa"/>
          <w:bottom w:w="0" w:type="dxa"/>
          <w:right w:w="0" w:type="dxa"/>
        </w:tblCellMar>
      </w:tblPr>
      <w:tblGrid>
        <w:gridCol w:w="90"/>
        <w:gridCol w:w="1043"/>
        <w:gridCol w:w="3344"/>
        <w:gridCol w:w="1702"/>
        <w:gridCol w:w="1337"/>
        <w:gridCol w:w="289"/>
        <w:gridCol w:w="1046"/>
        <w:gridCol w:w="314"/>
        <w:gridCol w:w="1021"/>
        <w:gridCol w:w="175"/>
        <w:gridCol w:w="1160"/>
        <w:gridCol w:w="99"/>
        <w:gridCol w:w="1236"/>
        <w:gridCol w:w="150"/>
        <w:gridCol w:w="1199"/>
      </w:tblGrid>
      <w:tr>
        <w:tblPrEx>
          <w:tblCellMar>
            <w:top w:w="0" w:type="dxa"/>
            <w:left w:w="0" w:type="dxa"/>
            <w:bottom w:w="0" w:type="dxa"/>
            <w:right w:w="0" w:type="dxa"/>
          </w:tblCellMar>
        </w:tblPrEx>
        <w:trPr>
          <w:trHeight w:val="661" w:hRule="atLeast"/>
          <w:jc w:val="center"/>
        </w:trPr>
        <w:tc>
          <w:tcPr>
            <w:tcW w:w="14205" w:type="dxa"/>
            <w:gridSpan w:val="15"/>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339" w:hRule="atLeast"/>
          <w:jc w:val="center"/>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4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34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0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19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19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339" w:hRule="atLeast"/>
          <w:jc w:val="center"/>
        </w:trPr>
        <w:tc>
          <w:tcPr>
            <w:tcW w:w="113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3344"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rPr>
            </w:pPr>
            <w:r>
              <w:rPr>
                <w:rFonts w:hint="eastAsia"/>
              </w:rPr>
              <w:t>湘潭县发展和改革局 　</w:t>
            </w:r>
          </w:p>
        </w:tc>
        <w:tc>
          <w:tcPr>
            <w:tcW w:w="170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2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19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19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08" w:hRule="atLeast"/>
          <w:jc w:val="center"/>
        </w:trPr>
        <w:tc>
          <w:tcPr>
            <w:tcW w:w="4477"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70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33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33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34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08" w:hRule="atLeast"/>
          <w:jc w:val="center"/>
        </w:trPr>
        <w:tc>
          <w:tcPr>
            <w:tcW w:w="113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34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4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360" w:hRule="atLeast"/>
          <w:jc w:val="center"/>
        </w:trPr>
        <w:tc>
          <w:tcPr>
            <w:tcW w:w="113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344"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4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08" w:hRule="atLeast"/>
          <w:jc w:val="center"/>
        </w:trPr>
        <w:tc>
          <w:tcPr>
            <w:tcW w:w="447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70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33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33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34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08" w:hRule="atLeast"/>
          <w:jc w:val="center"/>
        </w:trPr>
        <w:tc>
          <w:tcPr>
            <w:tcW w:w="447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合计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4,377.33</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3,906.95</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470.38</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rPr>
            </w:pPr>
            <w:r>
              <w:rPr>
                <w:rFonts w:asciiTheme="majorEastAsia" w:hAnsiTheme="majorEastAsia" w:eastAsiaTheme="majorEastAsia"/>
                <w:b/>
              </w:rPr>
              <w:t>201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Theme="majorEastAsia" w:hAnsiTheme="majorEastAsia" w:eastAsiaTheme="majorEastAsia"/>
                <w:b/>
                <w:szCs w:val="21"/>
              </w:rPr>
            </w:pPr>
            <w:r>
              <w:rPr>
                <w:rFonts w:hint="eastAsia" w:asciiTheme="majorEastAsia" w:hAnsiTheme="majorEastAsia" w:eastAsiaTheme="majorEastAsia"/>
                <w:b/>
                <w:szCs w:val="21"/>
              </w:rPr>
              <w:t>一般公共服务支出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2,003.40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1,533.02</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　</w:t>
            </w: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470.38</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rPr>
            </w:pPr>
            <w:r>
              <w:rPr>
                <w:rFonts w:hint="eastAsia" w:asciiTheme="majorEastAsia" w:hAnsiTheme="majorEastAsia" w:eastAsiaTheme="majorEastAsia"/>
                <w:b/>
              </w:rPr>
              <w:t>20103</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Theme="majorEastAsia" w:hAnsiTheme="majorEastAsia" w:eastAsiaTheme="majorEastAsia"/>
                <w:b/>
                <w:szCs w:val="21"/>
              </w:rPr>
            </w:pPr>
            <w:r>
              <w:rPr>
                <w:rFonts w:ascii="STSongStd-Light" w:hAnsi="STSongStd-Light" w:eastAsia="STSongStd-Light" w:cs="STSongStd-Light"/>
                <w:color w:val="000000"/>
                <w:szCs w:val="21"/>
              </w:rPr>
              <w:t>政府办公厅（室）及相关机构事务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cs="宋体" w:asciiTheme="minorEastAsia" w:hAnsiTheme="minorEastAsia"/>
                <w:b/>
                <w:color w:val="000000"/>
                <w:szCs w:val="21"/>
              </w:rPr>
              <w:t>60.00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60.00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Cs/>
              </w:rPr>
            </w:pPr>
            <w:r>
              <w:rPr>
                <w:rFonts w:hint="eastAsia" w:asciiTheme="majorEastAsia" w:hAnsiTheme="majorEastAsia" w:eastAsiaTheme="majorEastAsia"/>
                <w:bCs/>
              </w:rPr>
              <w:t>2010302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jc w:val="left"/>
              <w:rPr>
                <w:rFonts w:ascii="STSongStd-Light" w:hAnsi="STSongStd-Light" w:eastAsia="STSongStd-Light" w:cs="STSongStd-Light"/>
                <w:bCs/>
                <w:color w:val="000000"/>
                <w:szCs w:val="21"/>
              </w:rPr>
            </w:pPr>
            <w:r>
              <w:rPr>
                <w:rFonts w:ascii="STSongStd-Light" w:hAnsi="STSongStd-Light" w:eastAsia="STSongStd-Light" w:cs="STSongStd-Light"/>
                <w:bCs/>
                <w:color w:val="000000"/>
                <w:szCs w:val="21"/>
              </w:rPr>
              <w:t>一般行政管理事务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Cs/>
                <w:szCs w:val="21"/>
              </w:rPr>
            </w:pPr>
            <w:r>
              <w:rPr>
                <w:rFonts w:hint="eastAsia" w:cs="宋体" w:asciiTheme="minorEastAsia" w:hAnsiTheme="minorEastAsia"/>
                <w:bCs/>
                <w:color w:val="000000"/>
                <w:szCs w:val="21"/>
              </w:rPr>
              <w:t>60.00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Cs/>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Cs/>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Cs/>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Cs/>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Cs/>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Cs/>
                <w:color w:val="000000"/>
                <w:szCs w:val="21"/>
              </w:rPr>
            </w:pPr>
            <w:r>
              <w:rPr>
                <w:rFonts w:hint="eastAsia" w:cs="宋体" w:asciiTheme="minorEastAsia" w:hAnsiTheme="minorEastAsia"/>
                <w:bCs/>
                <w:color w:val="000000"/>
                <w:szCs w:val="21"/>
              </w:rPr>
              <w:t>60.00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rPr>
            </w:pPr>
            <w:r>
              <w:rPr>
                <w:rFonts w:asciiTheme="majorEastAsia" w:hAnsiTheme="majorEastAsia" w:eastAsiaTheme="majorEastAsia"/>
                <w:b/>
              </w:rPr>
              <w:t>20104</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szCs w:val="21"/>
              </w:rPr>
            </w:pPr>
            <w:r>
              <w:rPr>
                <w:rFonts w:hint="eastAsia" w:asciiTheme="majorEastAsia" w:hAnsiTheme="majorEastAsia" w:eastAsiaTheme="majorEastAsia"/>
                <w:b/>
                <w:szCs w:val="21"/>
              </w:rPr>
              <w:t>发展与改革事务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1,937.00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1,529.22</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　</w:t>
            </w: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r>
              <w:rPr>
                <w:rFonts w:hint="eastAsia" w:cs="宋体" w:asciiTheme="minorEastAsia" w:hAnsiTheme="minorEastAsia"/>
                <w:b/>
                <w:color w:val="000000"/>
                <w:szCs w:val="21"/>
              </w:rPr>
              <w:t>407.78</w:t>
            </w:r>
          </w:p>
        </w:tc>
      </w:tr>
      <w:tr>
        <w:tblPrEx>
          <w:tblCellMar>
            <w:top w:w="0" w:type="dxa"/>
            <w:left w:w="0" w:type="dxa"/>
            <w:bottom w:w="0" w:type="dxa"/>
            <w:right w:w="0" w:type="dxa"/>
          </w:tblCellMar>
        </w:tblPrEx>
        <w:trPr>
          <w:trHeight w:val="435"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rPr>
            </w:pPr>
            <w:r>
              <w:rPr>
                <w:rFonts w:asciiTheme="majorEastAsia" w:hAnsiTheme="majorEastAsia" w:eastAsiaTheme="majorEastAsia"/>
              </w:rPr>
              <w:t>2010401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ajorEastAsia" w:hAnsiTheme="majorEastAsia" w:eastAsiaTheme="majorEastAsia"/>
                <w:szCs w:val="21"/>
              </w:rPr>
            </w:pPr>
            <w:r>
              <w:rPr>
                <w:rFonts w:hint="eastAsia" w:asciiTheme="majorEastAsia" w:hAnsiTheme="majorEastAsia" w:eastAsiaTheme="majorEastAsia"/>
                <w:szCs w:val="21"/>
              </w:rPr>
              <w:t>行政运行</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567.14</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567.14</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r>
              <w:rPr>
                <w:rFonts w:hint="eastAsia" w:cs="宋体" w:asciiTheme="minorEastAsia" w:hAnsiTheme="minorEastAsia"/>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r>
              <w:rPr>
                <w:rFonts w:hint="eastAsia" w:cs="宋体" w:asciiTheme="minorEastAsia" w:hAnsiTheme="minorEastAsia"/>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r>
              <w:rPr>
                <w:rFonts w:hint="eastAsia" w:cs="宋体" w:asciiTheme="minorEastAsia" w:hAnsiTheme="minorEastAsia"/>
                <w:color w:val="000000"/>
                <w:szCs w:val="21"/>
              </w:rPr>
              <w:t>　</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r>
              <w:rPr>
                <w:rFonts w:hint="eastAsia" w:cs="宋体" w:asciiTheme="minorEastAsia" w:hAnsiTheme="minorEastAsia"/>
                <w:color w:val="000000"/>
                <w:szCs w:val="21"/>
              </w:rPr>
              <w:t>　</w:t>
            </w: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rPr>
            </w:pPr>
            <w:r>
              <w:rPr>
                <w:rFonts w:asciiTheme="majorEastAsia" w:hAnsiTheme="majorEastAsia" w:eastAsiaTheme="majorEastAsia"/>
              </w:rPr>
              <w:t>2010402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ajorEastAsia" w:hAnsiTheme="majorEastAsia" w:eastAsiaTheme="majorEastAsia"/>
                <w:szCs w:val="21"/>
              </w:rPr>
            </w:pPr>
            <w:r>
              <w:rPr>
                <w:rFonts w:hint="eastAsia" w:asciiTheme="majorEastAsia" w:hAnsiTheme="majorEastAsia" w:eastAsiaTheme="majorEastAsia"/>
                <w:szCs w:val="21"/>
              </w:rPr>
              <w:t>一般行政管理事务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427.31</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355.71</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r>
              <w:rPr>
                <w:rFonts w:hint="eastAsia" w:cs="宋体" w:asciiTheme="minorEastAsia" w:hAnsiTheme="minorEastAsia"/>
                <w:color w:val="000000"/>
                <w:szCs w:val="21"/>
              </w:rPr>
              <w:t>71.60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rPr>
            </w:pPr>
            <w:r>
              <w:rPr>
                <w:rFonts w:asciiTheme="majorEastAsia" w:hAnsiTheme="majorEastAsia" w:eastAsiaTheme="majorEastAsia"/>
              </w:rPr>
              <w:t>2010404</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ajorEastAsia" w:hAnsiTheme="majorEastAsia" w:eastAsiaTheme="majorEastAsia"/>
                <w:szCs w:val="21"/>
              </w:rPr>
            </w:pPr>
            <w:r>
              <w:rPr>
                <w:rFonts w:hint="eastAsia" w:asciiTheme="majorEastAsia" w:hAnsiTheme="majorEastAsia" w:eastAsiaTheme="majorEastAsia"/>
                <w:szCs w:val="21"/>
              </w:rPr>
              <w:t>战略规划与实施</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5.00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5.00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rPr>
            </w:pPr>
            <w:r>
              <w:rPr>
                <w:rFonts w:asciiTheme="majorEastAsia" w:hAnsiTheme="majorEastAsia" w:eastAsiaTheme="majorEastAsia"/>
              </w:rPr>
              <w:t>2010406</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ajorEastAsia" w:hAnsiTheme="majorEastAsia" w:eastAsiaTheme="majorEastAsia"/>
                <w:szCs w:val="21"/>
              </w:rPr>
            </w:pPr>
            <w:r>
              <w:rPr>
                <w:rFonts w:hint="eastAsia" w:asciiTheme="majorEastAsia" w:hAnsiTheme="majorEastAsia" w:eastAsiaTheme="majorEastAsia"/>
                <w:szCs w:val="21"/>
              </w:rPr>
              <w:t>社会事业发展规划</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154.50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154.50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rPr>
            </w:pPr>
            <w:r>
              <w:rPr>
                <w:rFonts w:asciiTheme="majorEastAsia" w:hAnsiTheme="majorEastAsia" w:eastAsiaTheme="majorEastAsia"/>
              </w:rPr>
              <w:t>2010499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ajorEastAsia" w:hAnsiTheme="majorEastAsia" w:eastAsiaTheme="majorEastAsia"/>
                <w:szCs w:val="21"/>
              </w:rPr>
            </w:pPr>
            <w:r>
              <w:rPr>
                <w:rFonts w:hint="eastAsia" w:asciiTheme="majorEastAsia" w:hAnsiTheme="majorEastAsia" w:eastAsiaTheme="majorEastAsia"/>
                <w:szCs w:val="21"/>
              </w:rPr>
              <w:t>其他发展与改革事务支出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783.05</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446.87</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r>
              <w:rPr>
                <w:rFonts w:hint="eastAsia" w:cs="宋体" w:asciiTheme="minorEastAsia" w:hAnsiTheme="minorEastAsia"/>
                <w:color w:val="000000"/>
                <w:szCs w:val="21"/>
              </w:rPr>
              <w:t>336.18</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rPr>
            </w:pPr>
            <w:r>
              <w:rPr>
                <w:rFonts w:hint="eastAsia" w:asciiTheme="majorEastAsia" w:hAnsiTheme="majorEastAsia" w:eastAsiaTheme="majorEastAsia"/>
                <w:b/>
              </w:rPr>
              <w:t>20106</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szCs w:val="21"/>
              </w:rPr>
            </w:pPr>
            <w:r>
              <w:rPr>
                <w:rFonts w:asciiTheme="majorEastAsia" w:hAnsiTheme="majorEastAsia" w:eastAsiaTheme="majorEastAsia"/>
                <w:b/>
                <w:szCs w:val="21"/>
              </w:rPr>
              <w:t xml:space="preserve">财政事务 </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ajorEastAsia" w:hAnsiTheme="majorEastAsia" w:eastAsiaTheme="majorEastAsia"/>
                <w:b/>
              </w:rPr>
            </w:pPr>
            <w:r>
              <w:rPr>
                <w:rFonts w:hint="eastAsia" w:asciiTheme="majorEastAsia" w:hAnsiTheme="majorEastAsia" w:eastAsiaTheme="majorEastAsia"/>
                <w:b/>
              </w:rPr>
              <w:t>1.60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Theme="majorEastAsia" w:hAnsiTheme="majorEastAsia" w:eastAsiaTheme="majorEastAsia"/>
                <w:b/>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Theme="majorEastAsia" w:hAnsiTheme="majorEastAsia" w:eastAsiaTheme="majorEastAsia"/>
                <w:b/>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Theme="majorEastAsia" w:hAnsiTheme="majorEastAsia" w:eastAsiaTheme="majorEastAsia"/>
                <w:b/>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Theme="majorEastAsia" w:hAnsiTheme="majorEastAsia" w:eastAsiaTheme="majorEastAsia"/>
                <w:b/>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Theme="majorEastAsia" w:hAnsiTheme="majorEastAsia" w:eastAsiaTheme="majorEastAsia"/>
                <w:b/>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ajorEastAsia" w:hAnsiTheme="majorEastAsia" w:eastAsiaTheme="majorEastAsia"/>
                <w:b/>
              </w:rPr>
            </w:pPr>
            <w:r>
              <w:rPr>
                <w:rFonts w:hint="eastAsia" w:asciiTheme="majorEastAsia" w:hAnsiTheme="majorEastAsia" w:eastAsiaTheme="majorEastAsia"/>
                <w:b/>
              </w:rPr>
              <w:t>1.60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Cs/>
              </w:rPr>
            </w:pPr>
            <w:r>
              <w:rPr>
                <w:rFonts w:hint="eastAsia" w:asciiTheme="majorEastAsia" w:hAnsiTheme="majorEastAsia" w:eastAsiaTheme="majorEastAsia"/>
                <w:bCs/>
              </w:rPr>
              <w:t>2010699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jc w:val="left"/>
              <w:rPr>
                <w:rFonts w:hint="eastAsia" w:ascii="STSongStd-Light" w:hAnsi="STSongStd-Light" w:eastAsia="宋体" w:cs="STSongStd-Light"/>
                <w:bCs/>
                <w:color w:val="000000"/>
                <w:szCs w:val="21"/>
              </w:rPr>
            </w:pPr>
            <w:r>
              <w:rPr>
                <w:rFonts w:hint="eastAsia" w:asciiTheme="majorEastAsia" w:hAnsiTheme="majorEastAsia" w:eastAsiaTheme="majorEastAsia"/>
                <w:szCs w:val="21"/>
              </w:rPr>
              <w:t>其他财政事务支出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1.60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r>
              <w:rPr>
                <w:rFonts w:hint="eastAsia" w:asciiTheme="minorEastAsia" w:hAnsiTheme="minorEastAsia"/>
                <w:szCs w:val="21"/>
              </w:rPr>
              <w:t>1.60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rPr>
            </w:pPr>
            <w:r>
              <w:rPr>
                <w:rFonts w:hint="eastAsia" w:asciiTheme="majorEastAsia" w:hAnsiTheme="majorEastAsia" w:eastAsiaTheme="majorEastAsia"/>
                <w:b/>
              </w:rPr>
              <w:t>20113</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szCs w:val="21"/>
              </w:rPr>
            </w:pPr>
            <w:r>
              <w:rPr>
                <w:rFonts w:hint="eastAsia" w:asciiTheme="majorEastAsia" w:hAnsiTheme="majorEastAsia" w:eastAsiaTheme="majorEastAsia"/>
                <w:b/>
                <w:szCs w:val="21"/>
              </w:rPr>
              <w:t>商贸事务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ajorEastAsia" w:hAnsiTheme="majorEastAsia" w:eastAsiaTheme="majorEastAsia"/>
                <w:b/>
              </w:rPr>
            </w:pPr>
            <w:r>
              <w:rPr>
                <w:rFonts w:hint="eastAsia" w:asciiTheme="majorEastAsia" w:hAnsiTheme="majorEastAsia" w:eastAsiaTheme="majorEastAsia"/>
                <w:b/>
              </w:rPr>
              <w:t>4.80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ajorEastAsia" w:hAnsiTheme="majorEastAsia" w:eastAsiaTheme="majorEastAsia"/>
                <w:b/>
              </w:rPr>
            </w:pPr>
            <w:r>
              <w:rPr>
                <w:rFonts w:hint="eastAsia" w:asciiTheme="majorEastAsia" w:hAnsiTheme="majorEastAsia" w:eastAsiaTheme="majorEastAsia"/>
                <w:b/>
              </w:rPr>
              <w:t>3.80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ajorEastAsia" w:hAnsiTheme="majorEastAsia" w:eastAsiaTheme="majorEastAsia"/>
                <w:b/>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ajorEastAsia" w:hAnsiTheme="majorEastAsia" w:eastAsiaTheme="majorEastAsia"/>
                <w:b/>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ajorEastAsia" w:hAnsiTheme="majorEastAsia" w:eastAsiaTheme="majorEastAsia"/>
                <w:b/>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ajorEastAsia" w:hAnsiTheme="majorEastAsia" w:eastAsiaTheme="majorEastAsia"/>
                <w:b/>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ajorEastAsia" w:hAnsiTheme="majorEastAsia" w:eastAsiaTheme="majorEastAsia"/>
                <w:b/>
              </w:rPr>
            </w:pPr>
            <w:r>
              <w:rPr>
                <w:rFonts w:hint="eastAsia" w:asciiTheme="majorEastAsia" w:hAnsiTheme="majorEastAsia" w:eastAsiaTheme="majorEastAsia"/>
                <w:b/>
              </w:rPr>
              <w:t>1.00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Cs/>
              </w:rPr>
            </w:pPr>
            <w:r>
              <w:rPr>
                <w:rFonts w:hint="eastAsia" w:asciiTheme="majorEastAsia" w:hAnsiTheme="majorEastAsia" w:eastAsiaTheme="majorEastAsia"/>
                <w:bCs/>
              </w:rPr>
              <w:t>2011399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jc w:val="left"/>
              <w:rPr>
                <w:rFonts w:ascii="STSongStd-Light" w:hAnsi="STSongStd-Light" w:eastAsia="STSongStd-Light" w:cs="STSongStd-Light"/>
                <w:color w:val="000000"/>
                <w:szCs w:val="21"/>
              </w:rPr>
            </w:pPr>
            <w:r>
              <w:rPr>
                <w:rFonts w:hint="eastAsia" w:asciiTheme="majorEastAsia" w:hAnsiTheme="majorEastAsia" w:eastAsiaTheme="majorEastAsia"/>
                <w:szCs w:val="21"/>
              </w:rPr>
              <w:t>其他商贸事务支出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4.80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3.80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1.00</w:t>
            </w: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rPr>
            </w:pPr>
            <w:r>
              <w:rPr>
                <w:rFonts w:asciiTheme="majorEastAsia" w:hAnsiTheme="majorEastAsia" w:eastAsiaTheme="majorEastAsia"/>
                <w:b/>
              </w:rPr>
              <w:t>208</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szCs w:val="21"/>
              </w:rPr>
            </w:pPr>
            <w:r>
              <w:rPr>
                <w:rFonts w:hint="eastAsia" w:asciiTheme="majorEastAsia" w:hAnsiTheme="majorEastAsia" w:eastAsiaTheme="majorEastAsia"/>
                <w:b/>
                <w:szCs w:val="21"/>
              </w:rPr>
              <w:t>社会保障和就业支出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124.44</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124.44</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24"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rPr>
            </w:pPr>
            <w:r>
              <w:rPr>
                <w:rFonts w:asciiTheme="majorEastAsia" w:hAnsiTheme="majorEastAsia" w:eastAsiaTheme="majorEastAsia"/>
                <w:b/>
              </w:rPr>
              <w:t>20805</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szCs w:val="21"/>
              </w:rPr>
            </w:pPr>
            <w:r>
              <w:rPr>
                <w:rFonts w:hint="eastAsia" w:asciiTheme="majorEastAsia" w:hAnsiTheme="majorEastAsia" w:eastAsiaTheme="majorEastAsia"/>
                <w:b/>
                <w:szCs w:val="21"/>
              </w:rPr>
              <w:t>行政事业单位养老支出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78.98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78.98</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rPr>
            </w:pPr>
            <w:r>
              <w:rPr>
                <w:rFonts w:asciiTheme="majorEastAsia" w:hAnsiTheme="majorEastAsia" w:eastAsiaTheme="majorEastAsia"/>
              </w:rPr>
              <w:t>2080505</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ajorEastAsia" w:hAnsiTheme="majorEastAsia" w:eastAsiaTheme="majorEastAsia"/>
                <w:szCs w:val="21"/>
              </w:rPr>
            </w:pPr>
            <w:r>
              <w:rPr>
                <w:rFonts w:hint="eastAsia" w:asciiTheme="majorEastAsia" w:hAnsiTheme="majorEastAsia" w:eastAsiaTheme="majorEastAsia"/>
                <w:szCs w:val="21"/>
              </w:rPr>
              <w:t>机关事业单位基本养老保险缴费支出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52.71</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52.71</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rPr>
            </w:pPr>
            <w:r>
              <w:rPr>
                <w:rFonts w:asciiTheme="majorEastAsia" w:hAnsiTheme="majorEastAsia" w:eastAsiaTheme="majorEastAsia"/>
              </w:rPr>
              <w:t>208050</w:t>
            </w:r>
            <w:r>
              <w:rPr>
                <w:rFonts w:hint="eastAsia" w:asciiTheme="majorEastAsia" w:hAnsiTheme="majorEastAsia" w:eastAsiaTheme="majorEastAsia"/>
              </w:rPr>
              <w:t>6</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ajorEastAsia" w:hAnsiTheme="majorEastAsia" w:eastAsiaTheme="majorEastAsia"/>
                <w:szCs w:val="21"/>
              </w:rPr>
            </w:pPr>
            <w:r>
              <w:rPr>
                <w:rFonts w:hint="eastAsia" w:asciiTheme="majorEastAsia" w:hAnsiTheme="majorEastAsia" w:eastAsiaTheme="majorEastAsia"/>
                <w:szCs w:val="21"/>
              </w:rPr>
              <w:t>机关事业单位职业年金缴费支出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13.18</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13.18</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rPr>
            </w:pPr>
            <w:r>
              <w:rPr>
                <w:rFonts w:asciiTheme="majorEastAsia" w:hAnsiTheme="majorEastAsia" w:eastAsiaTheme="majorEastAsia"/>
              </w:rPr>
              <w:t>208050</w:t>
            </w:r>
            <w:r>
              <w:rPr>
                <w:rFonts w:hint="eastAsia" w:asciiTheme="majorEastAsia" w:hAnsiTheme="majorEastAsia" w:eastAsiaTheme="majorEastAsia"/>
              </w:rPr>
              <w:t>8</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ajorEastAsia" w:hAnsiTheme="majorEastAsia" w:eastAsiaTheme="majorEastAsia"/>
                <w:szCs w:val="21"/>
              </w:rPr>
            </w:pPr>
            <w:r>
              <w:rPr>
                <w:rFonts w:hint="eastAsia" w:asciiTheme="majorEastAsia" w:hAnsiTheme="majorEastAsia" w:eastAsiaTheme="majorEastAsia"/>
                <w:szCs w:val="21"/>
              </w:rPr>
              <w:t>对机关事业单位职业年金的补助</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13.09</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13.09</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rPr>
            </w:pPr>
            <w:r>
              <w:rPr>
                <w:rFonts w:asciiTheme="majorEastAsia" w:hAnsiTheme="majorEastAsia" w:eastAsiaTheme="majorEastAsia"/>
                <w:b/>
              </w:rPr>
              <w:t>20808</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ajorEastAsia" w:hAnsiTheme="majorEastAsia" w:eastAsiaTheme="majorEastAsia"/>
                <w:b/>
                <w:szCs w:val="21"/>
              </w:rPr>
            </w:pPr>
            <w:r>
              <w:rPr>
                <w:rFonts w:hint="eastAsia" w:asciiTheme="majorEastAsia" w:hAnsiTheme="majorEastAsia" w:eastAsiaTheme="majorEastAsia"/>
                <w:b/>
                <w:szCs w:val="21"/>
              </w:rPr>
              <w:t>抚恤</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bCs/>
              </w:rPr>
            </w:pPr>
            <w:r>
              <w:rPr>
                <w:rFonts w:hint="eastAsia" w:asciiTheme="minorEastAsia" w:hAnsiTheme="minorEastAsia"/>
                <w:b/>
                <w:bCs/>
                <w:szCs w:val="21"/>
              </w:rPr>
              <w:t>45.46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bCs/>
              </w:rPr>
            </w:pPr>
            <w:r>
              <w:rPr>
                <w:rFonts w:hint="eastAsia" w:asciiTheme="minorEastAsia" w:hAnsiTheme="minorEastAsia"/>
                <w:b/>
                <w:bCs/>
                <w:szCs w:val="21"/>
              </w:rPr>
              <w:t>45.46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cs="宋体" w:asciiTheme="minorEastAsia" w:hAnsiTheme="minorEastAsia"/>
                <w:color w:val="000000"/>
                <w:szCs w:val="21"/>
              </w:rPr>
            </w:pPr>
            <w:r>
              <w:rPr>
                <w:rFonts w:asciiTheme="minorEastAsia" w:hAnsiTheme="minorEastAsia"/>
                <w:color w:val="000000"/>
                <w:szCs w:val="21"/>
              </w:rPr>
              <w:t>2080801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inorEastAsia" w:hAnsiTheme="minorEastAsia"/>
                <w:szCs w:val="21"/>
              </w:rPr>
            </w:pPr>
            <w:r>
              <w:rPr>
                <w:rFonts w:hint="eastAsia" w:asciiTheme="minorEastAsia" w:hAnsiTheme="minorEastAsia"/>
                <w:szCs w:val="21"/>
              </w:rPr>
              <w:t>死亡抚恤</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45.46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45.46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Theme="minorEastAsia" w:hAnsiTheme="minorEastAsia"/>
                <w:b/>
                <w:szCs w:val="21"/>
              </w:rPr>
              <w:t>210</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卫生健康支出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30.4</w:t>
            </w:r>
            <w:r>
              <w:rPr>
                <w:rFonts w:asciiTheme="minorEastAsia" w:hAnsiTheme="minorEastAsia"/>
                <w:b/>
                <w:szCs w:val="21"/>
              </w:rPr>
              <w:t>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30.46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Theme="minorEastAsia" w:hAnsiTheme="minorEastAsia"/>
                <w:b/>
                <w:szCs w:val="21"/>
              </w:rPr>
              <w:t>21011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行政事业单位医疗</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30.4</w:t>
            </w:r>
            <w:r>
              <w:rPr>
                <w:rFonts w:asciiTheme="minorEastAsia" w:hAnsiTheme="minorEastAsia"/>
                <w:b/>
                <w:szCs w:val="21"/>
              </w:rPr>
              <w:t>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30.46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asciiTheme="minorEastAsia" w:hAnsiTheme="minorEastAsia"/>
                <w:szCs w:val="21"/>
              </w:rPr>
              <w:t>2101101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inorEastAsia" w:hAnsiTheme="minorEastAsia"/>
                <w:szCs w:val="21"/>
              </w:rPr>
            </w:pPr>
            <w:r>
              <w:rPr>
                <w:rFonts w:hint="eastAsia" w:asciiTheme="minorEastAsia" w:hAnsiTheme="minorEastAsia"/>
                <w:szCs w:val="21"/>
              </w:rPr>
              <w:t>行政单位医疗</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Cs/>
                <w:szCs w:val="21"/>
              </w:rPr>
            </w:pPr>
            <w:r>
              <w:rPr>
                <w:rFonts w:hint="eastAsia" w:asciiTheme="minorEastAsia" w:hAnsiTheme="minorEastAsia"/>
                <w:bCs/>
                <w:szCs w:val="21"/>
              </w:rPr>
              <w:t>30.4</w:t>
            </w:r>
            <w:r>
              <w:rPr>
                <w:rFonts w:asciiTheme="minorEastAsia" w:hAnsiTheme="minorEastAsia"/>
                <w:bCs/>
                <w:szCs w:val="21"/>
              </w:rPr>
              <w:t>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Cs/>
                <w:szCs w:val="21"/>
              </w:rPr>
            </w:pPr>
            <w:r>
              <w:rPr>
                <w:rFonts w:hint="eastAsia" w:asciiTheme="minorEastAsia" w:hAnsiTheme="minorEastAsia"/>
                <w:bCs/>
                <w:szCs w:val="21"/>
              </w:rPr>
              <w:t>30.46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Theme="minorEastAsia" w:hAnsiTheme="minorEastAsia"/>
                <w:b/>
                <w:szCs w:val="21"/>
              </w:rPr>
              <w:t>215</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资源勘探工业信息等支出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232.86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232.86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Theme="minorEastAsia" w:hAnsiTheme="minorEastAsia"/>
                <w:b/>
                <w:szCs w:val="21"/>
              </w:rPr>
              <w:t>21599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其他资源勘探工业信息等支出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232.86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232.86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asciiTheme="minorEastAsia" w:hAnsiTheme="minorEastAsia"/>
                <w:szCs w:val="21"/>
              </w:rPr>
              <w:t>2159999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hint="eastAsia" w:asciiTheme="minorEastAsia" w:hAnsiTheme="minorEastAsia"/>
                <w:szCs w:val="21"/>
              </w:rPr>
              <w:t xml:space="preserve">  其他资源勘探工业信息等支出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Cs/>
                <w:szCs w:val="21"/>
              </w:rPr>
            </w:pPr>
            <w:r>
              <w:rPr>
                <w:rFonts w:hint="eastAsia" w:asciiTheme="minorEastAsia" w:hAnsiTheme="minorEastAsia"/>
                <w:bCs/>
                <w:szCs w:val="21"/>
              </w:rPr>
              <w:t>232.86</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Cs/>
                <w:szCs w:val="21"/>
              </w:rPr>
            </w:pPr>
            <w:r>
              <w:rPr>
                <w:rFonts w:hint="eastAsia" w:asciiTheme="minorEastAsia" w:hAnsiTheme="minorEastAsia"/>
                <w:bCs/>
                <w:szCs w:val="21"/>
              </w:rPr>
              <w:t>232.86</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216</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Theme="minorEastAsia" w:hAnsiTheme="minorEastAsia"/>
                <w:b/>
                <w:szCs w:val="21"/>
              </w:rPr>
              <w:t>商业服务业等支出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70.00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70.00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Theme="minorEastAsia" w:hAnsiTheme="minorEastAsia"/>
                <w:b/>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Theme="minorEastAsia" w:hAnsiTheme="minorEastAsia"/>
                <w:b/>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Theme="minorEastAsia" w:hAnsiTheme="minorEastAsia"/>
                <w:b/>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Theme="minorEastAsia" w:hAnsiTheme="minorEastAsia"/>
                <w:b/>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rPr>
                <w:rFonts w:asciiTheme="minorEastAsia" w:hAnsiTheme="minorEastAsia"/>
                <w:b/>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bCs/>
                <w:szCs w:val="21"/>
              </w:rPr>
            </w:pPr>
            <w:r>
              <w:rPr>
                <w:rFonts w:hint="eastAsia" w:asciiTheme="minorEastAsia" w:hAnsiTheme="minorEastAsia"/>
                <w:b/>
                <w:bCs/>
                <w:szCs w:val="21"/>
              </w:rPr>
              <w:t>21699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bCs/>
                <w:szCs w:val="21"/>
              </w:rPr>
            </w:pPr>
            <w:r>
              <w:rPr>
                <w:rFonts w:ascii="STSongStd-Light" w:hAnsi="STSongStd-Light" w:eastAsia="STSongStd-Light" w:cs="STSongStd-Light"/>
                <w:b/>
                <w:bCs/>
                <w:color w:val="000000"/>
                <w:szCs w:val="21"/>
              </w:rPr>
              <w:t>其他商业服务业等支出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bCs/>
                <w:szCs w:val="21"/>
              </w:rPr>
            </w:pPr>
            <w:r>
              <w:rPr>
                <w:rFonts w:hint="eastAsia" w:asciiTheme="minorEastAsia" w:hAnsiTheme="minorEastAsia"/>
                <w:b/>
                <w:szCs w:val="21"/>
              </w:rPr>
              <w:t>70.00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bCs/>
                <w:szCs w:val="21"/>
              </w:rPr>
            </w:pPr>
            <w:r>
              <w:rPr>
                <w:rFonts w:hint="eastAsia" w:asciiTheme="minorEastAsia" w:hAnsiTheme="minorEastAsia"/>
                <w:b/>
                <w:szCs w:val="21"/>
              </w:rPr>
              <w:t>70.00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bCs/>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bCs/>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bCs/>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bCs/>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bCs/>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hint="eastAsia" w:asciiTheme="minorEastAsia" w:hAnsiTheme="minorEastAsia"/>
                <w:szCs w:val="21"/>
              </w:rPr>
              <w:t>2169999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inorEastAsia" w:hAnsiTheme="minorEastAsia"/>
                <w:szCs w:val="21"/>
              </w:rPr>
            </w:pPr>
            <w:r>
              <w:rPr>
                <w:rFonts w:hint="eastAsia" w:asciiTheme="minorEastAsia" w:hAnsiTheme="minorEastAsia"/>
                <w:szCs w:val="21"/>
              </w:rPr>
              <w:t>其他商业服务业等支出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Cs/>
                <w:szCs w:val="21"/>
              </w:rPr>
            </w:pPr>
            <w:r>
              <w:rPr>
                <w:rFonts w:hint="eastAsia" w:asciiTheme="minorEastAsia" w:hAnsiTheme="minorEastAsia"/>
                <w:bCs/>
                <w:szCs w:val="21"/>
              </w:rPr>
              <w:t>70.00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Cs/>
                <w:szCs w:val="21"/>
              </w:rPr>
            </w:pPr>
            <w:r>
              <w:rPr>
                <w:rFonts w:hint="eastAsia" w:asciiTheme="minorEastAsia" w:hAnsiTheme="minorEastAsia"/>
                <w:bCs/>
                <w:szCs w:val="21"/>
              </w:rPr>
              <w:t>70.00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Theme="minorEastAsia" w:hAnsiTheme="minorEastAsia"/>
                <w:b/>
                <w:szCs w:val="21"/>
              </w:rPr>
              <w:t>221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住房保障支出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45.24</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45.24</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Theme="minorEastAsia" w:hAnsiTheme="minorEastAsia"/>
                <w:b/>
                <w:szCs w:val="21"/>
              </w:rPr>
              <w:t>22102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住房改革支出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45.24</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45.24</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asciiTheme="minorEastAsia" w:hAnsiTheme="minorEastAsia"/>
                <w:szCs w:val="21"/>
              </w:rPr>
              <w:t>2210201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hint="eastAsia" w:asciiTheme="minorEastAsia" w:hAnsiTheme="minorEastAsia"/>
                <w:szCs w:val="21"/>
              </w:rPr>
              <w:t xml:space="preserve">  住房公积金</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Cs/>
                <w:szCs w:val="21"/>
              </w:rPr>
            </w:pPr>
            <w:r>
              <w:rPr>
                <w:rFonts w:hint="eastAsia" w:asciiTheme="minorEastAsia" w:hAnsiTheme="minorEastAsia"/>
                <w:bCs/>
                <w:szCs w:val="21"/>
              </w:rPr>
              <w:t>45.24</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Cs/>
                <w:szCs w:val="21"/>
              </w:rPr>
            </w:pPr>
            <w:r>
              <w:rPr>
                <w:rFonts w:hint="eastAsia" w:asciiTheme="minorEastAsia" w:hAnsiTheme="minorEastAsia"/>
                <w:bCs/>
                <w:szCs w:val="21"/>
              </w:rPr>
              <w:t>45.24</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Theme="minorEastAsia" w:hAnsiTheme="minorEastAsia"/>
                <w:b/>
                <w:szCs w:val="21"/>
              </w:rPr>
              <w:t>222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粮油物资储备支出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1,820.93</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1,820.93</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Theme="minorEastAsia" w:hAnsiTheme="minorEastAsia"/>
                <w:b/>
                <w:szCs w:val="21"/>
              </w:rPr>
              <w:t>22201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粮油物资事务</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774.20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774.20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asciiTheme="minorEastAsia" w:hAnsiTheme="minorEastAsia"/>
                <w:szCs w:val="21"/>
              </w:rPr>
              <w:t>2220112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inorEastAsia" w:hAnsiTheme="minorEastAsia"/>
                <w:szCs w:val="21"/>
              </w:rPr>
            </w:pPr>
            <w:r>
              <w:rPr>
                <w:rFonts w:hint="eastAsia" w:asciiTheme="minorEastAsia" w:hAnsiTheme="minorEastAsia"/>
                <w:szCs w:val="21"/>
              </w:rPr>
              <w:t>粮食财务挂账利息补贴</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126.20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126.20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asciiTheme="minorEastAsia" w:hAnsiTheme="minorEastAsia"/>
                <w:szCs w:val="21"/>
              </w:rPr>
              <w:t>222011</w:t>
            </w:r>
            <w:r>
              <w:rPr>
                <w:rFonts w:hint="eastAsia" w:asciiTheme="minorEastAsia" w:hAnsiTheme="minorEastAsia"/>
                <w:szCs w:val="21"/>
              </w:rPr>
              <w:t>5</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inorEastAsia" w:hAnsiTheme="minorEastAsia"/>
                <w:szCs w:val="21"/>
              </w:rPr>
            </w:pPr>
            <w:r>
              <w:rPr>
                <w:rFonts w:hint="eastAsia" w:asciiTheme="minorEastAsia" w:hAnsiTheme="minorEastAsia"/>
                <w:szCs w:val="21"/>
              </w:rPr>
              <w:t>粮食风险基金</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280.00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280.00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asciiTheme="minorEastAsia" w:hAnsiTheme="minorEastAsia"/>
                <w:szCs w:val="21"/>
              </w:rPr>
              <w:t>2220199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inorEastAsia" w:hAnsiTheme="minorEastAsia"/>
                <w:szCs w:val="21"/>
              </w:rPr>
            </w:pPr>
            <w:r>
              <w:rPr>
                <w:rFonts w:hint="eastAsia" w:asciiTheme="minorEastAsia" w:hAnsiTheme="minorEastAsia"/>
                <w:szCs w:val="21"/>
              </w:rPr>
              <w:t>其他粮油物资事务支出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368.00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368.00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Theme="minorEastAsia" w:hAnsiTheme="minorEastAsia"/>
                <w:b/>
                <w:szCs w:val="21"/>
              </w:rPr>
              <w:t>22204</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粮油储备</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1,046.73</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1,046.73</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asciiTheme="minorEastAsia" w:hAnsiTheme="minorEastAsia"/>
                <w:szCs w:val="21"/>
              </w:rPr>
              <w:t>2220401</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inorEastAsia" w:hAnsiTheme="minorEastAsia"/>
                <w:szCs w:val="21"/>
              </w:rPr>
            </w:pPr>
            <w:r>
              <w:rPr>
                <w:rFonts w:hint="eastAsia" w:asciiTheme="minorEastAsia" w:hAnsiTheme="minorEastAsia"/>
                <w:szCs w:val="21"/>
              </w:rPr>
              <w:t>储备粮油补贴</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440.7</w:t>
            </w:r>
            <w:r>
              <w:rPr>
                <w:rFonts w:asciiTheme="minorEastAsia" w:hAnsiTheme="minorEastAsia"/>
                <w:szCs w:val="21"/>
              </w:rPr>
              <w:t>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440.7</w:t>
            </w:r>
            <w:r>
              <w:rPr>
                <w:rFonts w:asciiTheme="minorEastAsia" w:hAnsiTheme="minorEastAsia"/>
                <w:szCs w:val="21"/>
              </w:rPr>
              <w:t>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asciiTheme="minorEastAsia" w:hAnsiTheme="minorEastAsia"/>
                <w:szCs w:val="21"/>
              </w:rPr>
              <w:t>2220402</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inorEastAsia" w:hAnsiTheme="minorEastAsia"/>
                <w:szCs w:val="21"/>
              </w:rPr>
            </w:pPr>
            <w:r>
              <w:rPr>
                <w:rFonts w:hint="eastAsia" w:asciiTheme="minorEastAsia" w:hAnsiTheme="minorEastAsia"/>
                <w:szCs w:val="21"/>
              </w:rPr>
              <w:t>储备粮油差价补贴</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479.20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479.20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asciiTheme="minorEastAsia" w:hAnsiTheme="minorEastAsia"/>
                <w:szCs w:val="21"/>
              </w:rPr>
              <w:t>2220499</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inorEastAsia" w:hAnsiTheme="minorEastAsia"/>
                <w:szCs w:val="21"/>
              </w:rPr>
            </w:pPr>
            <w:r>
              <w:rPr>
                <w:rFonts w:hint="eastAsia" w:asciiTheme="minorEastAsia" w:hAnsiTheme="minorEastAsia"/>
                <w:szCs w:val="21"/>
              </w:rPr>
              <w:t>其他粮油储备支出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126.83</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126.83</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224</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STSongStd-Light" w:hAnsi="STSongStd-Light" w:eastAsia="STSongStd-Light" w:cs="STSongStd-Light"/>
                <w:b/>
                <w:color w:val="000000"/>
                <w:szCs w:val="21"/>
              </w:rPr>
              <w:t>灾害防治及应急管理支出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50.00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50.00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hint="eastAsia" w:asciiTheme="minorEastAsia" w:hAnsiTheme="minorEastAsia"/>
                <w:b/>
                <w:szCs w:val="21"/>
              </w:rPr>
              <w:t>22407</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b/>
                <w:szCs w:val="21"/>
              </w:rPr>
            </w:pPr>
            <w:r>
              <w:rPr>
                <w:rFonts w:ascii="STSongStd-Light" w:hAnsi="STSongStd-Light" w:eastAsia="STSongStd-Light" w:cs="STSongStd-Light"/>
                <w:b/>
                <w:color w:val="000000"/>
                <w:szCs w:val="21"/>
              </w:rPr>
              <w:t>自然灾害救灾及恢复重建支出</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50.00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b/>
                <w:szCs w:val="21"/>
              </w:rPr>
            </w:pPr>
            <w:r>
              <w:rPr>
                <w:rFonts w:hint="eastAsia" w:asciiTheme="minorEastAsia" w:hAnsiTheme="minorEastAsia"/>
                <w:b/>
                <w:szCs w:val="21"/>
              </w:rPr>
              <w:t>50.00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b/>
                <w:color w:val="000000"/>
                <w:szCs w:val="21"/>
              </w:rPr>
            </w:pPr>
          </w:p>
        </w:tc>
      </w:tr>
      <w:tr>
        <w:tblPrEx>
          <w:tblCellMar>
            <w:top w:w="0" w:type="dxa"/>
            <w:left w:w="0" w:type="dxa"/>
            <w:bottom w:w="0" w:type="dxa"/>
            <w:right w:w="0" w:type="dxa"/>
          </w:tblCellMar>
        </w:tblPrEx>
        <w:trPr>
          <w:trHeight w:val="408" w:hRule="atLeast"/>
          <w:jc w:val="center"/>
        </w:trPr>
        <w:tc>
          <w:tcPr>
            <w:tcW w:w="113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heme="minorEastAsia" w:hAnsiTheme="minorEastAsia"/>
                <w:szCs w:val="21"/>
              </w:rPr>
            </w:pPr>
            <w:r>
              <w:rPr>
                <w:rFonts w:hint="eastAsia" w:asciiTheme="minorEastAsia" w:hAnsiTheme="minorEastAsia"/>
                <w:szCs w:val="21"/>
              </w:rPr>
              <w:t>2240703</w:t>
            </w:r>
          </w:p>
        </w:tc>
        <w:tc>
          <w:tcPr>
            <w:tcW w:w="3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heme="minorEastAsia" w:hAnsiTheme="minorEastAsia"/>
                <w:szCs w:val="21"/>
              </w:rPr>
            </w:pPr>
            <w:r>
              <w:rPr>
                <w:rFonts w:hint="eastAsia" w:asciiTheme="minorEastAsia" w:hAnsiTheme="minorEastAsia"/>
                <w:szCs w:val="21"/>
              </w:rPr>
              <w:t>自然灾害救灾补助</w:t>
            </w:r>
          </w:p>
        </w:tc>
        <w:tc>
          <w:tcPr>
            <w:tcW w:w="17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50.00</w:t>
            </w:r>
          </w:p>
        </w:tc>
        <w:tc>
          <w:tcPr>
            <w:tcW w:w="13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heme="minorEastAsia" w:hAnsiTheme="minorEastAsia"/>
                <w:szCs w:val="21"/>
              </w:rPr>
            </w:pPr>
            <w:r>
              <w:rPr>
                <w:rFonts w:hint="eastAsia" w:asciiTheme="minorEastAsia" w:hAnsiTheme="minorEastAsia"/>
                <w:szCs w:val="21"/>
              </w:rPr>
              <w:t>50.00</w:t>
            </w: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3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c>
          <w:tcPr>
            <w:tcW w:w="134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cs="宋体" w:asciiTheme="minorEastAsia" w:hAnsiTheme="minorEastAsia"/>
                <w:color w:val="000000"/>
                <w:szCs w:val="21"/>
              </w:rPr>
            </w:pPr>
          </w:p>
        </w:tc>
      </w:tr>
      <w:tr>
        <w:tblPrEx>
          <w:tblCellMar>
            <w:top w:w="0" w:type="dxa"/>
            <w:left w:w="0" w:type="dxa"/>
            <w:bottom w:w="0" w:type="dxa"/>
            <w:right w:w="0" w:type="dxa"/>
          </w:tblCellMar>
        </w:tblPrEx>
        <w:trPr>
          <w:trHeight w:val="497" w:hRule="atLeast"/>
          <w:jc w:val="center"/>
        </w:trPr>
        <w:tc>
          <w:tcPr>
            <w:tcW w:w="14205" w:type="dxa"/>
            <w:gridSpan w:val="15"/>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10"/>
        <w:tblpPr w:leftFromText="180" w:rightFromText="180" w:vertAnchor="text" w:horzAnchor="page" w:tblpXSpec="center" w:tblpY="618"/>
        <w:tblOverlap w:val="never"/>
        <w:tblW w:w="13920" w:type="dxa"/>
        <w:jc w:val="center"/>
        <w:tblLayout w:type="fixed"/>
        <w:tblCellMar>
          <w:top w:w="0" w:type="dxa"/>
          <w:left w:w="108" w:type="dxa"/>
          <w:bottom w:w="0" w:type="dxa"/>
          <w:right w:w="108" w:type="dxa"/>
        </w:tblCellMar>
      </w:tblPr>
      <w:tblGrid>
        <w:gridCol w:w="1491"/>
        <w:gridCol w:w="2971"/>
        <w:gridCol w:w="1602"/>
        <w:gridCol w:w="1392"/>
        <w:gridCol w:w="176"/>
        <w:gridCol w:w="1471"/>
        <w:gridCol w:w="97"/>
        <w:gridCol w:w="1537"/>
        <w:gridCol w:w="31"/>
        <w:gridCol w:w="1429"/>
        <w:gridCol w:w="139"/>
        <w:gridCol w:w="1584"/>
      </w:tblGrid>
      <w:tr>
        <w:tblPrEx>
          <w:tblCellMar>
            <w:top w:w="0" w:type="dxa"/>
            <w:left w:w="108" w:type="dxa"/>
            <w:bottom w:w="0" w:type="dxa"/>
            <w:right w:w="108" w:type="dxa"/>
          </w:tblCellMar>
        </w:tblPrEx>
        <w:trPr>
          <w:trHeight w:val="575" w:hRule="atLeast"/>
          <w:jc w:val="center"/>
        </w:trPr>
        <w:tc>
          <w:tcPr>
            <w:tcW w:w="13920" w:type="dxa"/>
            <w:gridSpan w:val="12"/>
            <w:tcBorders>
              <w:top w:val="nil"/>
              <w:left w:val="nil"/>
              <w:bottom w:val="nil"/>
              <w:right w:val="nil"/>
            </w:tcBorders>
            <w:shd w:val="clear" w:color="auto" w:fill="auto"/>
            <w:noWrap/>
            <w:vAlign w:val="center"/>
          </w:tcPr>
          <w:p>
            <w:pPr>
              <w:widowControl/>
              <w:jc w:val="center"/>
              <w:rPr>
                <w:rFonts w:cs="宋体" w:asciiTheme="majorEastAsia" w:hAnsiTheme="majorEastAsia" w:eastAsiaTheme="majorEastAsia"/>
                <w:b/>
                <w:color w:val="000000"/>
                <w:kern w:val="0"/>
                <w:szCs w:val="21"/>
              </w:rPr>
            </w:pPr>
            <w:r>
              <w:rPr>
                <w:rFonts w:hint="eastAsia" w:cs="宋体" w:asciiTheme="majorEastAsia" w:hAnsiTheme="majorEastAsia" w:eastAsiaTheme="majorEastAsia"/>
                <w:b/>
                <w:color w:val="000000"/>
                <w:kern w:val="0"/>
                <w:sz w:val="32"/>
                <w:szCs w:val="32"/>
              </w:rPr>
              <w:t>支出决算表</w:t>
            </w:r>
          </w:p>
        </w:tc>
      </w:tr>
      <w:tr>
        <w:trPr>
          <w:trHeight w:val="377" w:hRule="atLeast"/>
          <w:jc w:val="center"/>
        </w:trPr>
        <w:tc>
          <w:tcPr>
            <w:tcW w:w="4462" w:type="dxa"/>
            <w:gridSpan w:val="2"/>
            <w:tcBorders>
              <w:top w:val="nil"/>
              <w:left w:val="nil"/>
              <w:bottom w:val="nil"/>
              <w:right w:val="nil"/>
            </w:tcBorders>
            <w:shd w:val="clear" w:color="000000" w:fill="FFFFFF"/>
            <w:noWrap/>
            <w:vAlign w:val="center"/>
          </w:tcPr>
          <w:p>
            <w:pPr>
              <w:widowControl/>
              <w:rPr>
                <w:rFonts w:cs="宋体" w:asciiTheme="majorEastAsia" w:hAnsiTheme="majorEastAsia" w:eastAsiaTheme="majorEastAsia"/>
                <w:kern w:val="0"/>
                <w:szCs w:val="21"/>
              </w:rPr>
            </w:pPr>
          </w:p>
        </w:tc>
        <w:tc>
          <w:tcPr>
            <w:tcW w:w="1602"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　</w:t>
            </w:r>
          </w:p>
        </w:tc>
        <w:tc>
          <w:tcPr>
            <w:tcW w:w="1392"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　</w:t>
            </w:r>
          </w:p>
        </w:tc>
        <w:tc>
          <w:tcPr>
            <w:tcW w:w="1647"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　</w:t>
            </w:r>
          </w:p>
        </w:tc>
        <w:tc>
          <w:tcPr>
            <w:tcW w:w="1634"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　</w:t>
            </w:r>
          </w:p>
        </w:tc>
        <w:tc>
          <w:tcPr>
            <w:tcW w:w="1460"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　</w:t>
            </w:r>
          </w:p>
        </w:tc>
        <w:tc>
          <w:tcPr>
            <w:tcW w:w="1723"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公开03表</w:t>
            </w:r>
          </w:p>
        </w:tc>
      </w:tr>
      <w:tr>
        <w:tblPrEx>
          <w:tblCellMar>
            <w:top w:w="0" w:type="dxa"/>
            <w:left w:w="108" w:type="dxa"/>
            <w:bottom w:w="0" w:type="dxa"/>
            <w:right w:w="108" w:type="dxa"/>
          </w:tblCellMar>
        </w:tblPrEx>
        <w:trPr>
          <w:trHeight w:val="377" w:hRule="atLeast"/>
          <w:jc w:val="center"/>
        </w:trPr>
        <w:tc>
          <w:tcPr>
            <w:tcW w:w="6064" w:type="dxa"/>
            <w:gridSpan w:val="3"/>
            <w:tcBorders>
              <w:top w:val="nil"/>
              <w:left w:val="nil"/>
              <w:bottom w:val="nil"/>
              <w:right w:val="nil"/>
            </w:tcBorders>
            <w:shd w:val="clear" w:color="000000" w:fill="FFFFFF"/>
            <w:noWrap/>
            <w:vAlign w:val="center"/>
          </w:tcPr>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color w:val="000000"/>
                <w:kern w:val="0"/>
                <w:szCs w:val="21"/>
              </w:rPr>
              <w:t>部门</w:t>
            </w:r>
            <w:r>
              <w:rPr>
                <w:rFonts w:hint="eastAsia" w:asciiTheme="majorEastAsia" w:hAnsiTheme="majorEastAsia" w:eastAsiaTheme="majorEastAsia"/>
                <w:szCs w:val="21"/>
              </w:rPr>
              <w:t>：湘潭县发展和改革局</w:t>
            </w:r>
          </w:p>
        </w:tc>
        <w:tc>
          <w:tcPr>
            <w:tcW w:w="1392"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　</w:t>
            </w:r>
          </w:p>
        </w:tc>
        <w:tc>
          <w:tcPr>
            <w:tcW w:w="1647" w:type="dxa"/>
            <w:gridSpan w:val="2"/>
            <w:tcBorders>
              <w:top w:val="nil"/>
              <w:left w:val="nil"/>
              <w:bottom w:val="nil"/>
              <w:right w:val="nil"/>
            </w:tcBorders>
            <w:shd w:val="clear" w:color="000000" w:fill="FFFFFF"/>
            <w:noWrap/>
            <w:vAlign w:val="center"/>
          </w:tcPr>
          <w:p>
            <w:pPr>
              <w:widowControl/>
              <w:jc w:val="center"/>
              <w:rPr>
                <w:rFonts w:cs="宋体" w:asciiTheme="majorEastAsia" w:hAnsiTheme="majorEastAsia" w:eastAsiaTheme="majorEastAsia"/>
                <w:color w:val="000000"/>
                <w:kern w:val="0"/>
                <w:szCs w:val="21"/>
              </w:rPr>
            </w:pPr>
          </w:p>
        </w:tc>
        <w:tc>
          <w:tcPr>
            <w:tcW w:w="1634"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　</w:t>
            </w:r>
          </w:p>
        </w:tc>
        <w:tc>
          <w:tcPr>
            <w:tcW w:w="1460"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　</w:t>
            </w:r>
          </w:p>
        </w:tc>
        <w:tc>
          <w:tcPr>
            <w:tcW w:w="1723"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单位：万元</w:t>
            </w:r>
          </w:p>
        </w:tc>
      </w:tr>
      <w:tr>
        <w:trPr>
          <w:trHeight w:val="408" w:hRule="atLeast"/>
          <w:jc w:val="center"/>
        </w:trPr>
        <w:tc>
          <w:tcPr>
            <w:tcW w:w="4462"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项    目</w:t>
            </w:r>
          </w:p>
        </w:tc>
        <w:tc>
          <w:tcPr>
            <w:tcW w:w="160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本年支出合计</w:t>
            </w:r>
          </w:p>
        </w:tc>
        <w:tc>
          <w:tcPr>
            <w:tcW w:w="156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基本支出</w:t>
            </w:r>
          </w:p>
        </w:tc>
        <w:tc>
          <w:tcPr>
            <w:tcW w:w="156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项目支出</w:t>
            </w:r>
          </w:p>
        </w:tc>
        <w:tc>
          <w:tcPr>
            <w:tcW w:w="156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上缴上级支出</w:t>
            </w:r>
          </w:p>
        </w:tc>
        <w:tc>
          <w:tcPr>
            <w:tcW w:w="156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经营支出</w:t>
            </w:r>
          </w:p>
        </w:tc>
        <w:tc>
          <w:tcPr>
            <w:tcW w:w="158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对附属单位补助支出</w:t>
            </w:r>
          </w:p>
        </w:tc>
      </w:tr>
      <w:tr>
        <w:tblPrEx>
          <w:tblCellMar>
            <w:top w:w="0" w:type="dxa"/>
            <w:left w:w="108" w:type="dxa"/>
            <w:bottom w:w="0" w:type="dxa"/>
            <w:right w:w="108" w:type="dxa"/>
          </w:tblCellMar>
        </w:tblPrEx>
        <w:trPr>
          <w:trHeight w:val="464" w:hRule="atLeast"/>
          <w:jc w:val="center"/>
        </w:trPr>
        <w:tc>
          <w:tcPr>
            <w:tcW w:w="14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功能分类科目</w:t>
            </w:r>
          </w:p>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编码</w:t>
            </w:r>
          </w:p>
        </w:tc>
        <w:tc>
          <w:tcPr>
            <w:tcW w:w="297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科目名称</w:t>
            </w:r>
          </w:p>
        </w:tc>
        <w:tc>
          <w:tcPr>
            <w:tcW w:w="16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158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r>
      <w:tr>
        <w:trPr>
          <w:trHeight w:val="464" w:hRule="atLeast"/>
          <w:jc w:val="center"/>
        </w:trPr>
        <w:tc>
          <w:tcPr>
            <w:tcW w:w="14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2971"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16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c>
          <w:tcPr>
            <w:tcW w:w="158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446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栏次</w:t>
            </w:r>
          </w:p>
        </w:tc>
        <w:tc>
          <w:tcPr>
            <w:tcW w:w="1602" w:type="dxa"/>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1</w:t>
            </w:r>
          </w:p>
        </w:tc>
        <w:tc>
          <w:tcPr>
            <w:tcW w:w="156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2</w:t>
            </w:r>
          </w:p>
        </w:tc>
        <w:tc>
          <w:tcPr>
            <w:tcW w:w="156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3</w:t>
            </w:r>
          </w:p>
        </w:tc>
        <w:tc>
          <w:tcPr>
            <w:tcW w:w="156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4</w:t>
            </w:r>
          </w:p>
        </w:tc>
        <w:tc>
          <w:tcPr>
            <w:tcW w:w="156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5</w:t>
            </w:r>
          </w:p>
        </w:tc>
        <w:tc>
          <w:tcPr>
            <w:tcW w:w="1584" w:type="dxa"/>
            <w:tcBorders>
              <w:top w:val="nil"/>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6</w:t>
            </w:r>
          </w:p>
        </w:tc>
      </w:tr>
      <w:tr>
        <w:trPr>
          <w:trHeight w:val="408" w:hRule="atLeast"/>
          <w:jc w:val="center"/>
        </w:trPr>
        <w:tc>
          <w:tcPr>
            <w:tcW w:w="446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b/>
                <w:bCs/>
                <w:kern w:val="0"/>
                <w:szCs w:val="21"/>
              </w:rPr>
            </w:pPr>
            <w:r>
              <w:rPr>
                <w:rFonts w:hint="eastAsia" w:cs="宋体" w:asciiTheme="majorEastAsia" w:hAnsiTheme="majorEastAsia" w:eastAsiaTheme="majorEastAsia"/>
                <w:b/>
                <w:bCs/>
                <w:kern w:val="0"/>
                <w:szCs w:val="21"/>
              </w:rPr>
              <w:t>合计</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4,285.32</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r>
              <w:rPr>
                <w:rFonts w:hint="eastAsia" w:asciiTheme="majorEastAsia" w:hAnsiTheme="majorEastAsia" w:eastAsiaTheme="majorEastAsia"/>
                <w:b/>
              </w:rPr>
              <w:t>900</w:t>
            </w:r>
            <w:r>
              <w:rPr>
                <w:rFonts w:asciiTheme="majorEastAsia" w:hAnsiTheme="majorEastAsia" w:eastAsiaTheme="majorEastAsia"/>
                <w:b/>
              </w:rPr>
              <w:t>.</w:t>
            </w:r>
            <w:r>
              <w:rPr>
                <w:rFonts w:hint="eastAsia" w:asciiTheme="majorEastAsia" w:hAnsiTheme="majorEastAsia" w:eastAsiaTheme="majorEastAsia"/>
                <w:b/>
              </w:rPr>
              <w:t>10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r>
              <w:rPr>
                <w:rFonts w:hint="eastAsia" w:asciiTheme="majorEastAsia" w:hAnsiTheme="majorEastAsia" w:eastAsiaTheme="majorEastAsia"/>
                <w:b/>
              </w:rPr>
              <w:t>3,385.22</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201</w:t>
            </w:r>
          </w:p>
        </w:tc>
        <w:tc>
          <w:tcPr>
            <w:tcW w:w="297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color w:val="000000"/>
                <w:szCs w:val="21"/>
              </w:rPr>
            </w:pPr>
            <w:r>
              <w:rPr>
                <w:rFonts w:hint="eastAsia" w:ascii="宋体" w:hAnsi="宋体" w:eastAsia="宋体" w:cs="宋体"/>
                <w:b/>
                <w:bCs/>
                <w:color w:val="000000"/>
                <w:kern w:val="0"/>
                <w:szCs w:val="21"/>
              </w:rPr>
              <w:t>一般公共服务支出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1,821.39</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r>
              <w:rPr>
                <w:rFonts w:hint="eastAsia" w:asciiTheme="majorEastAsia" w:hAnsiTheme="majorEastAsia" w:eastAsiaTheme="majorEastAsia"/>
                <w:b/>
              </w:rPr>
              <w:t>771.69</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r>
              <w:rPr>
                <w:rFonts w:hint="eastAsia" w:asciiTheme="majorEastAsia" w:hAnsiTheme="majorEastAsia" w:eastAsiaTheme="majorEastAsia"/>
                <w:b/>
              </w:rPr>
              <w:t>1,049.70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rPr>
            </w:pPr>
          </w:p>
        </w:tc>
      </w:tr>
      <w:tr>
        <w:tblPrEx>
          <w:tblCellMar>
            <w:top w:w="0" w:type="dxa"/>
            <w:left w:w="108" w:type="dxa"/>
            <w:bottom w:w="0" w:type="dxa"/>
            <w:right w:w="108" w:type="dxa"/>
          </w:tblCellMar>
        </w:tblPrEx>
        <w:trPr>
          <w:trHeight w:val="784"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20103</w:t>
            </w:r>
          </w:p>
        </w:tc>
        <w:tc>
          <w:tcPr>
            <w:tcW w:w="297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color w:val="000000"/>
                <w:szCs w:val="21"/>
              </w:rPr>
            </w:pPr>
            <w:r>
              <w:rPr>
                <w:rFonts w:ascii="STSongStd-Light" w:hAnsi="STSongStd-Light" w:eastAsia="STSongStd-Light" w:cs="STSongStd-Light"/>
                <w:color w:val="000000"/>
                <w:kern w:val="0"/>
                <w:szCs w:val="21"/>
              </w:rPr>
              <w:t>政府办公厅（室）及相关机构事务</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25.00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25.00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2010302</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jc w:val="left"/>
              <w:textAlignment w:val="center"/>
              <w:rPr>
                <w:rFonts w:cs="宋体" w:asciiTheme="majorEastAsia" w:hAnsiTheme="majorEastAsia" w:eastAsiaTheme="majorEastAsia"/>
                <w:color w:val="000000"/>
                <w:szCs w:val="21"/>
              </w:rPr>
            </w:pPr>
            <w:r>
              <w:rPr>
                <w:rFonts w:ascii="STSongStd-Light" w:hAnsi="STSongStd-Light" w:eastAsia="STSongStd-Light" w:cs="STSongStd-Light"/>
                <w:color w:val="000000"/>
                <w:kern w:val="0"/>
                <w:szCs w:val="21"/>
              </w:rPr>
              <w:t>一般行政管理事务</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25.00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25.00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20104</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cs="宋体" w:asciiTheme="majorEastAsia" w:hAnsiTheme="majorEastAsia" w:eastAsiaTheme="majorEastAsia"/>
                <w:b/>
                <w:bCs/>
                <w:color w:val="000000"/>
                <w:szCs w:val="21"/>
              </w:rPr>
            </w:pPr>
            <w:r>
              <w:rPr>
                <w:rFonts w:hint="eastAsia" w:ascii="宋体" w:hAnsi="宋体" w:eastAsia="宋体" w:cs="宋体"/>
                <w:b/>
                <w:bCs/>
                <w:color w:val="000000"/>
                <w:kern w:val="0"/>
                <w:szCs w:val="21"/>
              </w:rPr>
              <w:t>发展与改革事务</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bCs/>
              </w:rPr>
            </w:pPr>
            <w:r>
              <w:rPr>
                <w:rFonts w:hint="eastAsia" w:ascii="宋体" w:hAnsi="宋体" w:eastAsia="宋体" w:cs="宋体"/>
                <w:b/>
                <w:bCs/>
                <w:color w:val="000000"/>
                <w:kern w:val="0"/>
                <w:szCs w:val="21"/>
              </w:rPr>
              <w:t>1,789.99</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bCs/>
              </w:rPr>
            </w:pPr>
            <w:r>
              <w:rPr>
                <w:rFonts w:hint="eastAsia" w:asciiTheme="majorEastAsia" w:hAnsiTheme="majorEastAsia" w:eastAsiaTheme="majorEastAsia"/>
                <w:b/>
                <w:bCs/>
              </w:rPr>
              <w:t>771.69</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bCs/>
              </w:rPr>
            </w:pPr>
            <w:r>
              <w:rPr>
                <w:rFonts w:hint="eastAsia" w:asciiTheme="majorEastAsia" w:hAnsiTheme="majorEastAsia" w:eastAsiaTheme="majorEastAsia"/>
                <w:b/>
                <w:bCs/>
              </w:rPr>
              <w:t>1,018.30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2010401</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cs="宋体" w:asciiTheme="majorEastAsia" w:hAnsiTheme="majorEastAsia" w:eastAsiaTheme="majorEastAsia"/>
                <w:color w:val="000000"/>
                <w:szCs w:val="21"/>
              </w:rPr>
            </w:pPr>
            <w:r>
              <w:rPr>
                <w:rFonts w:hint="eastAsia" w:ascii="宋体" w:hAnsi="宋体" w:eastAsia="宋体" w:cs="宋体"/>
                <w:color w:val="000000"/>
                <w:kern w:val="0"/>
                <w:szCs w:val="21"/>
              </w:rPr>
              <w:t>行政运行</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567.14</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r>
              <w:rPr>
                <w:rFonts w:hint="eastAsia" w:asciiTheme="majorEastAsia" w:hAnsiTheme="majorEastAsia" w:eastAsiaTheme="majorEastAsia"/>
              </w:rPr>
              <w:t>560.64</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r>
              <w:rPr>
                <w:rFonts w:hint="eastAsia" w:asciiTheme="majorEastAsia" w:hAnsiTheme="majorEastAsia" w:eastAsiaTheme="majorEastAsia"/>
              </w:rPr>
              <w:t>6.50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2010402</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cs="宋体" w:asciiTheme="majorEastAsia" w:hAnsiTheme="majorEastAsia" w:eastAsiaTheme="majorEastAsia"/>
                <w:color w:val="000000"/>
                <w:szCs w:val="21"/>
              </w:rPr>
            </w:pPr>
            <w:r>
              <w:rPr>
                <w:rFonts w:hint="eastAsia" w:ascii="宋体" w:hAnsi="宋体" w:eastAsia="宋体" w:cs="宋体"/>
                <w:color w:val="000000"/>
                <w:kern w:val="0"/>
                <w:szCs w:val="21"/>
              </w:rPr>
              <w:t>一般行政管理事务</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362.30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r>
              <w:rPr>
                <w:rFonts w:hint="eastAsia" w:asciiTheme="majorEastAsia" w:hAnsiTheme="majorEastAsia" w:eastAsiaTheme="majorEastAsia"/>
              </w:rPr>
              <w:t>362.30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2010404</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cs="宋体" w:asciiTheme="majorEastAsia" w:hAnsiTheme="majorEastAsia" w:eastAsiaTheme="majorEastAsia"/>
                <w:color w:val="000000"/>
                <w:szCs w:val="21"/>
              </w:rPr>
            </w:pPr>
            <w:r>
              <w:rPr>
                <w:rFonts w:hint="eastAsia" w:ascii="宋体" w:hAnsi="宋体" w:eastAsia="宋体" w:cs="宋体"/>
                <w:color w:val="000000"/>
                <w:kern w:val="0"/>
                <w:szCs w:val="21"/>
              </w:rPr>
              <w:t>战略规划与实施</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5.00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r>
              <w:rPr>
                <w:rFonts w:hint="eastAsia" w:ascii="宋体" w:hAnsi="宋体" w:eastAsia="宋体" w:cs="宋体"/>
                <w:color w:val="000000"/>
                <w:kern w:val="0"/>
                <w:szCs w:val="21"/>
              </w:rPr>
              <w:t>5.00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2010406</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cs="宋体" w:asciiTheme="majorEastAsia" w:hAnsiTheme="majorEastAsia" w:eastAsiaTheme="majorEastAsia"/>
                <w:color w:val="000000"/>
                <w:szCs w:val="21"/>
              </w:rPr>
            </w:pPr>
            <w:r>
              <w:rPr>
                <w:rFonts w:hint="eastAsia" w:ascii="宋体" w:hAnsi="宋体" w:eastAsia="宋体" w:cs="宋体"/>
                <w:color w:val="000000"/>
                <w:kern w:val="0"/>
                <w:szCs w:val="21"/>
              </w:rPr>
              <w:t>社会事业发展规划</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154.5</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r>
              <w:rPr>
                <w:rFonts w:hint="eastAsia" w:asciiTheme="majorEastAsia" w:hAnsiTheme="majorEastAsia" w:eastAsiaTheme="majorEastAsia"/>
              </w:rPr>
              <w:t>16.54</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r>
              <w:rPr>
                <w:rFonts w:hint="eastAsia" w:asciiTheme="majorEastAsia" w:hAnsiTheme="majorEastAsia" w:eastAsiaTheme="majorEastAsia"/>
              </w:rPr>
              <w:t>137.96</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color w:val="000000"/>
                <w:kern w:val="0"/>
                <w:szCs w:val="21"/>
              </w:rPr>
              <w:t>2010499</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cs="宋体" w:asciiTheme="majorEastAsia" w:hAnsiTheme="majorEastAsia" w:eastAsiaTheme="majorEastAsia"/>
                <w:color w:val="000000"/>
                <w:szCs w:val="21"/>
              </w:rPr>
            </w:pPr>
            <w:r>
              <w:rPr>
                <w:rFonts w:hint="eastAsia" w:ascii="宋体" w:hAnsi="宋体" w:eastAsia="宋体" w:cs="宋体"/>
                <w:color w:val="000000"/>
                <w:kern w:val="0"/>
                <w:szCs w:val="21"/>
              </w:rPr>
              <w:t>其他发展与改革事务支出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701.05</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r>
              <w:rPr>
                <w:rFonts w:hint="eastAsia" w:asciiTheme="majorEastAsia" w:hAnsiTheme="majorEastAsia" w:eastAsiaTheme="majorEastAsia"/>
              </w:rPr>
              <w:t>194.51</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r>
              <w:rPr>
                <w:rFonts w:hint="eastAsia" w:asciiTheme="majorEastAsia" w:hAnsiTheme="majorEastAsia" w:eastAsiaTheme="majorEastAsia"/>
              </w:rPr>
              <w:t>506.54</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20106</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财政事务</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1.60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1.60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2010699</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jc w:val="left"/>
              <w:textAlignment w:val="center"/>
              <w:rPr>
                <w:rFonts w:asciiTheme="majorEastAsia" w:hAnsiTheme="majorEastAsia" w:eastAsiaTheme="majorEastAsia"/>
              </w:rPr>
            </w:pPr>
            <w:r>
              <w:rPr>
                <w:rFonts w:hint="eastAsia" w:ascii="宋体" w:hAnsi="宋体" w:eastAsia="宋体" w:cs="宋体"/>
                <w:color w:val="000000"/>
                <w:kern w:val="0"/>
                <w:szCs w:val="21"/>
              </w:rPr>
              <w:t>其他财政事务支出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1.60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1.60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bCs/>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20113</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cs="宋体" w:asciiTheme="majorEastAsia" w:hAnsiTheme="majorEastAsia" w:eastAsiaTheme="majorEastAsia"/>
                <w:b/>
                <w:color w:val="000000"/>
                <w:szCs w:val="21"/>
              </w:rPr>
            </w:pPr>
            <w:r>
              <w:rPr>
                <w:rFonts w:hint="eastAsia" w:ascii="宋体" w:hAnsi="宋体" w:eastAsia="宋体" w:cs="宋体"/>
                <w:b/>
                <w:bCs/>
                <w:color w:val="000000"/>
                <w:kern w:val="0"/>
                <w:szCs w:val="21"/>
              </w:rPr>
              <w:t>商贸事务</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4.80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4.80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2011399</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jc w:val="left"/>
              <w:textAlignment w:val="center"/>
              <w:rPr>
                <w:rFonts w:cs="宋体" w:asciiTheme="majorEastAsia" w:hAnsiTheme="majorEastAsia" w:eastAsiaTheme="majorEastAsia"/>
                <w:color w:val="000000"/>
                <w:szCs w:val="21"/>
              </w:rPr>
            </w:pPr>
            <w:r>
              <w:rPr>
                <w:rFonts w:hint="eastAsia" w:ascii="宋体" w:hAnsi="宋体" w:eastAsia="宋体" w:cs="宋体"/>
                <w:color w:val="000000"/>
                <w:kern w:val="0"/>
                <w:szCs w:val="21"/>
              </w:rPr>
              <w:t>其他商贸事务支出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4.80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4.80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208</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社会保障和就业支出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124.44</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r>
              <w:rPr>
                <w:rFonts w:hint="eastAsia" w:asciiTheme="majorEastAsia" w:hAnsiTheme="majorEastAsia" w:eastAsiaTheme="majorEastAsia"/>
                <w:b/>
              </w:rPr>
              <w:t>52.71</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r>
              <w:rPr>
                <w:rFonts w:hint="eastAsia" w:asciiTheme="majorEastAsia" w:hAnsiTheme="majorEastAsia" w:eastAsiaTheme="majorEastAsia"/>
                <w:b/>
              </w:rPr>
              <w:t>71.73</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20805</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行政事业单位养老支出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78.98</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r>
              <w:rPr>
                <w:rFonts w:hint="eastAsia" w:asciiTheme="majorEastAsia" w:hAnsiTheme="majorEastAsia" w:eastAsiaTheme="majorEastAsia"/>
                <w:b/>
              </w:rPr>
              <w:t>52.71</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r>
              <w:rPr>
                <w:rFonts w:hint="eastAsia" w:asciiTheme="majorEastAsia" w:hAnsiTheme="majorEastAsia" w:eastAsiaTheme="majorEastAsia"/>
                <w:b/>
              </w:rPr>
              <w:t>26.27</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784"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2080505</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rPr>
            </w:pPr>
            <w:r>
              <w:rPr>
                <w:rFonts w:hint="eastAsia" w:ascii="宋体" w:hAnsi="宋体" w:eastAsia="宋体" w:cs="宋体"/>
                <w:color w:val="000000"/>
                <w:kern w:val="0"/>
                <w:szCs w:val="21"/>
              </w:rPr>
              <w:t>机关事业单位基本养老保险缴费支出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52.71</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r>
              <w:rPr>
                <w:rFonts w:hint="eastAsia" w:ascii="宋体" w:hAnsi="宋体" w:eastAsia="宋体" w:cs="宋体"/>
                <w:color w:val="000000"/>
                <w:kern w:val="0"/>
                <w:szCs w:val="21"/>
              </w:rPr>
              <w:t>52.71</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784"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color w:val="000000"/>
                <w:kern w:val="0"/>
                <w:szCs w:val="21"/>
              </w:rPr>
              <w:t>2080506</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b/>
              </w:rPr>
            </w:pPr>
            <w:r>
              <w:rPr>
                <w:rFonts w:hint="eastAsia" w:ascii="宋体" w:hAnsi="宋体" w:eastAsia="宋体" w:cs="宋体"/>
                <w:color w:val="000000"/>
                <w:kern w:val="0"/>
                <w:szCs w:val="21"/>
              </w:rPr>
              <w:t>机关事业单位职业年金缴费支出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13.18</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13.18</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784"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color w:val="000000"/>
                <w:kern w:val="0"/>
                <w:szCs w:val="21"/>
              </w:rPr>
              <w:t>2080508</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b/>
              </w:rPr>
            </w:pPr>
            <w:r>
              <w:rPr>
                <w:rFonts w:hint="eastAsia" w:ascii="宋体" w:hAnsi="宋体" w:eastAsia="宋体" w:cs="宋体"/>
                <w:color w:val="000000"/>
                <w:kern w:val="0"/>
                <w:szCs w:val="21"/>
              </w:rPr>
              <w:t>对机关事业单位职业年金的补助</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 xml:space="preserve">13.09 </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13.09</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20808</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抚恤</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45.46</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45.46</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color w:val="000000"/>
                <w:kern w:val="0"/>
                <w:szCs w:val="21"/>
              </w:rPr>
              <w:t>2080801</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b/>
              </w:rPr>
            </w:pPr>
            <w:r>
              <w:rPr>
                <w:rFonts w:hint="eastAsia" w:ascii="宋体" w:hAnsi="宋体" w:eastAsia="宋体" w:cs="宋体"/>
                <w:color w:val="000000"/>
                <w:kern w:val="0"/>
                <w:szCs w:val="21"/>
              </w:rPr>
              <w:t>死亡抚恤</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45.46</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45.46</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210</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卫生健康支出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30.46</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r>
              <w:rPr>
                <w:rFonts w:hint="eastAsia" w:ascii="宋体" w:hAnsi="宋体" w:eastAsia="宋体" w:cs="宋体"/>
                <w:b/>
                <w:bCs/>
                <w:color w:val="000000"/>
                <w:kern w:val="0"/>
                <w:szCs w:val="21"/>
              </w:rPr>
              <w:t>30.46</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21011</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行政事业单位医疗</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30.46</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30.46</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color w:val="000000"/>
                <w:kern w:val="0"/>
                <w:szCs w:val="21"/>
              </w:rPr>
              <w:t>2101101</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b/>
              </w:rPr>
            </w:pPr>
            <w:r>
              <w:rPr>
                <w:rFonts w:hint="eastAsia" w:ascii="宋体" w:hAnsi="宋体" w:eastAsia="宋体" w:cs="宋体"/>
                <w:color w:val="000000"/>
                <w:kern w:val="0"/>
                <w:szCs w:val="21"/>
              </w:rPr>
              <w:t>行政单位医疗</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30.46</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30.46</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b/>
                <w:bCs/>
                <w:color w:val="000000"/>
                <w:kern w:val="0"/>
                <w:szCs w:val="21"/>
              </w:rPr>
              <w:t>212</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b/>
                <w:bCs/>
                <w:color w:val="000000"/>
                <w:kern w:val="0"/>
                <w:szCs w:val="21"/>
              </w:rPr>
              <w:t>城乡社区支出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90.00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90.00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b/>
                <w:bCs/>
                <w:color w:val="000000"/>
                <w:kern w:val="0"/>
                <w:szCs w:val="21"/>
              </w:rPr>
              <w:t>21203</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b/>
                <w:bCs/>
                <w:color w:val="000000"/>
                <w:kern w:val="0"/>
                <w:szCs w:val="21"/>
              </w:rPr>
              <w:t>城乡社区公共设施</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90.00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90.00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rPr>
          <w:trHeight w:val="784"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rPr>
              <w:t>2120399</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宋体" w:hAnsi="宋体" w:eastAsia="宋体" w:cs="宋体"/>
                <w:color w:val="000000"/>
                <w:kern w:val="0"/>
                <w:szCs w:val="21"/>
              </w:rPr>
            </w:pPr>
            <w:r>
              <w:rPr>
                <w:rFonts w:hint="eastAsia" w:ascii="宋体" w:hAnsi="宋体" w:eastAsia="宋体" w:cs="宋体"/>
                <w:color w:val="000000"/>
                <w:kern w:val="0"/>
                <w:szCs w:val="21"/>
              </w:rPr>
              <w:t>其他城乡社区公共设施支出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90.00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90.00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215</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资源勘探工业信息等支出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232.86</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232.86</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784"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21599</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其他资源勘探工业信息等支出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232.86</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232.86</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784"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color w:val="000000"/>
                <w:kern w:val="0"/>
                <w:szCs w:val="21"/>
              </w:rPr>
              <w:t>2159999</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Style w:val="19"/>
                <w:rFonts w:hint="default"/>
              </w:rPr>
              <w:t>其他资源勘探工业信息等支出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232.86</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232.86</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216</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商业服务业等支出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70.00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70.00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21699</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ascii="STSongStd-Light" w:hAnsi="STSongStd-Light" w:eastAsia="STSongStd-Light" w:cs="STSongStd-Light"/>
                <w:b/>
                <w:bCs/>
                <w:color w:val="000000"/>
                <w:kern w:val="0"/>
                <w:szCs w:val="21"/>
              </w:rPr>
              <w:t>其他商业服务业等支出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70.00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color w:val="00000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bCs/>
                <w:color w:val="000000"/>
                <w:szCs w:val="21"/>
              </w:rPr>
            </w:pPr>
            <w:r>
              <w:rPr>
                <w:rFonts w:hint="eastAsia" w:ascii="宋体" w:hAnsi="宋体" w:eastAsia="宋体" w:cs="宋体"/>
                <w:b/>
                <w:bCs/>
                <w:color w:val="000000"/>
                <w:kern w:val="0"/>
                <w:szCs w:val="21"/>
              </w:rPr>
              <w:t>70.00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385"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color w:val="000000"/>
                <w:kern w:val="0"/>
                <w:szCs w:val="21"/>
              </w:rPr>
              <w:t>2169999</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b/>
              </w:rPr>
            </w:pPr>
            <w:r>
              <w:rPr>
                <w:rFonts w:hint="eastAsia" w:ascii="宋体" w:hAnsi="宋体" w:eastAsia="宋体" w:cs="宋体"/>
                <w:color w:val="000000"/>
                <w:kern w:val="0"/>
                <w:szCs w:val="21"/>
              </w:rPr>
              <w:t>其他商业服务业等支出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70.00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70.00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221</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住房保障支出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45.24</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45.24</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color w:val="00000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22102</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住房改革支出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45.24</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45.24</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2210201</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Style w:val="19"/>
                <w:rFonts w:hint="default"/>
              </w:rPr>
              <w:t>住房公积金</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45.24</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45.24</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222</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粮油物资储备支出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1,820.93</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r>
              <w:rPr>
                <w:rFonts w:hint="eastAsia" w:ascii="宋体" w:hAnsi="宋体" w:eastAsia="宋体" w:cs="宋体"/>
                <w:b/>
                <w:bCs/>
                <w:color w:val="000000"/>
                <w:kern w:val="0"/>
                <w:szCs w:val="21"/>
              </w:rPr>
              <w:t>1,820.93</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22201</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b/>
                <w:bCs/>
                <w:color w:val="000000"/>
                <w:kern w:val="0"/>
                <w:szCs w:val="21"/>
              </w:rPr>
              <w:t>粮油物资事务</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774.20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b/>
                <w:bCs/>
                <w:color w:val="000000"/>
                <w:kern w:val="0"/>
                <w:szCs w:val="21"/>
              </w:rPr>
              <w:t>774.20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color w:val="000000"/>
                <w:kern w:val="0"/>
                <w:szCs w:val="21"/>
              </w:rPr>
              <w:t>2220112</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b/>
              </w:rPr>
            </w:pPr>
            <w:r>
              <w:rPr>
                <w:rFonts w:hint="eastAsia" w:ascii="宋体" w:hAnsi="宋体" w:eastAsia="宋体" w:cs="宋体"/>
                <w:color w:val="000000"/>
                <w:kern w:val="0"/>
                <w:szCs w:val="21"/>
              </w:rPr>
              <w:t>粮食财务挂账利息补贴</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126.20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b/>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126.20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2220115</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rPr>
            </w:pPr>
            <w:r>
              <w:rPr>
                <w:rFonts w:hint="eastAsia" w:ascii="宋体" w:hAnsi="宋体" w:eastAsia="宋体" w:cs="宋体"/>
                <w:color w:val="000000"/>
                <w:kern w:val="0"/>
                <w:szCs w:val="21"/>
              </w:rPr>
              <w:t>粮食风险基金</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280.00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280.00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2220199</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rPr>
            </w:pPr>
            <w:r>
              <w:rPr>
                <w:rFonts w:hint="eastAsia" w:ascii="宋体" w:hAnsi="宋体" w:eastAsia="宋体" w:cs="宋体"/>
                <w:color w:val="000000"/>
                <w:kern w:val="0"/>
                <w:szCs w:val="21"/>
              </w:rPr>
              <w:t>其他粮油物资事务支出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368.00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368.00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22204</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粮油储备</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1,046.73</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asciiTheme="majorEastAsia" w:hAnsiTheme="majorEastAsia" w:eastAsiaTheme="majorEastAsia"/>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1,046.73</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b/>
              </w:rPr>
            </w:pPr>
            <w:r>
              <w:rPr>
                <w:rFonts w:hint="eastAsia" w:ascii="宋体" w:hAnsi="宋体" w:eastAsia="宋体" w:cs="宋体"/>
                <w:color w:val="000000"/>
                <w:kern w:val="0"/>
                <w:szCs w:val="21"/>
              </w:rPr>
              <w:t>2220401</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b/>
              </w:rPr>
            </w:pPr>
            <w:r>
              <w:rPr>
                <w:rFonts w:hint="eastAsia" w:ascii="宋体" w:hAnsi="宋体" w:eastAsia="宋体" w:cs="宋体"/>
                <w:color w:val="000000"/>
                <w:kern w:val="0"/>
                <w:szCs w:val="21"/>
              </w:rPr>
              <w:t>储备粮油补贴</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440.70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b/>
              </w:rPr>
            </w:pPr>
            <w:r>
              <w:rPr>
                <w:rFonts w:hint="eastAsia" w:ascii="宋体" w:hAnsi="宋体" w:eastAsia="宋体" w:cs="宋体"/>
                <w:color w:val="000000"/>
                <w:kern w:val="0"/>
                <w:szCs w:val="21"/>
              </w:rPr>
              <w:t>440.70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b/>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2220402</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rPr>
            </w:pPr>
            <w:r>
              <w:rPr>
                <w:rFonts w:hint="eastAsia" w:ascii="宋体" w:hAnsi="宋体" w:eastAsia="宋体" w:cs="宋体"/>
                <w:color w:val="000000"/>
                <w:kern w:val="0"/>
                <w:szCs w:val="21"/>
              </w:rPr>
              <w:t>储备粮油差价补贴</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479.20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479.20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2220499</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rPr>
            </w:pPr>
            <w:r>
              <w:rPr>
                <w:rFonts w:hint="eastAsia" w:ascii="宋体" w:hAnsi="宋体" w:eastAsia="宋体" w:cs="宋体"/>
                <w:color w:val="000000"/>
                <w:kern w:val="0"/>
                <w:szCs w:val="21"/>
              </w:rPr>
              <w:t>其他粮油储备支出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126.83</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126.83</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224</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ascii="STSongStd-Light" w:hAnsi="STSongStd-Light" w:eastAsia="STSongStd-Light" w:cs="STSongStd-Light"/>
                <w:b/>
                <w:bCs/>
                <w:color w:val="000000"/>
                <w:kern w:val="0"/>
                <w:szCs w:val="21"/>
              </w:rPr>
              <w:t>灾害防治及应急管理支出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50.00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50.00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rPr>
          <w:trHeight w:val="569"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22407</w:t>
            </w:r>
          </w:p>
        </w:tc>
        <w:tc>
          <w:tcPr>
            <w:tcW w:w="2971" w:type="dxa"/>
            <w:tcBorders>
              <w:top w:val="nil"/>
              <w:left w:val="nil"/>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ascii="STSongStd-Light" w:hAnsi="STSongStd-Light" w:eastAsia="STSongStd-Light" w:cs="STSongStd-Light"/>
                <w:b/>
                <w:bCs/>
                <w:color w:val="000000"/>
                <w:kern w:val="0"/>
                <w:szCs w:val="21"/>
              </w:rPr>
              <w:t>自然灾害救灾及恢复重建支出</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50.00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50.00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408" w:hRule="atLeast"/>
          <w:jc w:val="center"/>
        </w:trPr>
        <w:tc>
          <w:tcPr>
            <w:tcW w:w="14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2240703</w:t>
            </w:r>
          </w:p>
        </w:tc>
        <w:tc>
          <w:tcPr>
            <w:tcW w:w="2971" w:type="dxa"/>
            <w:tcBorders>
              <w:top w:val="nil"/>
              <w:left w:val="nil"/>
              <w:bottom w:val="single" w:color="auto" w:sz="4" w:space="0"/>
              <w:right w:val="single" w:color="auto" w:sz="4" w:space="0"/>
            </w:tcBorders>
            <w:shd w:val="clear" w:color="000000" w:fill="FFFFFF"/>
            <w:noWrap/>
            <w:vAlign w:val="center"/>
          </w:tcPr>
          <w:p>
            <w:pPr>
              <w:widowControl/>
              <w:ind w:firstLine="210" w:firstLineChars="100"/>
              <w:textAlignment w:val="center"/>
              <w:rPr>
                <w:rFonts w:asciiTheme="majorEastAsia" w:hAnsiTheme="majorEastAsia" w:eastAsiaTheme="majorEastAsia"/>
              </w:rPr>
            </w:pPr>
            <w:r>
              <w:rPr>
                <w:rFonts w:hint="eastAsia" w:ascii="宋体" w:hAnsi="宋体" w:eastAsia="宋体" w:cs="宋体"/>
                <w:color w:val="000000"/>
                <w:kern w:val="0"/>
                <w:szCs w:val="21"/>
              </w:rPr>
              <w:t>自然灾害救灾补助</w:t>
            </w:r>
          </w:p>
        </w:tc>
        <w:tc>
          <w:tcPr>
            <w:tcW w:w="160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50.00</w:t>
            </w:r>
          </w:p>
        </w:tc>
        <w:tc>
          <w:tcPr>
            <w:tcW w:w="1568" w:type="dxa"/>
            <w:gridSpan w:val="2"/>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50.00</w:t>
            </w: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6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c>
          <w:tcPr>
            <w:tcW w:w="158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Cs w:val="21"/>
              </w:rPr>
            </w:pPr>
          </w:p>
        </w:tc>
      </w:tr>
      <w:tr>
        <w:tblPrEx>
          <w:tblCellMar>
            <w:top w:w="0" w:type="dxa"/>
            <w:left w:w="108" w:type="dxa"/>
            <w:bottom w:w="0" w:type="dxa"/>
            <w:right w:w="108" w:type="dxa"/>
          </w:tblCellMar>
        </w:tblPrEx>
        <w:trPr>
          <w:trHeight w:val="3042" w:hRule="atLeast"/>
          <w:jc w:val="center"/>
        </w:trPr>
        <w:tc>
          <w:tcPr>
            <w:tcW w:w="13920" w:type="dxa"/>
            <w:gridSpan w:val="12"/>
            <w:tcBorders>
              <w:top w:val="nil"/>
              <w:left w:val="nil"/>
              <w:bottom w:val="nil"/>
              <w:right w:val="nil"/>
            </w:tcBorders>
            <w:shd w:val="clear" w:color="auto" w:fill="auto"/>
            <w:vAlign w:val="center"/>
          </w:tcPr>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注：本表反映部门本年度各项支出情况。</w:t>
            </w:r>
          </w:p>
          <w:p>
            <w:pPr>
              <w:widowControl/>
              <w:jc w:val="left"/>
              <w:rPr>
                <w:rFonts w:cs="宋体" w:asciiTheme="majorEastAsia" w:hAnsiTheme="majorEastAsia" w:eastAsiaTheme="majorEastAsia"/>
                <w:kern w:val="0"/>
                <w:szCs w:val="21"/>
              </w:rPr>
            </w:pPr>
          </w:p>
          <w:p>
            <w:pPr>
              <w:widowControl/>
              <w:jc w:val="left"/>
              <w:rPr>
                <w:rFonts w:cs="宋体" w:asciiTheme="majorEastAsia" w:hAnsiTheme="majorEastAsia" w:eastAsiaTheme="majorEastAsia"/>
                <w:kern w:val="0"/>
                <w:szCs w:val="21"/>
              </w:rPr>
            </w:pPr>
          </w:p>
          <w:p>
            <w:pPr>
              <w:widowControl/>
              <w:jc w:val="left"/>
              <w:rPr>
                <w:rFonts w:cs="宋体" w:asciiTheme="majorEastAsia" w:hAnsiTheme="majorEastAsia" w:eastAsiaTheme="majorEastAsia"/>
                <w:kern w:val="0"/>
                <w:szCs w:val="21"/>
              </w:rPr>
            </w:pPr>
          </w:p>
          <w:p>
            <w:pPr>
              <w:widowControl/>
              <w:jc w:val="left"/>
              <w:rPr>
                <w:rFonts w:cs="宋体" w:asciiTheme="majorEastAsia" w:hAnsiTheme="majorEastAsia" w:eastAsiaTheme="majorEastAsia"/>
                <w:kern w:val="0"/>
                <w:szCs w:val="21"/>
              </w:rPr>
            </w:pPr>
          </w:p>
          <w:p>
            <w:pPr>
              <w:widowControl/>
              <w:jc w:val="left"/>
              <w:rPr>
                <w:rFonts w:cs="宋体" w:asciiTheme="majorEastAsia" w:hAnsiTheme="majorEastAsia" w:eastAsiaTheme="majorEastAsia"/>
                <w:kern w:val="0"/>
                <w:szCs w:val="21"/>
              </w:rPr>
            </w:pPr>
          </w:p>
          <w:p>
            <w:pPr>
              <w:widowControl/>
              <w:jc w:val="left"/>
              <w:rPr>
                <w:rFonts w:cs="宋体" w:asciiTheme="majorEastAsia" w:hAnsiTheme="majorEastAsia" w:eastAsiaTheme="majorEastAsia"/>
                <w:kern w:val="0"/>
                <w:szCs w:val="21"/>
              </w:rPr>
            </w:pPr>
          </w:p>
          <w:p>
            <w:pPr>
              <w:widowControl/>
              <w:jc w:val="left"/>
              <w:rPr>
                <w:rFonts w:cs="宋体" w:asciiTheme="majorEastAsia" w:hAnsiTheme="majorEastAsia" w:eastAsiaTheme="majorEastAsia"/>
                <w:kern w:val="0"/>
                <w:szCs w:val="21"/>
              </w:rPr>
            </w:pPr>
          </w:p>
          <w:p>
            <w:pPr>
              <w:widowControl/>
              <w:jc w:val="left"/>
              <w:rPr>
                <w:rFonts w:cs="宋体" w:asciiTheme="majorEastAsia" w:hAnsiTheme="majorEastAsia" w:eastAsiaTheme="majorEastAsia"/>
                <w:kern w:val="0"/>
                <w:szCs w:val="21"/>
              </w:rPr>
            </w:pPr>
          </w:p>
          <w:p>
            <w:pPr>
              <w:widowControl/>
              <w:jc w:val="left"/>
              <w:rPr>
                <w:rFonts w:cs="宋体" w:asciiTheme="majorEastAsia" w:hAnsiTheme="majorEastAsia" w:eastAsiaTheme="majorEastAsia"/>
                <w:kern w:val="0"/>
                <w:szCs w:val="21"/>
              </w:rPr>
            </w:pPr>
          </w:p>
          <w:p>
            <w:pPr>
              <w:widowControl/>
              <w:jc w:val="left"/>
              <w:rPr>
                <w:rFonts w:cs="宋体" w:asciiTheme="majorEastAsia" w:hAnsiTheme="majorEastAsia" w:eastAsiaTheme="majorEastAsia"/>
                <w:kern w:val="0"/>
                <w:szCs w:val="21"/>
              </w:rPr>
            </w:pPr>
          </w:p>
          <w:p>
            <w:pPr>
              <w:widowControl/>
              <w:jc w:val="left"/>
              <w:rPr>
                <w:rFonts w:cs="宋体" w:asciiTheme="majorEastAsia" w:hAnsiTheme="majorEastAsia" w:eastAsiaTheme="majorEastAsia"/>
                <w:kern w:val="0"/>
                <w:szCs w:val="21"/>
              </w:rPr>
            </w:pPr>
          </w:p>
        </w:tc>
      </w:tr>
    </w:tbl>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10"/>
        <w:tblW w:w="15549" w:type="dxa"/>
        <w:jc w:val="center"/>
        <w:tblLayout w:type="autofit"/>
        <w:tblCellMar>
          <w:top w:w="0" w:type="dxa"/>
          <w:left w:w="108" w:type="dxa"/>
          <w:bottom w:w="0" w:type="dxa"/>
          <w:right w:w="108" w:type="dxa"/>
        </w:tblCellMar>
      </w:tblPr>
      <w:tblGrid>
        <w:gridCol w:w="3596"/>
        <w:gridCol w:w="438"/>
        <w:gridCol w:w="1103"/>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jc w:val="center"/>
        </w:trPr>
        <w:tc>
          <w:tcPr>
            <w:tcW w:w="15549" w:type="dxa"/>
            <w:gridSpan w:val="10"/>
            <w:tcBorders>
              <w:top w:val="nil"/>
              <w:left w:val="nil"/>
              <w:bottom w:val="nil"/>
              <w:right w:val="nil"/>
            </w:tcBorders>
            <w:shd w:val="clear" w:color="auto" w:fill="auto"/>
            <w:noWrap/>
            <w:vAlign w:val="center"/>
          </w:tcPr>
          <w:p>
            <w:pPr>
              <w:widowControl/>
              <w:jc w:val="center"/>
              <w:rPr>
                <w:rFonts w:cs="宋体" w:asciiTheme="majorEastAsia" w:hAnsiTheme="majorEastAsia" w:eastAsiaTheme="majorEastAsia"/>
                <w:color w:val="000000"/>
                <w:kern w:val="0"/>
                <w:sz w:val="32"/>
                <w:szCs w:val="32"/>
              </w:rPr>
            </w:pPr>
            <w:bookmarkStart w:id="0" w:name="RANGE!A1:I22"/>
            <w:bookmarkEnd w:id="0"/>
            <w:bookmarkStart w:id="1" w:name="RANGE!A1:F16"/>
          </w:p>
          <w:p>
            <w:pPr>
              <w:widowControl/>
              <w:jc w:val="center"/>
              <w:rPr>
                <w:rFonts w:cs="宋体" w:asciiTheme="majorEastAsia" w:hAnsiTheme="majorEastAsia" w:eastAsiaTheme="majorEastAsia"/>
                <w:color w:val="000000"/>
                <w:kern w:val="0"/>
                <w:sz w:val="32"/>
                <w:szCs w:val="32"/>
              </w:rPr>
            </w:pPr>
          </w:p>
          <w:p>
            <w:pPr>
              <w:widowControl/>
              <w:jc w:val="center"/>
              <w:rPr>
                <w:rFonts w:cs="宋体" w:asciiTheme="majorEastAsia" w:hAnsiTheme="majorEastAsia" w:eastAsiaTheme="majorEastAsia"/>
                <w:color w:val="000000"/>
                <w:kern w:val="0"/>
                <w:sz w:val="32"/>
                <w:szCs w:val="32"/>
              </w:rPr>
            </w:pPr>
            <w:r>
              <w:rPr>
                <w:rFonts w:hint="eastAsia" w:cs="宋体" w:asciiTheme="majorEastAsia" w:hAnsiTheme="majorEastAsia" w:eastAsiaTheme="majorEastAsia"/>
                <w:color w:val="000000"/>
                <w:kern w:val="0"/>
                <w:sz w:val="32"/>
                <w:szCs w:val="32"/>
              </w:rPr>
              <w:t>财政拨款收入支出决算总表</w:t>
            </w:r>
          </w:p>
        </w:tc>
      </w:tr>
      <w:tr>
        <w:trPr>
          <w:trHeight w:val="199" w:hRule="atLeast"/>
          <w:jc w:val="center"/>
        </w:trPr>
        <w:tc>
          <w:tcPr>
            <w:tcW w:w="3596"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438"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10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公开04表</w:t>
            </w:r>
          </w:p>
        </w:tc>
      </w:tr>
      <w:tr>
        <w:tblPrEx>
          <w:tblCellMar>
            <w:top w:w="0" w:type="dxa"/>
            <w:left w:w="108" w:type="dxa"/>
            <w:bottom w:w="0" w:type="dxa"/>
            <w:right w:w="108" w:type="dxa"/>
          </w:tblCellMar>
        </w:tblPrEx>
        <w:trPr>
          <w:trHeight w:val="300" w:hRule="atLeast"/>
          <w:jc w:val="center"/>
        </w:trPr>
        <w:tc>
          <w:tcPr>
            <w:tcW w:w="3596" w:type="dxa"/>
            <w:tcBorders>
              <w:top w:val="nil"/>
              <w:left w:val="nil"/>
              <w:bottom w:val="nil"/>
              <w:right w:val="nil"/>
            </w:tcBorders>
            <w:shd w:val="clear" w:color="000000" w:fill="FFFFFF"/>
            <w:noWrap/>
            <w:vAlign w:val="center"/>
          </w:tcPr>
          <w:p>
            <w:pPr>
              <w:widowControl/>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部门：</w:t>
            </w:r>
            <w:r>
              <w:rPr>
                <w:rFonts w:hint="eastAsia" w:asciiTheme="majorEastAsia" w:hAnsiTheme="majorEastAsia" w:eastAsiaTheme="majorEastAsia"/>
              </w:rPr>
              <w:t>湘潭县发展和改革局</w:t>
            </w:r>
          </w:p>
        </w:tc>
        <w:tc>
          <w:tcPr>
            <w:tcW w:w="438"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10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单位：万元</w:t>
            </w:r>
          </w:p>
        </w:tc>
      </w:tr>
      <w:tr>
        <w:trPr>
          <w:trHeight w:val="402" w:hRule="atLeast"/>
          <w:jc w:val="center"/>
        </w:trPr>
        <w:tc>
          <w:tcPr>
            <w:tcW w:w="513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支出</w:t>
            </w:r>
          </w:p>
        </w:tc>
      </w:tr>
      <w:tr>
        <w:tblPrEx>
          <w:tblCellMar>
            <w:top w:w="0" w:type="dxa"/>
            <w:left w:w="108" w:type="dxa"/>
            <w:bottom w:w="0" w:type="dxa"/>
            <w:right w:w="108" w:type="dxa"/>
          </w:tblCellMar>
        </w:tblPrEx>
        <w:trPr>
          <w:trHeight w:val="630"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项    目</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行次</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0"/>
                <w:szCs w:val="20"/>
              </w:rPr>
            </w:pPr>
            <w:r>
              <w:rPr>
                <w:rFonts w:hint="eastAsia" w:cs="宋体" w:asciiTheme="majorEastAsia" w:hAnsiTheme="majorEastAsia" w:eastAsiaTheme="majorEastAsia"/>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国有资本经营预算财政拨款</w:t>
            </w: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栏    次</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5</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一、一般公共预算财政拨款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w:t>
            </w:r>
          </w:p>
        </w:tc>
        <w:tc>
          <w:tcPr>
            <w:tcW w:w="1103"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color w:val="000000"/>
                <w:sz w:val="22"/>
              </w:rPr>
            </w:pPr>
            <w:r>
              <w:rPr>
                <w:rFonts w:hint="eastAsia" w:ascii="宋体" w:hAnsi="宋体" w:eastAsia="宋体" w:cs="宋体"/>
                <w:kern w:val="0"/>
                <w:sz w:val="22"/>
              </w:rPr>
              <w:t>3,906.95</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33</w:t>
            </w:r>
          </w:p>
        </w:tc>
        <w:tc>
          <w:tcPr>
            <w:tcW w:w="1573" w:type="dxa"/>
            <w:tcBorders>
              <w:top w:val="nil"/>
              <w:left w:val="nil"/>
              <w:bottom w:val="single" w:color="auto" w:sz="4" w:space="0"/>
              <w:right w:val="single" w:color="auto" w:sz="4" w:space="0"/>
            </w:tcBorders>
            <w:shd w:val="clear" w:color="auto" w:fill="auto"/>
            <w:noWrap/>
            <w:vAlign w:val="center"/>
          </w:tcPr>
          <w:p>
            <w:pPr>
              <w:widowControl/>
              <w:tabs>
                <w:tab w:val="left" w:pos="482"/>
                <w:tab w:val="right" w:pos="1477"/>
              </w:tabs>
              <w:jc w:val="right"/>
              <w:rPr>
                <w:rFonts w:cs="宋体" w:asciiTheme="majorEastAsia" w:hAnsiTheme="majorEastAsia" w:eastAsiaTheme="majorEastAsia"/>
                <w:color w:val="000000"/>
                <w:sz w:val="22"/>
              </w:rPr>
            </w:pPr>
            <w:r>
              <w:rPr>
                <w:rFonts w:hint="eastAsia" w:ascii="宋体" w:hAnsi="宋体" w:eastAsia="宋体" w:cs="宋体"/>
                <w:kern w:val="0"/>
                <w:sz w:val="22"/>
              </w:rPr>
              <w:t>1,533.02</w:t>
            </w:r>
          </w:p>
        </w:tc>
        <w:tc>
          <w:tcPr>
            <w:tcW w:w="1394" w:type="dxa"/>
            <w:tcBorders>
              <w:top w:val="nil"/>
              <w:left w:val="nil"/>
              <w:bottom w:val="single" w:color="auto" w:sz="4" w:space="0"/>
              <w:right w:val="single" w:color="auto" w:sz="4" w:space="0"/>
            </w:tcBorders>
            <w:shd w:val="clear" w:color="auto" w:fill="auto"/>
            <w:noWrap/>
            <w:vAlign w:val="center"/>
          </w:tcPr>
          <w:p>
            <w:pPr>
              <w:widowControl/>
              <w:tabs>
                <w:tab w:val="left" w:pos="482"/>
                <w:tab w:val="right" w:pos="1477"/>
              </w:tabs>
              <w:jc w:val="right"/>
              <w:rPr>
                <w:rFonts w:cs="宋体" w:asciiTheme="majorEastAsia" w:hAnsiTheme="majorEastAsia" w:eastAsiaTheme="majorEastAsia"/>
                <w:color w:val="000000"/>
                <w:sz w:val="22"/>
              </w:rPr>
            </w:pPr>
            <w:r>
              <w:rPr>
                <w:rFonts w:hint="eastAsia" w:ascii="宋体" w:hAnsi="宋体" w:eastAsia="宋体" w:cs="宋体"/>
                <w:kern w:val="0"/>
                <w:sz w:val="22"/>
              </w:rPr>
              <w:t>1,533.02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二、政府性基金预算财政拨款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w:t>
            </w:r>
          </w:p>
        </w:tc>
        <w:tc>
          <w:tcPr>
            <w:tcW w:w="1103"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color w:val="00000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34</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三、国有资本经营预算财政拨款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3</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35</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4</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36</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5</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37</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6</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38</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7</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39</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　</w:t>
            </w: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8</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124.44</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124.44</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9</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41</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30.4</w:t>
            </w:r>
            <w:r>
              <w:rPr>
                <w:rFonts w:ascii="宋体" w:hAnsi="宋体" w:eastAsia="宋体" w:cs="宋体"/>
                <w:kern w:val="0"/>
                <w:sz w:val="22"/>
              </w:rPr>
              <w:t>6</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30.4</w:t>
            </w:r>
            <w:r>
              <w:rPr>
                <w:rFonts w:ascii="宋体" w:hAnsi="宋体" w:eastAsia="宋体" w:cs="宋体"/>
                <w:kern w:val="0"/>
                <w:sz w:val="22"/>
              </w:rPr>
              <w:t>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10</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42</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11</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43</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12</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sz w:val="22"/>
              </w:rPr>
            </w:pPr>
            <w:r>
              <w:rPr>
                <w:rFonts w:hint="eastAsia" w:cs="宋体" w:asciiTheme="majorEastAsia" w:hAnsiTheme="majorEastAsia" w:eastAsiaTheme="majorEastAsia"/>
                <w:color w:val="000000"/>
                <w:kern w:val="0"/>
                <w:sz w:val="22"/>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color w:val="000000"/>
                <w:kern w:val="0"/>
                <w:sz w:val="22"/>
              </w:rPr>
            </w:pPr>
            <w:r>
              <w:rPr>
                <w:rFonts w:hint="eastAsia" w:cs="宋体" w:asciiTheme="majorEastAsia" w:hAnsiTheme="majorEastAsia" w:eastAsiaTheme="majorEastAsia"/>
                <w:color w:val="000000"/>
                <w:kern w:val="0"/>
                <w:sz w:val="22"/>
              </w:rPr>
              <w:t>44</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13</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45</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14</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十四、资源勘探工业信息等支出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46</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232.86</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232.86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15</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十五、商业服务业等支出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47</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70.00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70.00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16</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4"/>
                <w:szCs w:val="24"/>
              </w:rPr>
            </w:pPr>
            <w:r>
              <w:rPr>
                <w:rFonts w:hint="eastAsia" w:cs="宋体" w:asciiTheme="majorEastAsia" w:hAnsiTheme="majorEastAsia" w:eastAsiaTheme="majorEastAsia"/>
                <w:color w:val="000000"/>
                <w:kern w:val="0"/>
                <w:sz w:val="22"/>
              </w:rPr>
              <w:t>十六、金融支出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48</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17</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十七、援助其他地区支出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49</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bCs/>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18</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十八、自然资源海洋气象等支出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50</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19</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51</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r>
              <w:rPr>
                <w:rFonts w:hint="eastAsia" w:ascii="宋体" w:hAnsi="宋体" w:eastAsia="宋体" w:cs="宋体"/>
                <w:kern w:val="0"/>
                <w:sz w:val="22"/>
              </w:rPr>
              <w:t>45.24</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r>
              <w:rPr>
                <w:rFonts w:hint="eastAsia" w:ascii="宋体" w:hAnsi="宋体" w:eastAsia="宋体" w:cs="宋体"/>
                <w:kern w:val="0"/>
                <w:sz w:val="22"/>
              </w:rPr>
              <w:t>45.24</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20</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二十、粮油物资储备支出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52</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r>
              <w:rPr>
                <w:rFonts w:hint="eastAsia" w:ascii="宋体" w:hAnsi="宋体" w:eastAsia="宋体" w:cs="宋体"/>
                <w:kern w:val="0"/>
                <w:sz w:val="22"/>
              </w:rPr>
              <w:t>1,820.93</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cs="宋体" w:asciiTheme="majorEastAsia" w:hAnsiTheme="majorEastAsia" w:eastAsiaTheme="majorEastAsia"/>
                <w:color w:val="000000"/>
                <w:sz w:val="22"/>
              </w:rPr>
            </w:pPr>
            <w:r>
              <w:rPr>
                <w:rFonts w:hint="eastAsia" w:ascii="宋体" w:hAnsi="宋体" w:eastAsia="宋体" w:cs="宋体"/>
                <w:kern w:val="0"/>
                <w:sz w:val="22"/>
              </w:rPr>
              <w:t>1,820.93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21</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二十一、国有资本经营预算支出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53</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22</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二十二、灾害防治及应急管理支出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54</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50.00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50.00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23</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rPr>
            </w:pPr>
            <w:r>
              <w:rPr>
                <w:rFonts w:hint="eastAsia" w:cs="宋体" w:asciiTheme="majorEastAsia" w:hAnsiTheme="majorEastAsia" w:eastAsiaTheme="majorEastAsia"/>
                <w:color w:val="000000"/>
                <w:kern w:val="0"/>
                <w:sz w:val="22"/>
              </w:rPr>
              <w:t>二十三、其他支出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55</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24</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rPr>
            </w:pPr>
            <w:r>
              <w:rPr>
                <w:rFonts w:hint="eastAsia" w:cs="宋体" w:asciiTheme="majorEastAsia" w:hAnsiTheme="majorEastAsia" w:eastAsiaTheme="majorEastAsia"/>
                <w:color w:val="000000"/>
                <w:kern w:val="0"/>
                <w:sz w:val="22"/>
              </w:rPr>
              <w:t>二十四、债务还本支出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56</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25</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rPr>
            </w:pPr>
            <w:r>
              <w:rPr>
                <w:rFonts w:hint="eastAsia" w:cs="宋体" w:asciiTheme="majorEastAsia" w:hAnsiTheme="majorEastAsia" w:eastAsiaTheme="majorEastAsia"/>
                <w:color w:val="000000"/>
                <w:kern w:val="0"/>
                <w:sz w:val="22"/>
              </w:rPr>
              <w:t>二十五、债务付息支出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57</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r>
              <w:rPr>
                <w:rFonts w:hint="eastAsia" w:cs="宋体" w:asciiTheme="majorEastAsia" w:hAnsiTheme="majorEastAsia" w:eastAsiaTheme="majorEastAsia"/>
                <w:kern w:val="0"/>
                <w:sz w:val="22"/>
              </w:rPr>
              <w:t>26</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cs="宋体" w:asciiTheme="majorEastAsia" w:hAnsiTheme="majorEastAsia" w:eastAsiaTheme="majorEastAsia"/>
                <w:color w:val="000000"/>
                <w:kern w:val="0"/>
                <w:sz w:val="22"/>
              </w:rPr>
            </w:pPr>
            <w:r>
              <w:rPr>
                <w:rFonts w:hint="eastAsia" w:cs="宋体" w:asciiTheme="majorEastAsia" w:hAnsiTheme="majorEastAsia" w:eastAsiaTheme="majorEastAsia"/>
                <w:color w:val="000000"/>
                <w:kern w:val="0"/>
                <w:sz w:val="22"/>
              </w:rPr>
              <w:t>二十六、抗疫特别国债安排的支出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kern w:val="0"/>
                <w:sz w:val="22"/>
              </w:rPr>
            </w:pPr>
            <w:r>
              <w:rPr>
                <w:rFonts w:hint="eastAsia" w:cs="宋体" w:asciiTheme="majorEastAsia" w:hAnsiTheme="majorEastAsia" w:eastAsiaTheme="majorEastAsia"/>
                <w:color w:val="000000"/>
                <w:kern w:val="0"/>
                <w:sz w:val="22"/>
              </w:rPr>
              <w:t>58</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kern w:val="0"/>
                <w:sz w:val="22"/>
              </w:rPr>
            </w:pPr>
            <w:r>
              <w:rPr>
                <w:rFonts w:hint="eastAsia" w:cs="宋体" w:asciiTheme="majorEastAsia" w:hAnsiTheme="majorEastAsia" w:eastAsiaTheme="majorEastAsia"/>
                <w:b/>
                <w:kern w:val="0"/>
                <w:sz w:val="22"/>
              </w:rPr>
              <w:t>本年收入合计</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b/>
                <w:kern w:val="0"/>
                <w:sz w:val="22"/>
              </w:rPr>
            </w:pPr>
            <w:r>
              <w:rPr>
                <w:rFonts w:hint="eastAsia" w:cs="宋体" w:asciiTheme="majorEastAsia" w:hAnsiTheme="majorEastAsia" w:eastAsiaTheme="majorEastAsia"/>
                <w:b/>
                <w:color w:val="000000"/>
                <w:kern w:val="0"/>
                <w:sz w:val="22"/>
              </w:rPr>
              <w:t>27</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b/>
                <w:color w:val="000000"/>
                <w:sz w:val="22"/>
              </w:rPr>
            </w:pPr>
            <w:r>
              <w:rPr>
                <w:rFonts w:hint="eastAsia" w:ascii="宋体" w:hAnsi="宋体" w:eastAsia="宋体" w:cs="宋体"/>
                <w:b/>
                <w:kern w:val="0"/>
                <w:sz w:val="22"/>
              </w:rPr>
              <w:t>3,906.95</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kern w:val="0"/>
                <w:sz w:val="22"/>
              </w:rPr>
            </w:pPr>
            <w:r>
              <w:rPr>
                <w:rFonts w:hint="eastAsia" w:cs="宋体" w:asciiTheme="majorEastAsia" w:hAnsiTheme="majorEastAsia" w:eastAsiaTheme="majorEastAsia"/>
                <w:b/>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b/>
                <w:kern w:val="0"/>
                <w:sz w:val="22"/>
              </w:rPr>
            </w:pPr>
            <w:r>
              <w:rPr>
                <w:rFonts w:hint="eastAsia" w:cs="宋体" w:asciiTheme="majorEastAsia" w:hAnsiTheme="majorEastAsia" w:eastAsiaTheme="majorEastAsia"/>
                <w:b/>
                <w:color w:val="000000"/>
                <w:kern w:val="0"/>
                <w:sz w:val="22"/>
              </w:rPr>
              <w:t>59</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color w:val="000000"/>
                <w:sz w:val="22"/>
              </w:rPr>
            </w:pPr>
            <w:r>
              <w:rPr>
                <w:rFonts w:hint="eastAsia" w:ascii="宋体" w:hAnsi="宋体" w:eastAsia="宋体" w:cs="宋体"/>
                <w:b/>
                <w:kern w:val="0"/>
                <w:sz w:val="22"/>
              </w:rPr>
              <w:t>3,906.95</w:t>
            </w:r>
          </w:p>
        </w:tc>
        <w:tc>
          <w:tcPr>
            <w:tcW w:w="1394"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color w:val="000000"/>
                <w:sz w:val="22"/>
              </w:rPr>
            </w:pPr>
            <w:r>
              <w:rPr>
                <w:rFonts w:hint="eastAsia" w:ascii="宋体" w:hAnsi="宋体" w:eastAsia="宋体" w:cs="宋体"/>
                <w:b/>
                <w:kern w:val="0"/>
                <w:sz w:val="22"/>
              </w:rPr>
              <w:t>3,906.95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cs="宋体" w:asciiTheme="majorEastAsia" w:hAnsiTheme="majorEastAsia" w:eastAsiaTheme="majorEastAsia"/>
                <w:b/>
                <w:bCs/>
                <w:kern w:val="0"/>
                <w:sz w:val="22"/>
              </w:rPr>
            </w:pPr>
            <w:r>
              <w:rPr>
                <w:rFonts w:hint="eastAsia" w:cs="宋体" w:asciiTheme="majorEastAsia" w:hAnsiTheme="majorEastAsia" w:eastAsiaTheme="majorEastAsia"/>
                <w:kern w:val="0"/>
                <w:sz w:val="22"/>
              </w:rPr>
              <w:t>年初财政拨款结转和结余</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28</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b/>
                <w:bCs/>
                <w:color w:val="000000"/>
                <w:kern w:val="0"/>
                <w:sz w:val="22"/>
              </w:rPr>
            </w:pPr>
          </w:p>
        </w:tc>
        <w:tc>
          <w:tcPr>
            <w:tcW w:w="341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年末财政拨款结转和结余</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60</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 xml:space="preserve">   一般公共预算财政拨款</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29</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b/>
                <w:bCs/>
                <w:color w:val="000000"/>
                <w:kern w:val="0"/>
                <w:sz w:val="22"/>
              </w:rPr>
            </w:pPr>
          </w:p>
        </w:tc>
        <w:tc>
          <w:tcPr>
            <w:tcW w:w="3411" w:type="dxa"/>
            <w:tcBorders>
              <w:top w:val="nil"/>
              <w:left w:val="nil"/>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rPr>
            </w:pP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61</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 xml:space="preserve">   政府性基金预算财政拨款</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30</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bCs/>
                <w:color w:val="000000"/>
                <w:kern w:val="0"/>
                <w:sz w:val="22"/>
              </w:rPr>
            </w:pPr>
          </w:p>
        </w:tc>
        <w:tc>
          <w:tcPr>
            <w:tcW w:w="3411" w:type="dxa"/>
            <w:tcBorders>
              <w:top w:val="nil"/>
              <w:left w:val="nil"/>
              <w:bottom w:val="single" w:color="auto" w:sz="4" w:space="0"/>
              <w:right w:val="single" w:color="auto" w:sz="4" w:space="0"/>
            </w:tcBorders>
            <w:shd w:val="clear" w:color="000000" w:fill="FFFFFF"/>
            <w:noWrap/>
            <w:vAlign w:val="center"/>
          </w:tcPr>
          <w:p>
            <w:pPr>
              <w:jc w:val="left"/>
              <w:rPr>
                <w:rFonts w:cs="宋体" w:asciiTheme="majorEastAsia" w:hAnsiTheme="majorEastAsia" w:eastAsiaTheme="majorEastAsia"/>
                <w:b/>
                <w:bCs/>
                <w:kern w:val="0"/>
                <w:sz w:val="22"/>
              </w:rPr>
            </w:pP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62</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r>
      <w:tr>
        <w:tblPrEx>
          <w:tblCellMar>
            <w:top w:w="0" w:type="dxa"/>
            <w:left w:w="108" w:type="dxa"/>
            <w:bottom w:w="0" w:type="dxa"/>
            <w:right w:w="108" w:type="dxa"/>
          </w:tblCellMar>
        </w:tblPrEx>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 xml:space="preserve">   国有资本经营预算财政拨款</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31</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bCs/>
                <w:color w:val="000000"/>
                <w:kern w:val="0"/>
                <w:sz w:val="22"/>
              </w:rPr>
            </w:pPr>
          </w:p>
        </w:tc>
        <w:tc>
          <w:tcPr>
            <w:tcW w:w="3411" w:type="dxa"/>
            <w:tcBorders>
              <w:top w:val="nil"/>
              <w:left w:val="nil"/>
              <w:bottom w:val="single" w:color="auto" w:sz="4" w:space="0"/>
              <w:right w:val="single" w:color="auto" w:sz="4" w:space="0"/>
            </w:tcBorders>
            <w:shd w:val="clear" w:color="000000" w:fill="FFFFFF"/>
            <w:noWrap/>
            <w:vAlign w:val="center"/>
          </w:tcPr>
          <w:p>
            <w:pPr>
              <w:jc w:val="left"/>
              <w:rPr>
                <w:rFonts w:cs="宋体" w:asciiTheme="majorEastAsia" w:hAnsiTheme="majorEastAsia" w:eastAsiaTheme="majorEastAsia"/>
                <w:b/>
                <w:bCs/>
                <w:kern w:val="0"/>
                <w:sz w:val="22"/>
              </w:rPr>
            </w:pP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color w:val="000000"/>
                <w:kern w:val="0"/>
                <w:sz w:val="22"/>
              </w:rPr>
              <w:t>63</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cs="宋体" w:asciiTheme="majorEastAsia" w:hAnsiTheme="majorEastAsia" w:eastAsiaTheme="majorEastAsia"/>
                <w:b/>
                <w:bCs/>
                <w:color w:val="000000"/>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r>
      <w:tr>
        <w:trPr>
          <w:trHeight w:val="402" w:hRule="atLeast"/>
          <w:jc w:val="center"/>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color w:val="000000"/>
                <w:sz w:val="22"/>
              </w:rPr>
            </w:pPr>
            <w:r>
              <w:rPr>
                <w:rFonts w:hint="eastAsia" w:cs="宋体" w:asciiTheme="majorEastAsia" w:hAnsiTheme="majorEastAsia" w:eastAsiaTheme="majorEastAsia"/>
                <w:b/>
                <w:bCs/>
                <w:color w:val="000000"/>
                <w:kern w:val="0"/>
                <w:sz w:val="22"/>
              </w:rPr>
              <w:t>总计</w:t>
            </w:r>
          </w:p>
        </w:tc>
        <w:tc>
          <w:tcPr>
            <w:tcW w:w="438"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b/>
                <w:bCs/>
                <w:color w:val="000000"/>
                <w:kern w:val="0"/>
                <w:sz w:val="22"/>
              </w:rPr>
              <w:t>32</w:t>
            </w:r>
          </w:p>
        </w:tc>
        <w:tc>
          <w:tcPr>
            <w:tcW w:w="1103"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cs="宋体" w:asciiTheme="majorEastAsia" w:hAnsiTheme="majorEastAsia" w:eastAsiaTheme="majorEastAsia"/>
                <w:b/>
                <w:bCs/>
                <w:color w:val="000000"/>
                <w:sz w:val="22"/>
              </w:rPr>
            </w:pPr>
            <w:r>
              <w:rPr>
                <w:rFonts w:hint="eastAsia" w:ascii="宋体" w:hAnsi="宋体" w:eastAsia="宋体" w:cs="宋体"/>
                <w:b/>
                <w:bCs/>
                <w:kern w:val="0"/>
                <w:sz w:val="22"/>
              </w:rPr>
              <w:t>3,906.95</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b/>
                <w:bCs/>
                <w:color w:val="000000"/>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cs="宋体" w:asciiTheme="majorEastAsia" w:hAnsiTheme="majorEastAsia" w:eastAsiaTheme="majorEastAsia"/>
                <w:b/>
                <w:bCs/>
                <w:kern w:val="0"/>
                <w:sz w:val="22"/>
              </w:rPr>
            </w:pPr>
            <w:r>
              <w:rPr>
                <w:rFonts w:hint="eastAsia" w:cs="宋体" w:asciiTheme="majorEastAsia" w:hAnsiTheme="majorEastAsia" w:eastAsiaTheme="majorEastAsia"/>
                <w:b/>
                <w:bCs/>
                <w:color w:val="000000"/>
                <w:kern w:val="0"/>
                <w:sz w:val="22"/>
              </w:rPr>
              <w:t>64</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bCs/>
                <w:color w:val="000000"/>
                <w:sz w:val="22"/>
              </w:rPr>
            </w:pPr>
            <w:r>
              <w:rPr>
                <w:rFonts w:hint="eastAsia" w:ascii="宋体" w:hAnsi="宋体" w:eastAsia="宋体" w:cs="宋体"/>
                <w:b/>
                <w:bCs/>
                <w:kern w:val="0"/>
                <w:sz w:val="22"/>
              </w:rPr>
              <w:t>3,906.95</w:t>
            </w:r>
          </w:p>
        </w:tc>
        <w:tc>
          <w:tcPr>
            <w:tcW w:w="1394" w:type="dxa"/>
            <w:tcBorders>
              <w:top w:val="nil"/>
              <w:left w:val="nil"/>
              <w:bottom w:val="single" w:color="auto" w:sz="4" w:space="0"/>
              <w:right w:val="single" w:color="auto" w:sz="4" w:space="0"/>
            </w:tcBorders>
            <w:shd w:val="clear" w:color="000000" w:fill="FFFFFF"/>
            <w:noWrap/>
            <w:vAlign w:val="center"/>
          </w:tcPr>
          <w:p>
            <w:pPr>
              <w:jc w:val="right"/>
              <w:rPr>
                <w:rFonts w:cs="宋体" w:asciiTheme="majorEastAsia" w:hAnsiTheme="majorEastAsia" w:eastAsiaTheme="majorEastAsia"/>
                <w:b/>
                <w:bCs/>
                <w:color w:val="000000"/>
                <w:sz w:val="22"/>
              </w:rPr>
            </w:pPr>
            <w:r>
              <w:rPr>
                <w:rFonts w:hint="eastAsia" w:ascii="宋体" w:hAnsi="宋体" w:eastAsia="宋体" w:cs="宋体"/>
                <w:b/>
                <w:bCs/>
                <w:kern w:val="0"/>
                <w:sz w:val="22"/>
              </w:rPr>
              <w:t>3,906.95</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bCs/>
                <w:kern w:val="0"/>
                <w:sz w:val="22"/>
              </w:rPr>
            </w:pPr>
          </w:p>
        </w:tc>
      </w:tr>
      <w:tr>
        <w:tblPrEx>
          <w:tblCellMar>
            <w:top w:w="0" w:type="dxa"/>
            <w:left w:w="108" w:type="dxa"/>
            <w:bottom w:w="0" w:type="dxa"/>
            <w:right w:w="108" w:type="dxa"/>
          </w:tblCellMar>
        </w:tblPrEx>
        <w:trPr>
          <w:trHeight w:val="585" w:hRule="atLeast"/>
          <w:jc w:val="center"/>
        </w:trPr>
        <w:tc>
          <w:tcPr>
            <w:tcW w:w="15549" w:type="dxa"/>
            <w:gridSpan w:val="10"/>
            <w:tcBorders>
              <w:top w:val="nil"/>
              <w:left w:val="nil"/>
              <w:bottom w:val="nil"/>
              <w:right w:val="nil"/>
            </w:tcBorders>
            <w:shd w:val="clear" w:color="auto" w:fill="auto"/>
            <w:vAlign w:val="center"/>
          </w:tcPr>
          <w:p>
            <w:pPr>
              <w:widowControl/>
              <w:jc w:val="lef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outlineLvl w:val="0"/>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Lines="50"/>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部门：  湘潭县发展和改革局                                                                                                 公开05表</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Cs w:val="21"/>
        </w:rPr>
        <w:t xml:space="preserve">                                                                                                                                单位：万元</w:t>
      </w:r>
    </w:p>
    <w:tbl>
      <w:tblPr>
        <w:tblStyle w:val="10"/>
        <w:tblW w:w="15709" w:type="dxa"/>
        <w:jc w:val="center"/>
        <w:tblLayout w:type="autofit"/>
        <w:tblCellMar>
          <w:top w:w="0" w:type="dxa"/>
          <w:left w:w="108" w:type="dxa"/>
          <w:bottom w:w="0" w:type="dxa"/>
          <w:right w:w="108" w:type="dxa"/>
        </w:tblCellMar>
      </w:tblPr>
      <w:tblGrid>
        <w:gridCol w:w="918"/>
        <w:gridCol w:w="114"/>
        <w:gridCol w:w="1081"/>
        <w:gridCol w:w="2390"/>
        <w:gridCol w:w="992"/>
        <w:gridCol w:w="131"/>
        <w:gridCol w:w="1003"/>
        <w:gridCol w:w="1985"/>
        <w:gridCol w:w="425"/>
        <w:gridCol w:w="992"/>
        <w:gridCol w:w="1134"/>
        <w:gridCol w:w="629"/>
        <w:gridCol w:w="2902"/>
        <w:gridCol w:w="161"/>
        <w:gridCol w:w="852"/>
      </w:tblGrid>
      <w:tr>
        <w:tblPrEx>
          <w:tblCellMar>
            <w:top w:w="0" w:type="dxa"/>
            <w:left w:w="108" w:type="dxa"/>
            <w:bottom w:w="0" w:type="dxa"/>
            <w:right w:w="108" w:type="dxa"/>
          </w:tblCellMar>
        </w:tblPrEx>
        <w:trPr>
          <w:gridBefore w:val="1"/>
          <w:gridAfter w:val="2"/>
          <w:wBefore w:w="918" w:type="dxa"/>
          <w:wAfter w:w="1013" w:type="dxa"/>
          <w:trHeight w:val="367" w:hRule="atLeast"/>
          <w:jc w:val="center"/>
        </w:trPr>
        <w:tc>
          <w:tcPr>
            <w:tcW w:w="4708" w:type="dxa"/>
            <w:gridSpan w:val="5"/>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项 目</w:t>
            </w:r>
          </w:p>
        </w:tc>
        <w:tc>
          <w:tcPr>
            <w:tcW w:w="9070" w:type="dxa"/>
            <w:gridSpan w:val="7"/>
            <w:tcBorders>
              <w:top w:val="single" w:color="auto" w:sz="8" w:space="0"/>
              <w:left w:val="nil"/>
              <w:bottom w:val="single" w:color="auto" w:sz="4" w:space="0"/>
              <w:right w:val="single" w:color="000000" w:sz="8" w:space="0"/>
            </w:tcBorders>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本年支出</w:t>
            </w:r>
          </w:p>
        </w:tc>
      </w:tr>
      <w:tr>
        <w:tblPrEx>
          <w:tblCellMar>
            <w:top w:w="0" w:type="dxa"/>
            <w:left w:w="108" w:type="dxa"/>
            <w:bottom w:w="0" w:type="dxa"/>
            <w:right w:w="108" w:type="dxa"/>
          </w:tblCellMar>
        </w:tblPrEx>
        <w:trPr>
          <w:gridBefore w:val="1"/>
          <w:gridAfter w:val="2"/>
          <w:wBefore w:w="918" w:type="dxa"/>
          <w:wAfter w:w="1013" w:type="dxa"/>
          <w:trHeight w:val="436" w:hRule="atLeast"/>
          <w:jc w:val="center"/>
        </w:trPr>
        <w:tc>
          <w:tcPr>
            <w:tcW w:w="1195" w:type="dxa"/>
            <w:gridSpan w:val="2"/>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功能分类科目编码</w:t>
            </w:r>
          </w:p>
        </w:tc>
        <w:tc>
          <w:tcPr>
            <w:tcW w:w="3513" w:type="dxa"/>
            <w:gridSpan w:val="3"/>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科目名称</w:t>
            </w:r>
          </w:p>
        </w:tc>
        <w:tc>
          <w:tcPr>
            <w:tcW w:w="2988"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小计</w:t>
            </w:r>
          </w:p>
        </w:tc>
        <w:tc>
          <w:tcPr>
            <w:tcW w:w="3180" w:type="dxa"/>
            <w:gridSpan w:val="4"/>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基本支出</w:t>
            </w:r>
          </w:p>
        </w:tc>
        <w:tc>
          <w:tcPr>
            <w:tcW w:w="2902"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项目支出</w:t>
            </w:r>
          </w:p>
        </w:tc>
      </w:tr>
      <w:tr>
        <w:tblPrEx>
          <w:tblCellMar>
            <w:top w:w="0" w:type="dxa"/>
            <w:left w:w="108" w:type="dxa"/>
            <w:bottom w:w="0" w:type="dxa"/>
            <w:right w:w="108" w:type="dxa"/>
          </w:tblCellMar>
        </w:tblPrEx>
        <w:trPr>
          <w:gridBefore w:val="1"/>
          <w:gridAfter w:val="2"/>
          <w:wBefore w:w="918" w:type="dxa"/>
          <w:wAfter w:w="1013" w:type="dxa"/>
          <w:trHeight w:val="319" w:hRule="atLeast"/>
          <w:jc w:val="center"/>
        </w:trPr>
        <w:tc>
          <w:tcPr>
            <w:tcW w:w="1195"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3513"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2988"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Cs w:val="21"/>
              </w:rPr>
            </w:pPr>
          </w:p>
        </w:tc>
        <w:tc>
          <w:tcPr>
            <w:tcW w:w="3180" w:type="dxa"/>
            <w:gridSpan w:val="4"/>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Cs w:val="21"/>
              </w:rPr>
            </w:pPr>
          </w:p>
        </w:tc>
        <w:tc>
          <w:tcPr>
            <w:tcW w:w="2902" w:type="dxa"/>
            <w:vMerge w:val="continue"/>
            <w:tcBorders>
              <w:top w:val="nil"/>
              <w:left w:val="single" w:color="auto" w:sz="4" w:space="0"/>
              <w:bottom w:val="single" w:color="000000" w:sz="4" w:space="0"/>
              <w:right w:val="single" w:color="auto" w:sz="8" w:space="0"/>
            </w:tcBorders>
            <w:vAlign w:val="center"/>
          </w:tcPr>
          <w:p>
            <w:pPr>
              <w:widowControl/>
              <w:jc w:val="left"/>
              <w:rPr>
                <w:rFonts w:cs="宋体" w:asciiTheme="minorEastAsia" w:hAnsiTheme="minorEastAsia"/>
                <w:kern w:val="0"/>
                <w:szCs w:val="21"/>
              </w:rPr>
            </w:pPr>
          </w:p>
        </w:tc>
      </w:tr>
      <w:tr>
        <w:tblPrEx>
          <w:tblCellMar>
            <w:top w:w="0" w:type="dxa"/>
            <w:left w:w="108" w:type="dxa"/>
            <w:bottom w:w="0" w:type="dxa"/>
            <w:right w:w="108" w:type="dxa"/>
          </w:tblCellMar>
        </w:tblPrEx>
        <w:trPr>
          <w:gridBefore w:val="1"/>
          <w:gridAfter w:val="2"/>
          <w:wBefore w:w="918" w:type="dxa"/>
          <w:wAfter w:w="1013" w:type="dxa"/>
          <w:trHeight w:val="312" w:hRule="atLeast"/>
          <w:jc w:val="center"/>
        </w:trPr>
        <w:tc>
          <w:tcPr>
            <w:tcW w:w="1195"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3513"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2988"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Cs w:val="21"/>
              </w:rPr>
            </w:pPr>
          </w:p>
        </w:tc>
        <w:tc>
          <w:tcPr>
            <w:tcW w:w="3180" w:type="dxa"/>
            <w:gridSpan w:val="4"/>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Cs w:val="21"/>
              </w:rPr>
            </w:pPr>
          </w:p>
        </w:tc>
        <w:tc>
          <w:tcPr>
            <w:tcW w:w="2902" w:type="dxa"/>
            <w:vMerge w:val="continue"/>
            <w:tcBorders>
              <w:top w:val="nil"/>
              <w:left w:val="single" w:color="auto" w:sz="4" w:space="0"/>
              <w:bottom w:val="single" w:color="000000" w:sz="4" w:space="0"/>
              <w:right w:val="single" w:color="auto" w:sz="8" w:space="0"/>
            </w:tcBorders>
            <w:vAlign w:val="center"/>
          </w:tcPr>
          <w:p>
            <w:pPr>
              <w:widowControl/>
              <w:jc w:val="left"/>
              <w:rPr>
                <w:rFonts w:cs="宋体" w:asciiTheme="minorEastAsia" w:hAnsiTheme="minorEastAsia"/>
                <w:kern w:val="0"/>
                <w:szCs w:val="21"/>
              </w:rPr>
            </w:pP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4708" w:type="dxa"/>
            <w:gridSpan w:val="5"/>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栏次</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2</w:t>
            </w:r>
          </w:p>
        </w:tc>
        <w:tc>
          <w:tcPr>
            <w:tcW w:w="2902" w:type="dxa"/>
            <w:tcBorders>
              <w:top w:val="nil"/>
              <w:left w:val="nil"/>
              <w:bottom w:val="single" w:color="auto" w:sz="4" w:space="0"/>
              <w:right w:val="single" w:color="auto" w:sz="8"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3</w:t>
            </w:r>
          </w:p>
        </w:tc>
      </w:tr>
      <w:tr>
        <w:tblPrEx>
          <w:tblCellMar>
            <w:top w:w="0" w:type="dxa"/>
            <w:left w:w="108" w:type="dxa"/>
            <w:bottom w:w="0" w:type="dxa"/>
            <w:right w:w="108" w:type="dxa"/>
          </w:tblCellMar>
        </w:tblPrEx>
        <w:trPr>
          <w:gridBefore w:val="1"/>
          <w:gridAfter w:val="2"/>
          <w:wBefore w:w="918" w:type="dxa"/>
          <w:wAfter w:w="1013" w:type="dxa"/>
          <w:trHeight w:val="350" w:hRule="atLeast"/>
          <w:jc w:val="center"/>
        </w:trPr>
        <w:tc>
          <w:tcPr>
            <w:tcW w:w="4708" w:type="dxa"/>
            <w:gridSpan w:val="5"/>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合计</w:t>
            </w:r>
          </w:p>
        </w:tc>
        <w:tc>
          <w:tcPr>
            <w:tcW w:w="2988" w:type="dxa"/>
            <w:gridSpan w:val="2"/>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b/>
                <w:bCs/>
                <w:color w:val="000000"/>
                <w:szCs w:val="21"/>
              </w:rPr>
            </w:pPr>
            <w:r>
              <w:rPr>
                <w:rFonts w:hint="eastAsia" w:cs="宋体" w:asciiTheme="minorEastAsia" w:hAnsiTheme="minorEastAsia"/>
                <w:b/>
                <w:bCs/>
                <w:color w:val="000000"/>
                <w:szCs w:val="21"/>
              </w:rPr>
              <w:t>3,906.95</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cs="宋体" w:asciiTheme="minorEastAsia" w:hAnsiTheme="minorEastAsia"/>
                <w:b/>
                <w:bCs/>
                <w:color w:val="000000"/>
                <w:szCs w:val="21"/>
              </w:rPr>
            </w:pPr>
            <w:r>
              <w:rPr>
                <w:rFonts w:hint="eastAsia" w:cs="宋体" w:asciiTheme="minorEastAsia" w:hAnsiTheme="minorEastAsia"/>
                <w:b/>
                <w:bCs/>
                <w:color w:val="000000"/>
                <w:szCs w:val="21"/>
              </w:rPr>
              <w:t>890.91</w:t>
            </w:r>
          </w:p>
        </w:tc>
        <w:tc>
          <w:tcPr>
            <w:tcW w:w="2902" w:type="dxa"/>
            <w:tcBorders>
              <w:top w:val="nil"/>
              <w:left w:val="nil"/>
              <w:bottom w:val="single" w:color="auto" w:sz="4" w:space="0"/>
              <w:right w:val="single" w:color="auto" w:sz="8" w:space="0"/>
            </w:tcBorders>
            <w:shd w:val="clear" w:color="auto" w:fill="auto"/>
            <w:vAlign w:val="center"/>
          </w:tcPr>
          <w:p>
            <w:pPr>
              <w:jc w:val="right"/>
              <w:rPr>
                <w:rFonts w:cs="宋体" w:asciiTheme="minorEastAsia" w:hAnsiTheme="minorEastAsia"/>
                <w:b/>
                <w:bCs/>
                <w:color w:val="000000"/>
                <w:szCs w:val="21"/>
              </w:rPr>
            </w:pPr>
            <w:r>
              <w:rPr>
                <w:rFonts w:hint="eastAsia" w:cs="宋体" w:asciiTheme="minorEastAsia" w:hAnsiTheme="minorEastAsia"/>
                <w:b/>
                <w:bCs/>
                <w:color w:val="000000"/>
                <w:szCs w:val="21"/>
              </w:rPr>
              <w:t>3,016.04</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cs="宋体" w:asciiTheme="minorEastAsia" w:hAnsiTheme="minorEastAsia"/>
                <w:b/>
                <w:bCs/>
                <w:color w:val="000000"/>
                <w:szCs w:val="21"/>
              </w:rPr>
            </w:pPr>
            <w:r>
              <w:rPr>
                <w:rFonts w:hint="eastAsia" w:ascii="宋体" w:hAnsi="宋体" w:eastAsia="宋体" w:cs="宋体"/>
                <w:b/>
                <w:bCs/>
                <w:color w:val="000000"/>
                <w:kern w:val="0"/>
                <w:szCs w:val="21"/>
              </w:rPr>
              <w:t>201</w:t>
            </w:r>
          </w:p>
        </w:tc>
        <w:tc>
          <w:tcPr>
            <w:tcW w:w="3513" w:type="dxa"/>
            <w:gridSpan w:val="3"/>
            <w:tcBorders>
              <w:top w:val="nil"/>
              <w:left w:val="nil"/>
              <w:bottom w:val="single" w:color="auto" w:sz="4" w:space="0"/>
              <w:right w:val="single" w:color="auto" w:sz="4" w:space="0"/>
            </w:tcBorders>
            <w:shd w:val="clear" w:color="auto" w:fill="auto"/>
            <w:vAlign w:val="center"/>
          </w:tcPr>
          <w:p>
            <w:pPr>
              <w:widowControl/>
              <w:jc w:val="left"/>
              <w:textAlignment w:val="center"/>
              <w:rPr>
                <w:rFonts w:cs="宋体" w:asciiTheme="minorEastAsia" w:hAnsiTheme="minorEastAsia"/>
                <w:b/>
                <w:bCs/>
                <w:color w:val="000000"/>
                <w:szCs w:val="21"/>
              </w:rPr>
            </w:pPr>
            <w:r>
              <w:rPr>
                <w:rFonts w:hint="eastAsia" w:ascii="宋体" w:hAnsi="宋体" w:eastAsia="宋体" w:cs="宋体"/>
                <w:b/>
                <w:bCs/>
                <w:color w:val="000000"/>
                <w:kern w:val="0"/>
                <w:szCs w:val="21"/>
              </w:rPr>
              <w:t>一般公共服务支出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1,533.02</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762.5</w:t>
            </w: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770.52</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20104</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发展与改革事务</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b/>
                <w:bCs/>
                <w:color w:val="000000"/>
                <w:kern w:val="0"/>
                <w:szCs w:val="21"/>
              </w:rPr>
            </w:pPr>
            <w:r>
              <w:rPr>
                <w:rFonts w:hint="eastAsia" w:ascii="宋体" w:hAnsi="宋体" w:eastAsia="宋体" w:cs="宋体"/>
                <w:b/>
                <w:bCs/>
                <w:color w:val="000000"/>
                <w:kern w:val="0"/>
                <w:szCs w:val="21"/>
              </w:rPr>
              <w:t>1,529.22</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b/>
                <w:bCs/>
                <w:color w:val="000000"/>
                <w:kern w:val="0"/>
                <w:szCs w:val="21"/>
              </w:rPr>
            </w:pPr>
            <w:r>
              <w:rPr>
                <w:rFonts w:hint="eastAsia" w:ascii="宋体" w:hAnsi="宋体" w:eastAsia="宋体" w:cs="宋体"/>
                <w:b/>
                <w:bCs/>
                <w:color w:val="000000"/>
                <w:kern w:val="0"/>
                <w:szCs w:val="21"/>
              </w:rPr>
              <w:t>762.5</w:t>
            </w: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宋体" w:hAnsi="宋体" w:eastAsia="宋体" w:cs="宋体"/>
                <w:b/>
                <w:bCs/>
                <w:color w:val="000000"/>
                <w:kern w:val="0"/>
                <w:szCs w:val="21"/>
              </w:rPr>
            </w:pPr>
            <w:r>
              <w:rPr>
                <w:rFonts w:hint="eastAsia" w:ascii="宋体" w:hAnsi="宋体" w:eastAsia="宋体" w:cs="宋体"/>
                <w:b/>
                <w:bCs/>
                <w:color w:val="000000"/>
                <w:kern w:val="0"/>
                <w:szCs w:val="21"/>
              </w:rPr>
              <w:t>766.72</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2010401</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rPr>
            </w:pPr>
            <w:r>
              <w:rPr>
                <w:rFonts w:hint="eastAsia" w:ascii="宋体" w:hAnsi="宋体" w:eastAsia="宋体" w:cs="宋体"/>
                <w:color w:val="000000"/>
                <w:kern w:val="0"/>
                <w:szCs w:val="21"/>
              </w:rPr>
              <w:t>行政运行</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567.13</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560.64</w:t>
            </w: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6.49</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2010402</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rPr>
            </w:pPr>
            <w:r>
              <w:rPr>
                <w:rFonts w:hint="eastAsia" w:ascii="宋体" w:hAnsi="宋体" w:eastAsia="宋体" w:cs="宋体"/>
                <w:color w:val="000000"/>
                <w:kern w:val="0"/>
                <w:szCs w:val="21"/>
              </w:rPr>
              <w:t>一般行政管理事务</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355.72</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355.72</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2010404</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rPr>
            </w:pPr>
            <w:r>
              <w:rPr>
                <w:rFonts w:hint="eastAsia" w:ascii="宋体" w:hAnsi="宋体" w:eastAsia="宋体" w:cs="宋体"/>
                <w:color w:val="000000"/>
                <w:kern w:val="0"/>
                <w:szCs w:val="21"/>
              </w:rPr>
              <w:t>战略规划与实施</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5.00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5.00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2010406</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rPr>
            </w:pPr>
            <w:r>
              <w:rPr>
                <w:rFonts w:hint="eastAsia" w:ascii="宋体" w:hAnsi="宋体" w:eastAsia="宋体" w:cs="宋体"/>
                <w:color w:val="000000"/>
                <w:kern w:val="0"/>
                <w:szCs w:val="21"/>
              </w:rPr>
              <w:t>社会事业发展规划</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154.5</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16.54</w:t>
            </w: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137.96</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color w:val="000000"/>
                <w:kern w:val="0"/>
                <w:szCs w:val="21"/>
              </w:rPr>
              <w:t>2010499</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b/>
              </w:rPr>
            </w:pPr>
            <w:r>
              <w:rPr>
                <w:rFonts w:hint="eastAsia" w:ascii="宋体" w:hAnsi="宋体" w:eastAsia="宋体" w:cs="宋体"/>
                <w:color w:val="000000"/>
                <w:kern w:val="0"/>
                <w:szCs w:val="21"/>
              </w:rPr>
              <w:t>其他发展与改革事务支出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color w:val="000000"/>
                <w:kern w:val="0"/>
                <w:szCs w:val="21"/>
              </w:rPr>
              <w:t>446.87</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color w:val="000000"/>
                <w:kern w:val="0"/>
                <w:szCs w:val="21"/>
              </w:rPr>
            </w:pPr>
            <w:r>
              <w:rPr>
                <w:rFonts w:hint="eastAsia" w:ascii="宋体" w:hAnsi="宋体" w:eastAsia="宋体" w:cs="宋体"/>
                <w:color w:val="000000"/>
                <w:kern w:val="0"/>
                <w:szCs w:val="21"/>
              </w:rPr>
              <w:t>185.32</w:t>
            </w: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宋体" w:hAnsi="宋体" w:eastAsia="宋体" w:cs="宋体"/>
                <w:color w:val="000000"/>
                <w:kern w:val="0"/>
                <w:szCs w:val="21"/>
              </w:rPr>
            </w:pPr>
            <w:r>
              <w:rPr>
                <w:rFonts w:hint="eastAsia" w:ascii="宋体" w:hAnsi="宋体" w:eastAsia="宋体" w:cs="宋体"/>
                <w:color w:val="000000"/>
                <w:kern w:val="0"/>
                <w:szCs w:val="21"/>
              </w:rPr>
              <w:t>261.55</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20113</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商贸事务</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3.80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3.80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2011399</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jc w:val="left"/>
              <w:textAlignment w:val="center"/>
              <w:rPr>
                <w:rFonts w:asciiTheme="minorEastAsia" w:hAnsiTheme="minorEastAsia"/>
              </w:rPr>
            </w:pPr>
            <w:r>
              <w:rPr>
                <w:rFonts w:hint="eastAsia" w:ascii="宋体" w:hAnsi="宋体" w:eastAsia="宋体" w:cs="宋体"/>
                <w:color w:val="000000"/>
                <w:kern w:val="0"/>
                <w:szCs w:val="21"/>
              </w:rPr>
              <w:t>其他商贸事务支出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3.80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3.80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208</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社会保障和就业支出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124.44</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rPr>
            </w:pPr>
            <w:r>
              <w:rPr>
                <w:rFonts w:hint="eastAsia" w:asciiTheme="minorEastAsia" w:hAnsiTheme="minorEastAsia"/>
                <w:b/>
              </w:rPr>
              <w:t>52.71</w:t>
            </w:r>
          </w:p>
        </w:tc>
        <w:tc>
          <w:tcPr>
            <w:tcW w:w="2902"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rPr>
            </w:pPr>
            <w:r>
              <w:rPr>
                <w:rFonts w:hint="eastAsia" w:asciiTheme="minorEastAsia" w:hAnsiTheme="minorEastAsia"/>
                <w:b/>
              </w:rPr>
              <w:t>71.73</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20805</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行政事业单位养老支出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78.98</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52.71</w:t>
            </w:r>
          </w:p>
        </w:tc>
        <w:tc>
          <w:tcPr>
            <w:tcW w:w="2902"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rPr>
            </w:pPr>
            <w:r>
              <w:rPr>
                <w:rFonts w:hint="eastAsia" w:asciiTheme="minorEastAsia" w:hAnsiTheme="minorEastAsia"/>
                <w:b/>
              </w:rPr>
              <w:t>26.27</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2080505</w:t>
            </w:r>
          </w:p>
        </w:tc>
        <w:tc>
          <w:tcPr>
            <w:tcW w:w="3513" w:type="dxa"/>
            <w:gridSpan w:val="3"/>
            <w:tcBorders>
              <w:top w:val="single" w:color="auto" w:sz="4" w:space="0"/>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rPr>
            </w:pPr>
            <w:r>
              <w:rPr>
                <w:rFonts w:hint="eastAsia" w:ascii="宋体" w:hAnsi="宋体" w:eastAsia="宋体" w:cs="宋体"/>
                <w:color w:val="000000"/>
                <w:kern w:val="0"/>
                <w:szCs w:val="21"/>
              </w:rPr>
              <w:t>机关事业单位基本养老保险缴费支出</w:t>
            </w:r>
          </w:p>
        </w:tc>
        <w:tc>
          <w:tcPr>
            <w:tcW w:w="2988" w:type="dxa"/>
            <w:gridSpan w:val="2"/>
            <w:tcBorders>
              <w:top w:val="single" w:color="auto" w:sz="4" w:space="0"/>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52.71</w:t>
            </w:r>
          </w:p>
        </w:tc>
        <w:tc>
          <w:tcPr>
            <w:tcW w:w="3180" w:type="dxa"/>
            <w:gridSpan w:val="4"/>
            <w:tcBorders>
              <w:top w:val="single" w:color="auto" w:sz="4" w:space="0"/>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52.71</w:t>
            </w:r>
          </w:p>
        </w:tc>
        <w:tc>
          <w:tcPr>
            <w:tcW w:w="2902" w:type="dxa"/>
            <w:tcBorders>
              <w:top w:val="single" w:color="auto" w:sz="4" w:space="0"/>
              <w:left w:val="nil"/>
              <w:bottom w:val="single" w:color="auto" w:sz="4" w:space="0"/>
              <w:right w:val="single" w:color="auto" w:sz="8" w:space="0"/>
            </w:tcBorders>
            <w:shd w:val="clear" w:color="auto" w:fill="auto"/>
            <w:vAlign w:val="center"/>
          </w:tcPr>
          <w:p>
            <w:pPr>
              <w:jc w:val="right"/>
              <w:rPr>
                <w:rFonts w:asciiTheme="minorEastAsia" w:hAnsiTheme="minorEastAsia"/>
              </w:rPr>
            </w:pP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color w:val="000000"/>
                <w:kern w:val="0"/>
                <w:szCs w:val="21"/>
              </w:rPr>
              <w:t>2080506</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b/>
              </w:rPr>
            </w:pPr>
            <w:r>
              <w:rPr>
                <w:rFonts w:hint="eastAsia" w:ascii="宋体" w:hAnsi="宋体" w:eastAsia="宋体" w:cs="宋体"/>
                <w:color w:val="000000"/>
                <w:kern w:val="0"/>
                <w:szCs w:val="21"/>
              </w:rPr>
              <w:t>机关事业单位职业年金缴费支出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color w:val="000000"/>
                <w:kern w:val="0"/>
                <w:szCs w:val="21"/>
              </w:rPr>
              <w:t>13.18</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cs="宋体" w:asciiTheme="minorEastAsia" w:hAnsiTheme="minorEastAsia"/>
                <w:b/>
                <w:bCs/>
                <w:color w:val="000000"/>
                <w:szCs w:val="21"/>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color w:val="000000"/>
                <w:kern w:val="0"/>
                <w:szCs w:val="21"/>
              </w:rPr>
              <w:t>13.18</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2080508</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rPr>
            </w:pPr>
            <w:r>
              <w:rPr>
                <w:rFonts w:hint="eastAsia" w:ascii="宋体" w:hAnsi="宋体" w:eastAsia="宋体" w:cs="宋体"/>
                <w:color w:val="000000"/>
                <w:kern w:val="0"/>
                <w:szCs w:val="21"/>
              </w:rPr>
              <w:t>对机关事业单位职业年金的补助</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 xml:space="preserve">13.09 </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cs="宋体" w:asciiTheme="minorEastAsia" w:hAnsiTheme="minorEastAsia"/>
                <w:color w:val="000000"/>
                <w:szCs w:val="21"/>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 xml:space="preserve">13.09 </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20808</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抚恤</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45.46</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cs="宋体" w:asciiTheme="minorEastAsia" w:hAnsiTheme="minorEastAsia"/>
                <w:color w:val="000000"/>
                <w:szCs w:val="21"/>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45.46</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color w:val="000000"/>
                <w:kern w:val="0"/>
                <w:szCs w:val="21"/>
              </w:rPr>
              <w:t>2080801</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b/>
              </w:rPr>
            </w:pPr>
            <w:r>
              <w:rPr>
                <w:rFonts w:hint="eastAsia" w:ascii="宋体" w:hAnsi="宋体" w:eastAsia="宋体" w:cs="宋体"/>
                <w:color w:val="000000"/>
                <w:kern w:val="0"/>
                <w:szCs w:val="21"/>
              </w:rPr>
              <w:t>死亡抚恤</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color w:val="000000"/>
                <w:kern w:val="0"/>
                <w:szCs w:val="21"/>
              </w:rPr>
              <w:t>45.46</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cs="宋体" w:asciiTheme="minorEastAsia" w:hAnsiTheme="minorEastAsia"/>
                <w:b/>
                <w:bCs/>
                <w:color w:val="000000"/>
                <w:szCs w:val="21"/>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color w:val="000000"/>
                <w:kern w:val="0"/>
                <w:szCs w:val="21"/>
              </w:rPr>
              <w:t>45.46</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210</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卫生健康支出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30.46</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cs="宋体" w:asciiTheme="minorEastAsia" w:hAnsiTheme="minorEastAsia"/>
                <w:b/>
                <w:color w:val="000000"/>
                <w:szCs w:val="21"/>
              </w:rPr>
            </w:pPr>
            <w:r>
              <w:rPr>
                <w:rFonts w:hint="eastAsia" w:ascii="宋体" w:hAnsi="宋体" w:eastAsia="宋体" w:cs="宋体"/>
                <w:b/>
                <w:bCs/>
                <w:color w:val="000000"/>
                <w:kern w:val="0"/>
                <w:szCs w:val="21"/>
              </w:rPr>
              <w:t>30.46</w:t>
            </w:r>
          </w:p>
        </w:tc>
        <w:tc>
          <w:tcPr>
            <w:tcW w:w="2902"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rPr>
            </w:pP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21011</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行政事业单位医疗</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30.46</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cs="宋体" w:asciiTheme="minorEastAsia" w:hAnsiTheme="minorEastAsia"/>
                <w:color w:val="000000"/>
                <w:szCs w:val="21"/>
              </w:rPr>
            </w:pPr>
            <w:r>
              <w:rPr>
                <w:rFonts w:hint="eastAsia" w:ascii="宋体" w:hAnsi="宋体" w:eastAsia="宋体" w:cs="宋体"/>
                <w:b/>
                <w:bCs/>
                <w:color w:val="000000"/>
                <w:kern w:val="0"/>
                <w:szCs w:val="21"/>
              </w:rPr>
              <w:t>30.46</w:t>
            </w:r>
          </w:p>
        </w:tc>
        <w:tc>
          <w:tcPr>
            <w:tcW w:w="2902"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rPr>
            </w:pP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color w:val="000000"/>
                <w:kern w:val="0"/>
                <w:szCs w:val="21"/>
              </w:rPr>
              <w:t>2101101</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b/>
              </w:rPr>
            </w:pPr>
            <w:r>
              <w:rPr>
                <w:rFonts w:hint="eastAsia" w:ascii="宋体" w:hAnsi="宋体" w:eastAsia="宋体" w:cs="宋体"/>
                <w:color w:val="000000"/>
                <w:kern w:val="0"/>
                <w:szCs w:val="21"/>
              </w:rPr>
              <w:t>行政单位医疗</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color w:val="000000"/>
                <w:kern w:val="0"/>
                <w:szCs w:val="21"/>
              </w:rPr>
              <w:t>30.46</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cs="宋体" w:asciiTheme="minorEastAsia" w:hAnsiTheme="minorEastAsia"/>
                <w:b/>
                <w:bCs/>
                <w:color w:val="000000"/>
                <w:szCs w:val="21"/>
              </w:rPr>
            </w:pPr>
            <w:r>
              <w:rPr>
                <w:rFonts w:hint="eastAsia" w:ascii="宋体" w:hAnsi="宋体" w:eastAsia="宋体" w:cs="宋体"/>
                <w:color w:val="000000"/>
                <w:kern w:val="0"/>
                <w:szCs w:val="21"/>
              </w:rPr>
              <w:t>30.46</w:t>
            </w:r>
          </w:p>
        </w:tc>
        <w:tc>
          <w:tcPr>
            <w:tcW w:w="2902"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rPr>
            </w:pP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215</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资源勘探工业信息等支出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232.86</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232.86</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21599</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其他资源勘探工业信息等支出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232.86</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232.86</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color w:val="000000"/>
                <w:kern w:val="0"/>
                <w:szCs w:val="21"/>
              </w:rPr>
              <w:t>2159999</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Style w:val="19"/>
                <w:rFonts w:hint="default"/>
              </w:rPr>
              <w:t>其他资源勘探工业信息等支出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color w:val="000000"/>
                <w:kern w:val="0"/>
                <w:szCs w:val="21"/>
              </w:rPr>
              <w:t>232.86</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color w:val="000000"/>
                <w:kern w:val="0"/>
                <w:szCs w:val="21"/>
              </w:rPr>
              <w:t>232.86</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216</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商业服务业等支出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70.00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b/>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70.00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21699</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ascii="STSongStd-Light" w:hAnsi="STSongStd-Light" w:eastAsia="STSongStd-Light" w:cs="STSongStd-Light"/>
                <w:b/>
                <w:bCs/>
                <w:color w:val="000000"/>
                <w:kern w:val="0"/>
                <w:szCs w:val="21"/>
              </w:rPr>
              <w:t>其他商业服务业等支出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70.00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70.00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2169999</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rPr>
            </w:pPr>
            <w:r>
              <w:rPr>
                <w:rFonts w:hint="eastAsia" w:ascii="宋体" w:hAnsi="宋体" w:eastAsia="宋体" w:cs="宋体"/>
                <w:color w:val="000000"/>
                <w:kern w:val="0"/>
                <w:szCs w:val="21"/>
              </w:rPr>
              <w:t>其他商业服务业等支出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70.00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70.00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221</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住房保障支出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45.24</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45.24</w:t>
            </w:r>
          </w:p>
        </w:tc>
        <w:tc>
          <w:tcPr>
            <w:tcW w:w="2902"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rPr>
            </w:pP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22102</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b/>
              </w:rPr>
            </w:pPr>
            <w:r>
              <w:rPr>
                <w:rFonts w:hint="eastAsia" w:ascii="宋体" w:hAnsi="宋体" w:eastAsia="宋体" w:cs="宋体"/>
                <w:b/>
                <w:bCs/>
                <w:color w:val="000000"/>
                <w:kern w:val="0"/>
                <w:szCs w:val="21"/>
              </w:rPr>
              <w:t>住房改革支出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45.24</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b/>
              </w:rPr>
            </w:pPr>
            <w:r>
              <w:rPr>
                <w:rFonts w:hint="eastAsia" w:ascii="宋体" w:hAnsi="宋体" w:eastAsia="宋体" w:cs="宋体"/>
                <w:b/>
                <w:bCs/>
                <w:color w:val="000000"/>
                <w:kern w:val="0"/>
                <w:szCs w:val="21"/>
              </w:rPr>
              <w:t>45.24</w:t>
            </w:r>
          </w:p>
        </w:tc>
        <w:tc>
          <w:tcPr>
            <w:tcW w:w="2902"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b/>
              </w:rPr>
            </w:pP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2210201</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Style w:val="19"/>
                <w:rFonts w:hint="default"/>
              </w:rPr>
              <w:t>住房公积金</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45.24</w:t>
            </w:r>
          </w:p>
        </w:tc>
        <w:tc>
          <w:tcPr>
            <w:tcW w:w="3180" w:type="dxa"/>
            <w:gridSpan w:val="4"/>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45.24</w:t>
            </w:r>
          </w:p>
        </w:tc>
        <w:tc>
          <w:tcPr>
            <w:tcW w:w="2902" w:type="dxa"/>
            <w:tcBorders>
              <w:top w:val="nil"/>
              <w:left w:val="nil"/>
              <w:bottom w:val="single" w:color="auto" w:sz="4" w:space="0"/>
              <w:right w:val="single" w:color="auto" w:sz="8" w:space="0"/>
            </w:tcBorders>
            <w:shd w:val="clear" w:color="auto" w:fill="auto"/>
            <w:vAlign w:val="center"/>
          </w:tcPr>
          <w:p>
            <w:pPr>
              <w:jc w:val="right"/>
              <w:rPr>
                <w:rFonts w:asciiTheme="minorEastAsia" w:hAnsiTheme="minorEastAsia"/>
              </w:rPr>
            </w:pP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222</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粮油物资储备支出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1,820.93</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1,820.93</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22201</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粮油物资事务</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774.20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774.20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2220112</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rPr>
            </w:pPr>
            <w:r>
              <w:rPr>
                <w:rFonts w:hint="eastAsia" w:ascii="宋体" w:hAnsi="宋体" w:eastAsia="宋体" w:cs="宋体"/>
                <w:color w:val="000000"/>
                <w:kern w:val="0"/>
                <w:szCs w:val="21"/>
              </w:rPr>
              <w:t>粮食财务挂账利息补贴</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126.20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126.20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2220115</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rPr>
            </w:pPr>
            <w:r>
              <w:rPr>
                <w:rFonts w:hint="eastAsia" w:ascii="宋体" w:hAnsi="宋体" w:eastAsia="宋体" w:cs="宋体"/>
                <w:color w:val="000000"/>
                <w:kern w:val="0"/>
                <w:szCs w:val="21"/>
              </w:rPr>
              <w:t>粮食风险基金</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280.00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280.00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2220199</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rPr>
            </w:pPr>
            <w:r>
              <w:rPr>
                <w:rFonts w:hint="eastAsia" w:ascii="宋体" w:hAnsi="宋体" w:eastAsia="宋体" w:cs="宋体"/>
                <w:color w:val="000000"/>
                <w:kern w:val="0"/>
                <w:szCs w:val="21"/>
              </w:rPr>
              <w:t>其他粮油物资事务支出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368.00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368.00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22204</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b/>
                <w:bCs/>
                <w:color w:val="000000"/>
                <w:kern w:val="0"/>
                <w:szCs w:val="21"/>
              </w:rPr>
              <w:t>粮油储备</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1,046.73</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1,046.73</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inorEastAsia" w:hAnsiTheme="minorEastAsia"/>
              </w:rPr>
            </w:pPr>
            <w:r>
              <w:rPr>
                <w:rFonts w:hint="eastAsia" w:ascii="宋体" w:hAnsi="宋体" w:eastAsia="宋体" w:cs="宋体"/>
                <w:color w:val="000000"/>
                <w:kern w:val="0"/>
                <w:szCs w:val="21"/>
              </w:rPr>
              <w:t>2220401</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inorEastAsia" w:hAnsiTheme="minorEastAsia"/>
              </w:rPr>
            </w:pPr>
            <w:r>
              <w:rPr>
                <w:rFonts w:hint="eastAsia" w:ascii="宋体" w:hAnsi="宋体" w:eastAsia="宋体" w:cs="宋体"/>
                <w:color w:val="000000"/>
                <w:kern w:val="0"/>
                <w:szCs w:val="21"/>
              </w:rPr>
              <w:t>储备粮油补贴</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440.70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440.70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2220402</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ajorEastAsia" w:hAnsiTheme="majorEastAsia" w:eastAsiaTheme="majorEastAsia"/>
              </w:rPr>
            </w:pPr>
            <w:r>
              <w:rPr>
                <w:rFonts w:hint="eastAsia" w:ascii="宋体" w:hAnsi="宋体" w:eastAsia="宋体" w:cs="宋体"/>
                <w:color w:val="000000"/>
                <w:kern w:val="0"/>
                <w:szCs w:val="21"/>
              </w:rPr>
              <w:t>储备粮油差价补贴</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479.20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479.20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2220499</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ajorEastAsia" w:hAnsiTheme="majorEastAsia" w:eastAsiaTheme="majorEastAsia"/>
              </w:rPr>
            </w:pPr>
            <w:r>
              <w:rPr>
                <w:rFonts w:hint="eastAsia" w:ascii="宋体" w:hAnsi="宋体" w:eastAsia="宋体" w:cs="宋体"/>
                <w:color w:val="000000"/>
                <w:kern w:val="0"/>
                <w:szCs w:val="21"/>
              </w:rPr>
              <w:t>其他粮油储备支出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126.83</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126.83</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224</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ajorEastAsia" w:hAnsiTheme="majorEastAsia" w:eastAsiaTheme="majorEastAsia"/>
              </w:rPr>
            </w:pPr>
            <w:r>
              <w:rPr>
                <w:rFonts w:ascii="STSongStd-Light" w:hAnsi="STSongStd-Light" w:eastAsia="STSongStd-Light" w:cs="STSongStd-Light"/>
                <w:b/>
                <w:bCs/>
                <w:color w:val="000000"/>
                <w:kern w:val="0"/>
                <w:szCs w:val="21"/>
              </w:rPr>
              <w:t>灾害防治及应急管理支出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50.00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50.00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ajorEastAsia" w:hAnsiTheme="majorEastAsia" w:eastAsiaTheme="majorEastAsia"/>
              </w:rPr>
            </w:pPr>
            <w:r>
              <w:rPr>
                <w:rFonts w:hint="eastAsia" w:ascii="宋体" w:hAnsi="宋体" w:eastAsia="宋体" w:cs="宋体"/>
                <w:b/>
                <w:bCs/>
                <w:color w:val="000000"/>
                <w:kern w:val="0"/>
                <w:szCs w:val="21"/>
              </w:rPr>
              <w:t>22407</w:t>
            </w:r>
          </w:p>
        </w:tc>
        <w:tc>
          <w:tcPr>
            <w:tcW w:w="3513" w:type="dxa"/>
            <w:gridSpan w:val="3"/>
            <w:tcBorders>
              <w:top w:val="nil"/>
              <w:left w:val="nil"/>
              <w:bottom w:val="single" w:color="auto" w:sz="4" w:space="0"/>
              <w:right w:val="single" w:color="auto" w:sz="4" w:space="0"/>
            </w:tcBorders>
            <w:shd w:val="clear" w:color="auto" w:fill="auto"/>
            <w:vAlign w:val="center"/>
          </w:tcPr>
          <w:p>
            <w:pPr>
              <w:widowControl/>
              <w:textAlignment w:val="center"/>
              <w:rPr>
                <w:rFonts w:asciiTheme="majorEastAsia" w:hAnsiTheme="majorEastAsia" w:eastAsiaTheme="majorEastAsia"/>
              </w:rPr>
            </w:pPr>
            <w:r>
              <w:rPr>
                <w:rFonts w:ascii="STSongStd-Light" w:hAnsi="STSongStd-Light" w:eastAsia="STSongStd-Light" w:cs="STSongStd-Light"/>
                <w:b/>
                <w:bCs/>
                <w:color w:val="000000"/>
                <w:kern w:val="0"/>
                <w:szCs w:val="21"/>
              </w:rPr>
              <w:t>自然灾害救灾及恢复重建支出</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ajorEastAsia" w:hAnsiTheme="majorEastAsia" w:eastAsiaTheme="majorEastAsia"/>
              </w:rPr>
            </w:pPr>
            <w:r>
              <w:rPr>
                <w:rFonts w:hint="eastAsia" w:ascii="宋体" w:hAnsi="宋体" w:eastAsia="宋体" w:cs="宋体"/>
                <w:b/>
                <w:bCs/>
                <w:color w:val="000000"/>
                <w:kern w:val="0"/>
                <w:szCs w:val="21"/>
              </w:rPr>
              <w:t>50.00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b/>
                <w:bCs/>
                <w:color w:val="000000"/>
                <w:kern w:val="0"/>
                <w:szCs w:val="21"/>
              </w:rPr>
              <w:t>50.00</w:t>
            </w:r>
          </w:p>
        </w:tc>
      </w:tr>
      <w:tr>
        <w:tblPrEx>
          <w:tblCellMar>
            <w:top w:w="0" w:type="dxa"/>
            <w:left w:w="108" w:type="dxa"/>
            <w:bottom w:w="0" w:type="dxa"/>
            <w:right w:w="108" w:type="dxa"/>
          </w:tblCellMar>
        </w:tblPrEx>
        <w:trPr>
          <w:gridBefore w:val="1"/>
          <w:gridAfter w:val="2"/>
          <w:wBefore w:w="918" w:type="dxa"/>
          <w:wAfter w:w="1013" w:type="dxa"/>
          <w:trHeight w:val="397" w:hRule="atLeast"/>
          <w:jc w:val="center"/>
        </w:trPr>
        <w:tc>
          <w:tcPr>
            <w:tcW w:w="119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textAlignment w:val="center"/>
              <w:rPr>
                <w:rFonts w:asciiTheme="majorEastAsia" w:hAnsiTheme="majorEastAsia" w:eastAsiaTheme="majorEastAsia"/>
              </w:rPr>
            </w:pPr>
            <w:r>
              <w:rPr>
                <w:rFonts w:hint="eastAsia" w:ascii="宋体" w:hAnsi="宋体" w:eastAsia="宋体" w:cs="宋体"/>
                <w:color w:val="000000"/>
                <w:kern w:val="0"/>
                <w:szCs w:val="21"/>
              </w:rPr>
              <w:t>2240703</w:t>
            </w:r>
          </w:p>
        </w:tc>
        <w:tc>
          <w:tcPr>
            <w:tcW w:w="3513" w:type="dxa"/>
            <w:gridSpan w:val="3"/>
            <w:tcBorders>
              <w:top w:val="nil"/>
              <w:left w:val="nil"/>
              <w:bottom w:val="single" w:color="auto" w:sz="4" w:space="0"/>
              <w:right w:val="single" w:color="auto" w:sz="4" w:space="0"/>
            </w:tcBorders>
            <w:shd w:val="clear" w:color="auto" w:fill="auto"/>
            <w:vAlign w:val="center"/>
          </w:tcPr>
          <w:p>
            <w:pPr>
              <w:widowControl/>
              <w:ind w:firstLine="210" w:firstLineChars="100"/>
              <w:textAlignment w:val="center"/>
              <w:rPr>
                <w:rFonts w:asciiTheme="majorEastAsia" w:hAnsiTheme="majorEastAsia" w:eastAsiaTheme="majorEastAsia"/>
              </w:rPr>
            </w:pPr>
            <w:r>
              <w:rPr>
                <w:rFonts w:hint="eastAsia" w:ascii="宋体" w:hAnsi="宋体" w:eastAsia="宋体" w:cs="宋体"/>
                <w:color w:val="000000"/>
                <w:kern w:val="0"/>
                <w:szCs w:val="21"/>
              </w:rPr>
              <w:t>自然灾害救灾补助</w:t>
            </w:r>
          </w:p>
        </w:tc>
        <w:tc>
          <w:tcPr>
            <w:tcW w:w="2988" w:type="dxa"/>
            <w:gridSpan w:val="2"/>
            <w:tcBorders>
              <w:top w:val="nil"/>
              <w:left w:val="nil"/>
              <w:bottom w:val="single" w:color="auto" w:sz="4" w:space="0"/>
              <w:right w:val="single" w:color="auto" w:sz="4" w:space="0"/>
            </w:tcBorders>
            <w:shd w:val="clear" w:color="auto" w:fill="auto"/>
            <w:vAlign w:val="center"/>
          </w:tcPr>
          <w:p>
            <w:pPr>
              <w:widowControl/>
              <w:jc w:val="right"/>
              <w:textAlignment w:val="center"/>
              <w:rPr>
                <w:rFonts w:asciiTheme="majorEastAsia" w:hAnsiTheme="majorEastAsia" w:eastAsiaTheme="majorEastAsia"/>
              </w:rPr>
            </w:pPr>
            <w:r>
              <w:rPr>
                <w:rFonts w:hint="eastAsia" w:ascii="宋体" w:hAnsi="宋体" w:eastAsia="宋体" w:cs="宋体"/>
                <w:color w:val="000000"/>
                <w:kern w:val="0"/>
                <w:szCs w:val="21"/>
              </w:rPr>
              <w:t>50.00</w:t>
            </w:r>
          </w:p>
        </w:tc>
        <w:tc>
          <w:tcPr>
            <w:tcW w:w="3180" w:type="dxa"/>
            <w:gridSpan w:val="4"/>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rPr>
            </w:pPr>
          </w:p>
        </w:tc>
        <w:tc>
          <w:tcPr>
            <w:tcW w:w="2902"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asciiTheme="minorEastAsia" w:hAnsiTheme="minorEastAsia"/>
              </w:rPr>
            </w:pPr>
            <w:r>
              <w:rPr>
                <w:rFonts w:hint="eastAsia" w:ascii="宋体" w:hAnsi="宋体" w:eastAsia="宋体" w:cs="宋体"/>
                <w:color w:val="000000"/>
                <w:kern w:val="0"/>
                <w:szCs w:val="21"/>
              </w:rPr>
              <w:t>50.00</w:t>
            </w:r>
          </w:p>
        </w:tc>
      </w:tr>
      <w:tr>
        <w:tblPrEx>
          <w:tblCellMar>
            <w:top w:w="0" w:type="dxa"/>
            <w:left w:w="108" w:type="dxa"/>
            <w:bottom w:w="0" w:type="dxa"/>
            <w:right w:w="108" w:type="dxa"/>
          </w:tblCellMar>
        </w:tblPrEx>
        <w:trPr>
          <w:gridBefore w:val="1"/>
          <w:gridAfter w:val="2"/>
          <w:wBefore w:w="918" w:type="dxa"/>
          <w:wAfter w:w="1013" w:type="dxa"/>
          <w:trHeight w:val="565" w:hRule="atLeast"/>
          <w:jc w:val="center"/>
        </w:trPr>
        <w:tc>
          <w:tcPr>
            <w:tcW w:w="13778" w:type="dxa"/>
            <w:gridSpan w:val="12"/>
            <w:tcBorders>
              <w:top w:val="nil"/>
              <w:left w:val="nil"/>
              <w:bottom w:val="nil"/>
              <w:right w:val="nil"/>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注：本表反映部门本年度一般公共预算财政拨款支出情况。</w:t>
            </w:r>
          </w:p>
        </w:tc>
      </w:tr>
      <w:tr>
        <w:tblPrEx>
          <w:tblCellMar>
            <w:top w:w="0" w:type="dxa"/>
            <w:left w:w="108" w:type="dxa"/>
            <w:bottom w:w="0" w:type="dxa"/>
            <w:right w:w="108" w:type="dxa"/>
          </w:tblCellMar>
        </w:tblPrEx>
        <w:trPr>
          <w:trHeight w:val="113" w:hRule="atLeast"/>
          <w:jc w:val="center"/>
        </w:trPr>
        <w:tc>
          <w:tcPr>
            <w:tcW w:w="15709" w:type="dxa"/>
            <w:gridSpan w:val="15"/>
            <w:tcBorders>
              <w:top w:val="nil"/>
              <w:left w:val="nil"/>
              <w:bottom w:val="nil"/>
              <w:right w:val="nil"/>
            </w:tcBorders>
            <w:shd w:val="clear" w:color="auto" w:fill="auto"/>
            <w:noWrap/>
            <w:vAlign w:val="center"/>
          </w:tcPr>
          <w:p>
            <w:pPr>
              <w:widowControl/>
              <w:jc w:val="center"/>
              <w:rPr>
                <w:rFonts w:cs="宋体" w:asciiTheme="majorEastAsia" w:hAnsiTheme="majorEastAsia" w:eastAsiaTheme="majorEastAsia"/>
                <w:b/>
                <w:bCs/>
                <w:kern w:val="0"/>
                <w:sz w:val="24"/>
                <w:szCs w:val="40"/>
              </w:rPr>
            </w:pPr>
            <w:r>
              <w:rPr>
                <w:rFonts w:ascii="Times New Roman" w:hAnsi="Times New Roman" w:eastAsia="仿宋_GB2312" w:cs="Times New Roman"/>
                <w:bCs/>
                <w:kern w:val="0"/>
                <w:szCs w:val="21"/>
              </w:rPr>
              <w:br w:type="page"/>
            </w:r>
            <w:bookmarkStart w:id="2" w:name="RANGE!A1:I34"/>
            <w:r>
              <w:rPr>
                <w:rFonts w:hint="eastAsia" w:cs="宋体" w:asciiTheme="majorEastAsia" w:hAnsiTheme="majorEastAsia" w:eastAsiaTheme="majorEastAsia"/>
                <w:b/>
                <w:bCs/>
                <w:kern w:val="0"/>
                <w:sz w:val="24"/>
                <w:szCs w:val="40"/>
              </w:rPr>
              <w:t>一般公共预算财政拨款基本支出决算明细表</w:t>
            </w:r>
            <w:bookmarkEnd w:id="2"/>
          </w:p>
          <w:p>
            <w:pPr>
              <w:widowControl/>
              <w:wordWrap w:val="0"/>
              <w:jc w:val="righ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 xml:space="preserve">  部门： 湘潭县发展和改革局                                                                                                                               公开06表</w:t>
            </w:r>
          </w:p>
          <w:p>
            <w:pPr>
              <w:widowControl/>
              <w:jc w:val="right"/>
              <w:rPr>
                <w:rFonts w:cs="宋体" w:asciiTheme="majorEastAsia" w:hAnsiTheme="majorEastAsia" w:eastAsiaTheme="majorEastAsia"/>
                <w:kern w:val="0"/>
                <w:szCs w:val="32"/>
              </w:rPr>
            </w:pPr>
            <w:r>
              <w:rPr>
                <w:rFonts w:hint="eastAsia" w:cs="宋体" w:asciiTheme="majorEastAsia" w:hAnsiTheme="majorEastAsia" w:eastAsiaTheme="majorEastAsia"/>
                <w:kern w:val="0"/>
                <w:szCs w:val="21"/>
              </w:rPr>
              <w:t>单位：万元</w:t>
            </w:r>
          </w:p>
        </w:tc>
      </w:tr>
      <w:tr>
        <w:tblPrEx>
          <w:tblCellMar>
            <w:top w:w="0" w:type="dxa"/>
            <w:left w:w="108" w:type="dxa"/>
            <w:bottom w:w="0" w:type="dxa"/>
            <w:right w:w="108" w:type="dxa"/>
          </w:tblCellMar>
        </w:tblPrEx>
        <w:trPr>
          <w:trHeight w:val="113" w:hRule="atLeast"/>
          <w:jc w:val="center"/>
        </w:trPr>
        <w:tc>
          <w:tcPr>
            <w:tcW w:w="10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 w:val="20"/>
                <w:szCs w:val="20"/>
              </w:rPr>
              <w:t>经济分类科目编码</w:t>
            </w:r>
          </w:p>
        </w:tc>
        <w:tc>
          <w:tcPr>
            <w:tcW w:w="347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科目名称</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决算数</w:t>
            </w:r>
          </w:p>
        </w:tc>
        <w:tc>
          <w:tcPr>
            <w:tcW w:w="113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经济分类科目编码</w:t>
            </w:r>
          </w:p>
        </w:tc>
        <w:tc>
          <w:tcPr>
            <w:tcW w:w="241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科目名称</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决算数</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经济分类科目编码</w:t>
            </w:r>
          </w:p>
        </w:tc>
        <w:tc>
          <w:tcPr>
            <w:tcW w:w="369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科目名称</w:t>
            </w:r>
          </w:p>
        </w:tc>
        <w:tc>
          <w:tcPr>
            <w:tcW w:w="8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决算数</w:t>
            </w: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301</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工资福利支出</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szCs w:val="21"/>
              </w:rPr>
            </w:pPr>
            <w:r>
              <w:rPr>
                <w:rFonts w:hint="eastAsia" w:cs="宋体" w:asciiTheme="majorEastAsia" w:hAnsiTheme="majorEastAsia" w:eastAsiaTheme="majorEastAsia"/>
                <w:b/>
                <w:szCs w:val="21"/>
              </w:rPr>
              <w:t>647.76</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302</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商品和服务支出</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szCs w:val="21"/>
              </w:rPr>
            </w:pPr>
            <w:r>
              <w:rPr>
                <w:rFonts w:cs="宋体" w:asciiTheme="majorEastAsia" w:hAnsiTheme="majorEastAsia" w:eastAsiaTheme="majorEastAsia"/>
                <w:b/>
                <w:szCs w:val="21"/>
              </w:rPr>
              <w:t>1</w:t>
            </w:r>
            <w:r>
              <w:rPr>
                <w:rFonts w:hint="eastAsia" w:cs="宋体" w:asciiTheme="majorEastAsia" w:hAnsiTheme="majorEastAsia" w:eastAsiaTheme="majorEastAsia"/>
                <w:b/>
                <w:szCs w:val="21"/>
              </w:rPr>
              <w:t>65.18</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307</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债务利息及费用支出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30101</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基本工资</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197.14</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30201</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办公费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15.34</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30701</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国内债务付息</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30102</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津贴补贴</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0.85</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30202</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印刷费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0.93</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30702</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国外债务付息</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30103</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奖金</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136.61</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30203</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咨询费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资本性支出</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b/>
                <w:bCs/>
                <w:szCs w:val="21"/>
              </w:rPr>
            </w:pPr>
            <w:r>
              <w:rPr>
                <w:rFonts w:hint="eastAsia" w:cs="宋体" w:asciiTheme="majorEastAsia" w:hAnsiTheme="majorEastAsia" w:eastAsiaTheme="majorEastAsia"/>
                <w:b/>
                <w:bCs/>
                <w:szCs w:val="21"/>
              </w:rPr>
              <w:t>0.64</w:t>
            </w: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30106</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伙食补助费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28.61</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30204</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手续费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31001</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房屋建筑物购建</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szCs w:val="21"/>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30107</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绩效工资</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97.41</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30205</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水费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0.57</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31002</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办公设备购置</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szCs w:val="21"/>
              </w:rPr>
            </w:pPr>
            <w:r>
              <w:rPr>
                <w:rFonts w:hint="eastAsia" w:cs="宋体" w:asciiTheme="majorEastAsia" w:hAnsiTheme="majorEastAsia" w:eastAsiaTheme="majorEastAsia"/>
                <w:szCs w:val="21"/>
              </w:rPr>
              <w:t>0.64</w:t>
            </w: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30108</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机关事业单位基本养老保险缴费费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63.47</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30206</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电费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10.15</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31003</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专用设备购置</w:t>
            </w:r>
          </w:p>
        </w:tc>
        <w:tc>
          <w:tcPr>
            <w:tcW w:w="852" w:type="dxa"/>
            <w:tcBorders>
              <w:top w:val="nil"/>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b/>
                <w:bCs/>
                <w:szCs w:val="21"/>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30109</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职业年金缴费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30207</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邮电费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8.04</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31005</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基础设施建设</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30110</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职工基本医疗保险缴费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38.68</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30208</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取暖费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31006</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大型修缮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30111</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公务员医疗补助缴费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13.98</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30209</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物业管理费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31007</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信息网络及软件购置更新</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30112</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其他社会保障缴费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4.27</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30211</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差旅费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16.59</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31008</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物资储备</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30113</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住房公积金</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66.74</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30212</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因公出国（境）费用</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31009</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土地补偿</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30114</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医疗费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30213</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维修（护）费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0.89</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31010</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安置补助</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30199</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其他工资福利支出</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30214</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租赁费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31011</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地上附着物和青苗补偿</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303</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对个人和家庭的补助</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bCs/>
                <w:szCs w:val="21"/>
              </w:rPr>
            </w:pPr>
            <w:r>
              <w:rPr>
                <w:rFonts w:hint="eastAsia" w:cs="宋体" w:asciiTheme="majorEastAsia" w:hAnsiTheme="majorEastAsia" w:eastAsiaTheme="majorEastAsia"/>
                <w:b/>
                <w:bCs/>
                <w:szCs w:val="21"/>
              </w:rPr>
              <w:t>77.33</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30215</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会议费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31012</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拆迁补偿</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30301</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离休费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30216</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培训费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1.37</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31013</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公务用车购置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30302</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退休费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30217</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公务接待费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0.14</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31019</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其他交通工具购置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30303</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退职（役）费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30218</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专用材料费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31021</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文物和陈列品购置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30304</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抚恤金</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30224</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被装购置费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31022</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无形资产购置</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30305</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生活补助</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69.08</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30225</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专用燃料费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31099</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其他资本性支出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30306</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救济费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30226</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劳务费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19.25</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399</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其他支出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30307</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医疗费补助</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30227</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委托业务费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2.90</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39906</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赠与</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30308</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助学金</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30228</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工会经费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22.12</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39907</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国家赔偿费用支出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30309</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奖励金</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30229</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福利费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0.54</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39908</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对民间非营利组织和群众性自治组织补贴</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30310</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个人农业生产补贴</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30231</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公务用车运行维护费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4.48</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39999</w:t>
            </w: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其他支出</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30311</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代缴社会保险费</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30239</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其他交通费用</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46.86</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30399</w:t>
            </w: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其他对个人和家庭的补助</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8.25</w:t>
            </w: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30240</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税金及附加费用</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317" w:hRule="exact"/>
          <w:jc w:val="center"/>
        </w:trPr>
        <w:tc>
          <w:tcPr>
            <w:tcW w:w="103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c>
          <w:tcPr>
            <w:tcW w:w="3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p>
        </w:tc>
        <w:tc>
          <w:tcPr>
            <w:tcW w:w="1134"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30299</w:t>
            </w:r>
          </w:p>
        </w:tc>
        <w:tc>
          <w:tcPr>
            <w:tcW w:w="2410" w:type="dxa"/>
            <w:gridSpan w:val="2"/>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r>
              <w:rPr>
                <w:rFonts w:hint="eastAsia" w:cs="宋体" w:asciiTheme="majorEastAsia" w:hAnsiTheme="majorEastAsia" w:eastAsiaTheme="majorEastAsia"/>
                <w:kern w:val="0"/>
                <w:szCs w:val="20"/>
              </w:rPr>
              <w:t xml:space="preserve">  其他商品和服务支出</w:t>
            </w:r>
          </w:p>
        </w:tc>
        <w:tc>
          <w:tcPr>
            <w:tcW w:w="99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15.01</w:t>
            </w:r>
          </w:p>
          <w:p>
            <w:pPr>
              <w:jc w:val="right"/>
              <w:rPr>
                <w:rFonts w:cs="宋体" w:asciiTheme="majorEastAsia" w:hAnsiTheme="majorEastAsia" w:eastAsiaTheme="majorEastAsia"/>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p>
        </w:tc>
        <w:tc>
          <w:tcPr>
            <w:tcW w:w="3692" w:type="dxa"/>
            <w:gridSpan w:val="3"/>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18"/>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cs="宋体" w:asciiTheme="majorEastAsia" w:hAnsiTheme="majorEastAsia" w:eastAsiaTheme="majorEastAsia"/>
                <w:kern w:val="0"/>
                <w:szCs w:val="20"/>
              </w:rPr>
            </w:pPr>
          </w:p>
        </w:tc>
      </w:tr>
      <w:tr>
        <w:tblPrEx>
          <w:tblCellMar>
            <w:top w:w="0" w:type="dxa"/>
            <w:left w:w="108" w:type="dxa"/>
            <w:bottom w:w="0" w:type="dxa"/>
            <w:right w:w="108" w:type="dxa"/>
          </w:tblCellMar>
        </w:tblPrEx>
        <w:trPr>
          <w:trHeight w:val="284" w:hRule="exact"/>
          <w:jc w:val="center"/>
        </w:trPr>
        <w:tc>
          <w:tcPr>
            <w:tcW w:w="450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ajorEastAsia" w:hAnsiTheme="majorEastAsia" w:eastAsiaTheme="majorEastAsia"/>
                <w:b/>
                <w:kern w:val="0"/>
                <w:szCs w:val="20"/>
              </w:rPr>
            </w:pPr>
            <w:r>
              <w:rPr>
                <w:rFonts w:hint="eastAsia" w:cs="宋体" w:asciiTheme="majorEastAsia" w:hAnsiTheme="majorEastAsia" w:eastAsiaTheme="majorEastAsia"/>
                <w:b/>
                <w:kern w:val="0"/>
                <w:szCs w:val="20"/>
              </w:rPr>
              <w:t>人员经费合计</w:t>
            </w:r>
          </w:p>
        </w:tc>
        <w:tc>
          <w:tcPr>
            <w:tcW w:w="99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cs="宋体" w:asciiTheme="majorEastAsia" w:hAnsiTheme="majorEastAsia" w:eastAsiaTheme="majorEastAsia"/>
                <w:b/>
                <w:kern w:val="0"/>
                <w:szCs w:val="21"/>
              </w:rPr>
            </w:pPr>
            <w:r>
              <w:rPr>
                <w:rFonts w:hint="eastAsia" w:cs="宋体" w:asciiTheme="majorEastAsia" w:hAnsiTheme="majorEastAsia" w:eastAsiaTheme="majorEastAsia"/>
                <w:b/>
                <w:kern w:val="0"/>
                <w:szCs w:val="21"/>
              </w:rPr>
              <w:t>725.09</w:t>
            </w:r>
          </w:p>
        </w:tc>
        <w:tc>
          <w:tcPr>
            <w:tcW w:w="9362" w:type="dxa"/>
            <w:gridSpan w:val="9"/>
            <w:tcBorders>
              <w:top w:val="single" w:color="auto" w:sz="4" w:space="0"/>
              <w:left w:val="nil"/>
              <w:bottom w:val="single" w:color="auto" w:sz="4" w:space="0"/>
              <w:right w:val="single" w:color="auto" w:sz="4" w:space="0"/>
            </w:tcBorders>
            <w:shd w:val="clear" w:color="auto" w:fill="auto"/>
            <w:noWrap/>
            <w:vAlign w:val="center"/>
          </w:tcPr>
          <w:p>
            <w:pPr>
              <w:jc w:val="center"/>
              <w:rPr>
                <w:rFonts w:cs="宋体" w:asciiTheme="majorEastAsia" w:hAnsiTheme="majorEastAsia" w:eastAsiaTheme="majorEastAsia"/>
                <w:b/>
                <w:szCs w:val="21"/>
              </w:rPr>
            </w:pPr>
            <w:r>
              <w:rPr>
                <w:rFonts w:hint="eastAsia" w:asciiTheme="majorEastAsia" w:hAnsiTheme="majorEastAsia" w:eastAsiaTheme="majorEastAsia"/>
                <w:b/>
                <w:szCs w:val="21"/>
              </w:rPr>
              <w:t>公用经费合计</w:t>
            </w:r>
          </w:p>
        </w:tc>
        <w:tc>
          <w:tcPr>
            <w:tcW w:w="852" w:type="dxa"/>
            <w:tcBorders>
              <w:top w:val="nil"/>
              <w:left w:val="nil"/>
              <w:bottom w:val="single" w:color="auto" w:sz="4" w:space="0"/>
              <w:right w:val="single" w:color="auto" w:sz="4" w:space="0"/>
            </w:tcBorders>
            <w:shd w:val="clear" w:color="auto" w:fill="auto"/>
            <w:noWrap/>
            <w:vAlign w:val="center"/>
          </w:tcPr>
          <w:p>
            <w:pPr>
              <w:jc w:val="right"/>
              <w:rPr>
                <w:rFonts w:cs="宋体" w:asciiTheme="majorEastAsia" w:hAnsiTheme="majorEastAsia" w:eastAsiaTheme="majorEastAsia"/>
                <w:b/>
                <w:szCs w:val="21"/>
              </w:rPr>
            </w:pPr>
            <w:r>
              <w:rPr>
                <w:rFonts w:hint="eastAsia" w:cs="宋体" w:asciiTheme="majorEastAsia" w:hAnsiTheme="majorEastAsia" w:eastAsiaTheme="majorEastAsia"/>
                <w:b/>
                <w:szCs w:val="21"/>
              </w:rPr>
              <w:t>165.82</w:t>
            </w:r>
          </w:p>
        </w:tc>
      </w:tr>
      <w:tr>
        <w:tblPrEx>
          <w:tblCellMar>
            <w:top w:w="0" w:type="dxa"/>
            <w:left w:w="108" w:type="dxa"/>
            <w:bottom w:w="0" w:type="dxa"/>
            <w:right w:w="108" w:type="dxa"/>
          </w:tblCellMar>
        </w:tblPrEx>
        <w:trPr>
          <w:trHeight w:val="284" w:hRule="exact"/>
          <w:jc w:val="center"/>
        </w:trPr>
        <w:tc>
          <w:tcPr>
            <w:tcW w:w="15709" w:type="dxa"/>
            <w:gridSpan w:val="15"/>
            <w:tcBorders>
              <w:top w:val="nil"/>
              <w:left w:val="nil"/>
              <w:bottom w:val="nil"/>
              <w:right w:val="nil"/>
            </w:tcBorders>
            <w:shd w:val="clear" w:color="auto" w:fill="auto"/>
            <w:noWrap/>
            <w:vAlign w:val="center"/>
          </w:tcPr>
          <w:p>
            <w:pPr>
              <w:widowControl/>
              <w:jc w:val="left"/>
              <w:rPr>
                <w:rFonts w:cs="宋体" w:asciiTheme="majorEastAsia" w:hAnsiTheme="majorEastAsia" w:eastAsiaTheme="majorEastAsia"/>
                <w:kern w:val="0"/>
                <w:szCs w:val="24"/>
              </w:rPr>
            </w:pPr>
            <w:r>
              <w:rPr>
                <w:rFonts w:hint="eastAsia" w:cs="宋体" w:asciiTheme="majorEastAsia" w:hAnsiTheme="majorEastAsia" w:eastAsiaTheme="majorEastAsia"/>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p>
    <w:p>
      <w:pPr>
        <w:autoSpaceDE w:val="0"/>
        <w:autoSpaceDN w:val="0"/>
        <w:adjustRightInd w:val="0"/>
        <w:ind w:left="315" w:leftChars="150"/>
        <w:jc w:val="left"/>
        <w:rPr>
          <w:rFonts w:ascii="宋体" w:eastAsia="宋体" w:cs="宋体"/>
          <w:kern w:val="0"/>
          <w:sz w:val="24"/>
          <w:szCs w:val="24"/>
        </w:rPr>
      </w:pPr>
    </w:p>
    <w:p>
      <w:pPr>
        <w:widowControl/>
        <w:jc w:val="center"/>
        <w:outlineLvl w:val="0"/>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ind w:firstLine="420" w:firstLineChars="200"/>
        <w:rPr>
          <w:rFonts w:ascii="宋体" w:hAnsi="宋体" w:eastAsia="宋体" w:cs="宋体"/>
          <w:color w:val="000000"/>
          <w:kern w:val="0"/>
          <w:szCs w:val="21"/>
        </w:rPr>
      </w:pPr>
      <w:r>
        <w:rPr>
          <w:rFonts w:hint="eastAsia" w:ascii="宋体" w:hAnsi="宋体" w:eastAsia="宋体" w:cs="宋体"/>
          <w:color w:val="000000"/>
          <w:kern w:val="0"/>
          <w:szCs w:val="21"/>
        </w:rPr>
        <w:t>部门：湘潭县发展和改革局                                                                                                     公开07表</w:t>
      </w:r>
    </w:p>
    <w:p>
      <w:pPr>
        <w:widowControl/>
        <w:jc w:val="center"/>
        <w:outlineLvl w:val="0"/>
        <w:rPr>
          <w:rFonts w:ascii="宋体" w:hAnsi="宋体" w:eastAsia="宋体" w:cs="宋体"/>
          <w:color w:val="000000"/>
          <w:kern w:val="0"/>
          <w:szCs w:val="21"/>
        </w:rPr>
      </w:pPr>
      <w:r>
        <w:rPr>
          <w:rFonts w:hint="eastAsia" w:ascii="宋体" w:hAnsi="宋体" w:eastAsia="宋体" w:cs="宋体"/>
          <w:color w:val="000000"/>
          <w:kern w:val="0"/>
          <w:szCs w:val="21"/>
        </w:rPr>
        <w:t xml:space="preserve">                                                                                                                单位：万元</w:t>
      </w:r>
    </w:p>
    <w:tbl>
      <w:tblPr>
        <w:tblStyle w:val="10"/>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项 目</w:t>
            </w: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年初结转和结余</w:t>
            </w: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本年收入</w:t>
            </w:r>
          </w:p>
        </w:tc>
        <w:tc>
          <w:tcPr>
            <w:tcW w:w="6000" w:type="dxa"/>
            <w:gridSpan w:val="3"/>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本年支出</w:t>
            </w: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功能分类科目编码</w:t>
            </w:r>
          </w:p>
        </w:tc>
        <w:tc>
          <w:tcPr>
            <w:tcW w:w="132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科目名称</w:t>
            </w:r>
          </w:p>
        </w:tc>
        <w:tc>
          <w:tcPr>
            <w:tcW w:w="2000" w:type="dxa"/>
            <w:vMerge w:val="continue"/>
            <w:vAlign w:val="center"/>
          </w:tcPr>
          <w:p>
            <w:pPr>
              <w:widowControl/>
              <w:jc w:val="left"/>
              <w:rPr>
                <w:rFonts w:ascii="宋体" w:hAnsi="宋体" w:eastAsia="宋体" w:cs="宋体"/>
                <w:b/>
                <w:kern w:val="0"/>
                <w:szCs w:val="21"/>
              </w:rPr>
            </w:pPr>
          </w:p>
        </w:tc>
        <w:tc>
          <w:tcPr>
            <w:tcW w:w="2000" w:type="dxa"/>
            <w:vMerge w:val="continue"/>
            <w:vAlign w:val="center"/>
          </w:tcPr>
          <w:p>
            <w:pPr>
              <w:widowControl/>
              <w:jc w:val="left"/>
              <w:rPr>
                <w:rFonts w:ascii="宋体" w:hAnsi="宋体" w:eastAsia="宋体" w:cs="宋体"/>
                <w:b/>
                <w:kern w:val="0"/>
                <w:szCs w:val="21"/>
              </w:rPr>
            </w:pP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小计</w:t>
            </w: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 xml:space="preserve">基本支出  </w:t>
            </w:r>
          </w:p>
        </w:tc>
        <w:tc>
          <w:tcPr>
            <w:tcW w:w="2000" w:type="dxa"/>
            <w:vMerge w:val="restart"/>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项目支出</w:t>
            </w:r>
          </w:p>
        </w:tc>
        <w:tc>
          <w:tcPr>
            <w:tcW w:w="2000" w:type="dxa"/>
            <w:vMerge w:val="continue"/>
            <w:vAlign w:val="center"/>
          </w:tcPr>
          <w:p>
            <w:pPr>
              <w:widowControl/>
              <w:jc w:val="left"/>
              <w:rPr>
                <w:rFonts w:ascii="宋体" w:hAnsi="宋体" w:eastAsia="宋体" w:cs="宋体"/>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宋体" w:hAnsi="宋体" w:eastAsia="宋体" w:cs="宋体"/>
                <w:kern w:val="0"/>
                <w:szCs w:val="21"/>
              </w:rPr>
            </w:pPr>
          </w:p>
        </w:tc>
        <w:tc>
          <w:tcPr>
            <w:tcW w:w="132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宋体" w:hAnsi="宋体" w:eastAsia="宋体" w:cs="宋体"/>
                <w:kern w:val="0"/>
                <w:szCs w:val="21"/>
              </w:rPr>
            </w:pPr>
          </w:p>
        </w:tc>
        <w:tc>
          <w:tcPr>
            <w:tcW w:w="132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c>
          <w:tcPr>
            <w:tcW w:w="2000" w:type="dxa"/>
            <w:vMerge w:val="continue"/>
            <w:vAlign w:val="center"/>
          </w:tcPr>
          <w:p>
            <w:pPr>
              <w:widowControl/>
              <w:jc w:val="left"/>
              <w:rPr>
                <w:rFonts w:ascii="宋体" w:hAnsi="宋体" w:eastAsia="宋体"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栏次</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4</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5</w:t>
            </w:r>
          </w:p>
        </w:tc>
        <w:tc>
          <w:tcPr>
            <w:tcW w:w="2000" w:type="dxa"/>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合计</w:t>
            </w:r>
          </w:p>
        </w:tc>
        <w:tc>
          <w:tcPr>
            <w:tcW w:w="2000" w:type="dxa"/>
            <w:shd w:val="clear" w:color="auto" w:fill="auto"/>
            <w:vAlign w:val="center"/>
          </w:tcPr>
          <w:p>
            <w:pPr>
              <w:widowControl/>
              <w:jc w:val="center"/>
              <w:rPr>
                <w:rFonts w:ascii="宋体" w:hAnsi="宋体" w:eastAsia="宋体" w:cs="宋体"/>
                <w:kern w:val="0"/>
                <w:szCs w:val="21"/>
              </w:rPr>
            </w:pPr>
          </w:p>
        </w:tc>
        <w:tc>
          <w:tcPr>
            <w:tcW w:w="2000" w:type="dxa"/>
            <w:shd w:val="clear" w:color="auto" w:fill="auto"/>
            <w:vAlign w:val="center"/>
          </w:tcPr>
          <w:p>
            <w:pPr>
              <w:widowControl/>
              <w:jc w:val="center"/>
              <w:rPr>
                <w:rFonts w:ascii="宋体" w:hAnsi="宋体" w:eastAsia="宋体" w:cs="宋体"/>
                <w:kern w:val="0"/>
                <w:szCs w:val="21"/>
              </w:rPr>
            </w:pPr>
          </w:p>
        </w:tc>
        <w:tc>
          <w:tcPr>
            <w:tcW w:w="2000" w:type="dxa"/>
            <w:shd w:val="clear" w:color="auto" w:fill="auto"/>
            <w:vAlign w:val="center"/>
          </w:tcPr>
          <w:p>
            <w:pPr>
              <w:widowControl/>
              <w:jc w:val="center"/>
              <w:rPr>
                <w:rFonts w:ascii="宋体" w:hAnsi="宋体" w:eastAsia="宋体" w:cs="宋体"/>
                <w:kern w:val="0"/>
                <w:szCs w:val="21"/>
              </w:rPr>
            </w:pPr>
          </w:p>
        </w:tc>
        <w:tc>
          <w:tcPr>
            <w:tcW w:w="2000" w:type="dxa"/>
            <w:shd w:val="clear" w:color="auto" w:fill="auto"/>
            <w:vAlign w:val="center"/>
          </w:tcPr>
          <w:p>
            <w:pPr>
              <w:widowControl/>
              <w:jc w:val="center"/>
              <w:rPr>
                <w:rFonts w:ascii="宋体" w:hAnsi="宋体" w:eastAsia="宋体" w:cs="宋体"/>
                <w:kern w:val="0"/>
                <w:szCs w:val="21"/>
              </w:rPr>
            </w:pPr>
          </w:p>
        </w:tc>
        <w:tc>
          <w:tcPr>
            <w:tcW w:w="2000" w:type="dxa"/>
            <w:shd w:val="clear" w:color="auto" w:fill="auto"/>
            <w:vAlign w:val="center"/>
          </w:tcPr>
          <w:p>
            <w:pPr>
              <w:widowControl/>
              <w:jc w:val="center"/>
              <w:rPr>
                <w:rFonts w:ascii="宋体" w:hAnsi="宋体" w:eastAsia="宋体" w:cs="宋体"/>
                <w:kern w:val="0"/>
                <w:szCs w:val="21"/>
              </w:rPr>
            </w:pPr>
          </w:p>
        </w:tc>
        <w:tc>
          <w:tcPr>
            <w:tcW w:w="2000" w:type="dxa"/>
            <w:shd w:val="clear" w:color="auto" w:fill="auto"/>
            <w:vAlign w:val="center"/>
          </w:tcPr>
          <w:p>
            <w:pPr>
              <w:widowControl/>
              <w:jc w:val="center"/>
              <w:rPr>
                <w:rFonts w:ascii="宋体" w:hAnsi="宋体" w:eastAsia="宋体"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p>
        </w:tc>
        <w:tc>
          <w:tcPr>
            <w:tcW w:w="132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本单位无政府性基本收入支出。</w:t>
            </w: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p>
        </w:tc>
        <w:tc>
          <w:tcPr>
            <w:tcW w:w="132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p>
        </w:tc>
        <w:tc>
          <w:tcPr>
            <w:tcW w:w="132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p>
        </w:tc>
        <w:tc>
          <w:tcPr>
            <w:tcW w:w="132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p>
        </w:tc>
        <w:tc>
          <w:tcPr>
            <w:tcW w:w="132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宋体" w:hAnsi="宋体" w:eastAsia="宋体" w:cs="宋体"/>
                <w:kern w:val="0"/>
                <w:szCs w:val="21"/>
              </w:rPr>
            </w:pPr>
          </w:p>
        </w:tc>
        <w:tc>
          <w:tcPr>
            <w:tcW w:w="132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c>
          <w:tcPr>
            <w:tcW w:w="2000" w:type="dxa"/>
            <w:shd w:val="clear" w:color="auto" w:fill="auto"/>
            <w:vAlign w:val="center"/>
          </w:tcPr>
          <w:p>
            <w:pPr>
              <w:widowControl/>
              <w:jc w:val="left"/>
              <w:rPr>
                <w:rFonts w:ascii="宋体" w:hAnsi="宋体" w:eastAsia="宋体" w:cs="宋体"/>
                <w:kern w:val="0"/>
                <w:szCs w:val="21"/>
              </w:rPr>
            </w:pPr>
          </w:p>
        </w:tc>
      </w:tr>
    </w:tbl>
    <w:p>
      <w:pPr>
        <w:widowControl/>
        <w:ind w:firstLine="420" w:firstLineChars="200"/>
        <w:jc w:val="left"/>
        <w:rPr>
          <w:rFonts w:ascii="宋体" w:hAnsi="宋体" w:eastAsia="宋体" w:cs="宋体"/>
          <w:kern w:val="0"/>
          <w:szCs w:val="21"/>
        </w:rPr>
      </w:pPr>
      <w:r>
        <w:rPr>
          <w:rFonts w:hint="eastAsia" w:ascii="宋体" w:hAnsi="宋体" w:eastAsia="宋体" w:cs="宋体"/>
          <w:kern w:val="0"/>
          <w:szCs w:val="21"/>
        </w:rPr>
        <w:t>注：本表反映部门本年度政府性基金预算财政拨款收入、支出及结转和结余情况</w:t>
      </w:r>
    </w:p>
    <w:p>
      <w:pPr>
        <w:widowControl/>
        <w:ind w:firstLine="481"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说明：湘潭县发展和改革局没有政府性基金收入，也没有使用政府性基金安排的支出，故本表无数据。</w:t>
      </w:r>
    </w:p>
    <w:p>
      <w:pPr>
        <w:widowControl/>
        <w:jc w:val="left"/>
        <w:rPr>
          <w:rFonts w:ascii="宋体" w:hAnsi="宋体" w:eastAsia="宋体" w:cs="宋体"/>
          <w:szCs w:val="21"/>
        </w:rPr>
      </w:pPr>
      <w:r>
        <w:rPr>
          <w:rFonts w:hint="eastAsia" w:ascii="宋体" w:hAnsi="宋体" w:eastAsia="宋体" w:cs="宋体"/>
          <w:szCs w:val="21"/>
        </w:rPr>
        <w:br w:type="page"/>
      </w:r>
    </w:p>
    <w:p>
      <w:pPr>
        <w:widowControl/>
        <w:jc w:val="left"/>
        <w:rPr>
          <w:rFonts w:ascii="黑体" w:hAnsi="黑体" w:eastAsia="黑体"/>
          <w:szCs w:val="21"/>
        </w:rPr>
      </w:pPr>
    </w:p>
    <w:p>
      <w:pPr>
        <w:widowControl/>
        <w:jc w:val="left"/>
        <w:rPr>
          <w:rFonts w:ascii="黑体" w:hAnsi="黑体" w:eastAsia="黑体"/>
          <w:szCs w:val="21"/>
        </w:rPr>
      </w:pPr>
    </w:p>
    <w:tbl>
      <w:tblPr>
        <w:tblStyle w:val="10"/>
        <w:tblW w:w="14190" w:type="dxa"/>
        <w:jc w:val="center"/>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jc w:val="center"/>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jc w:val="center"/>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公开08表</w:t>
            </w:r>
          </w:p>
        </w:tc>
      </w:tr>
      <w:tr>
        <w:tblPrEx>
          <w:tblCellMar>
            <w:top w:w="0" w:type="dxa"/>
            <w:left w:w="108" w:type="dxa"/>
            <w:bottom w:w="0" w:type="dxa"/>
            <w:right w:w="108" w:type="dxa"/>
          </w:tblCellMar>
        </w:tblPrEx>
        <w:trPr>
          <w:trHeight w:val="285" w:hRule="atLeast"/>
          <w:jc w:val="center"/>
        </w:trPr>
        <w:tc>
          <w:tcPr>
            <w:tcW w:w="4835"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kern w:val="0"/>
                <w:sz w:val="20"/>
                <w:szCs w:val="20"/>
              </w:rPr>
              <w:t>湘潭县发展和改革局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rPr>
          <w:trHeight w:val="402" w:hRule="atLeast"/>
          <w:jc w:val="center"/>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jc w:val="center"/>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jc w:val="center"/>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jc w:val="center"/>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jc w:val="center"/>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jc w:val="center"/>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本单位无国有资本经营预算财政拨款支出。</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720" w:hRule="atLeast"/>
          <w:jc w:val="center"/>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widowControl/>
        <w:ind w:firstLine="481"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说明：湘潭县发展和改革局没有国有资本经营预算财政拨款支出，故本表无数据。</w:t>
      </w:r>
    </w:p>
    <w:p>
      <w:pPr>
        <w:widowControl/>
        <w:ind w:firstLine="481" w:firstLineChars="200"/>
        <w:jc w:val="left"/>
        <w:rPr>
          <w:rFonts w:ascii="宋体" w:hAnsi="宋体" w:eastAsia="宋体" w:cs="宋体"/>
          <w:b/>
          <w:bCs/>
          <w:kern w:val="0"/>
          <w:sz w:val="24"/>
          <w:szCs w:val="24"/>
        </w:rPr>
      </w:pPr>
    </w:p>
    <w:p>
      <w:pPr>
        <w:widowControl/>
        <w:ind w:firstLine="481" w:firstLineChars="200"/>
        <w:jc w:val="left"/>
        <w:rPr>
          <w:rFonts w:ascii="宋体" w:hAnsi="宋体" w:eastAsia="宋体" w:cs="宋体"/>
          <w:b/>
          <w:bCs/>
          <w:kern w:val="0"/>
          <w:sz w:val="24"/>
          <w:szCs w:val="24"/>
        </w:rPr>
      </w:pPr>
    </w:p>
    <w:p>
      <w:pPr>
        <w:widowControl/>
        <w:ind w:firstLine="481" w:firstLineChars="200"/>
        <w:jc w:val="left"/>
        <w:rPr>
          <w:rFonts w:ascii="宋体" w:hAnsi="宋体" w:eastAsia="宋体" w:cs="宋体"/>
          <w:b/>
          <w:bCs/>
          <w:kern w:val="0"/>
          <w:sz w:val="24"/>
          <w:szCs w:val="24"/>
        </w:rPr>
      </w:pPr>
    </w:p>
    <w:p>
      <w:pPr>
        <w:widowControl/>
        <w:ind w:firstLine="481" w:firstLineChars="200"/>
        <w:jc w:val="left"/>
        <w:rPr>
          <w:rFonts w:ascii="宋体" w:hAnsi="宋体" w:eastAsia="宋体" w:cs="宋体"/>
          <w:b/>
          <w:bCs/>
          <w:kern w:val="0"/>
          <w:sz w:val="24"/>
          <w:szCs w:val="24"/>
        </w:rPr>
      </w:pPr>
    </w:p>
    <w:p>
      <w:pPr>
        <w:widowControl/>
        <w:ind w:firstLine="481" w:firstLineChars="200"/>
        <w:jc w:val="left"/>
        <w:rPr>
          <w:rFonts w:ascii="宋体" w:hAnsi="宋体" w:eastAsia="宋体" w:cs="宋体"/>
          <w:b/>
          <w:bCs/>
          <w:kern w:val="0"/>
          <w:sz w:val="24"/>
          <w:szCs w:val="24"/>
        </w:rPr>
      </w:pPr>
    </w:p>
    <w:p>
      <w:pPr>
        <w:widowControl/>
        <w:ind w:firstLine="481" w:firstLineChars="200"/>
        <w:jc w:val="left"/>
        <w:rPr>
          <w:rFonts w:ascii="宋体" w:hAnsi="宋体" w:eastAsia="宋体" w:cs="宋体"/>
          <w:b/>
          <w:bCs/>
          <w:kern w:val="0"/>
          <w:sz w:val="24"/>
          <w:szCs w:val="24"/>
        </w:rPr>
      </w:pPr>
    </w:p>
    <w:p>
      <w:pPr>
        <w:widowControl/>
        <w:ind w:firstLine="481" w:firstLineChars="200"/>
        <w:jc w:val="left"/>
        <w:rPr>
          <w:rFonts w:ascii="宋体" w:hAnsi="宋体" w:eastAsia="宋体" w:cs="宋体"/>
          <w:b/>
          <w:bCs/>
          <w:kern w:val="0"/>
          <w:sz w:val="24"/>
          <w:szCs w:val="24"/>
        </w:rPr>
      </w:pPr>
    </w:p>
    <w:p>
      <w:pPr>
        <w:widowControl/>
        <w:ind w:firstLine="481" w:firstLineChars="200"/>
        <w:jc w:val="left"/>
        <w:rPr>
          <w:rFonts w:ascii="宋体" w:hAnsi="宋体" w:eastAsia="宋体" w:cs="宋体"/>
          <w:b/>
          <w:bCs/>
          <w:kern w:val="0"/>
          <w:sz w:val="24"/>
          <w:szCs w:val="24"/>
        </w:rPr>
      </w:pPr>
    </w:p>
    <w:p>
      <w:pPr>
        <w:widowControl/>
        <w:ind w:firstLine="481" w:firstLineChars="200"/>
        <w:jc w:val="left"/>
        <w:rPr>
          <w:rFonts w:ascii="宋体" w:hAnsi="宋体" w:eastAsia="宋体" w:cs="宋体"/>
          <w:b/>
          <w:bCs/>
          <w:kern w:val="0"/>
          <w:sz w:val="24"/>
          <w:szCs w:val="24"/>
        </w:rPr>
      </w:pPr>
    </w:p>
    <w:p>
      <w:pPr>
        <w:widowControl/>
        <w:jc w:val="center"/>
        <w:rPr>
          <w:rFonts w:ascii="Times New Roman" w:hAnsi="Times New Roman" w:eastAsia="方正小标宋_GBK" w:cs="Times New Roman"/>
          <w:color w:val="000000"/>
          <w:kern w:val="0"/>
          <w:sz w:val="36"/>
          <w:szCs w:val="36"/>
        </w:rPr>
      </w:pPr>
    </w:p>
    <w:p>
      <w:pPr>
        <w:widowControl/>
        <w:jc w:val="center"/>
        <w:outlineLvl w:val="0"/>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firstLine="420" w:firstLineChars="200"/>
        <w:jc w:val="left"/>
        <w:rPr>
          <w:rFonts w:ascii="宋体" w:hAnsi="宋体" w:eastAsia="宋体" w:cs="宋体"/>
          <w:color w:val="000000"/>
          <w:kern w:val="0"/>
          <w:szCs w:val="21"/>
        </w:rPr>
      </w:pPr>
      <w:r>
        <w:rPr>
          <w:rFonts w:hint="eastAsia" w:ascii="宋体" w:hAnsi="宋体" w:eastAsia="宋体" w:cs="宋体"/>
          <w:color w:val="000000"/>
          <w:kern w:val="0"/>
          <w:szCs w:val="21"/>
        </w:rPr>
        <w:t>部门： 湘潭县发展和改革局                                                                                                   公开09表</w:t>
      </w:r>
    </w:p>
    <w:p>
      <w:pPr>
        <w:widowControl/>
        <w:ind w:right="420"/>
        <w:jc w:val="center"/>
        <w:rPr>
          <w:rFonts w:ascii="宋体" w:hAnsi="宋体" w:eastAsia="宋体" w:cs="宋体"/>
          <w:color w:val="000000"/>
          <w:kern w:val="0"/>
          <w:szCs w:val="21"/>
        </w:rPr>
      </w:pPr>
      <w:r>
        <w:rPr>
          <w:rFonts w:hint="eastAsia" w:ascii="宋体" w:hAnsi="宋体" w:eastAsia="宋体" w:cs="宋体"/>
          <w:color w:val="000000"/>
          <w:kern w:val="0"/>
          <w:szCs w:val="21"/>
        </w:rPr>
        <w:t>单位：万元</w:t>
      </w:r>
    </w:p>
    <w:tbl>
      <w:tblPr>
        <w:tblStyle w:val="10"/>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716"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决算数</w:t>
            </w:r>
          </w:p>
        </w:tc>
      </w:tr>
      <w:tr>
        <w:tblPrEx>
          <w:tblCellMar>
            <w:top w:w="0" w:type="dxa"/>
            <w:left w:w="108" w:type="dxa"/>
            <w:bottom w:w="0" w:type="dxa"/>
            <w:right w:w="108" w:type="dxa"/>
          </w:tblCellMar>
        </w:tblPrEx>
        <w:trPr>
          <w:trHeight w:val="699"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w:t>
            </w:r>
          </w:p>
          <w:p>
            <w:pPr>
              <w:widowControl/>
              <w:jc w:val="center"/>
              <w:rPr>
                <w:rFonts w:ascii="宋体" w:hAnsi="宋体" w:eastAsia="宋体" w:cs="宋体"/>
                <w:kern w:val="0"/>
                <w:szCs w:val="21"/>
              </w:rPr>
            </w:pPr>
            <w:r>
              <w:rPr>
                <w:rFonts w:hint="eastAsia" w:ascii="宋体" w:hAnsi="宋体" w:eastAsia="宋体" w:cs="宋体"/>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w:t>
            </w:r>
          </w:p>
          <w:p>
            <w:pPr>
              <w:widowControl/>
              <w:jc w:val="center"/>
              <w:rPr>
                <w:rFonts w:ascii="宋体" w:hAnsi="宋体" w:eastAsia="宋体" w:cs="宋体"/>
                <w:kern w:val="0"/>
                <w:szCs w:val="21"/>
              </w:rPr>
            </w:pPr>
            <w:r>
              <w:rPr>
                <w:rFonts w:hint="eastAsia" w:ascii="宋体" w:hAnsi="宋体" w:eastAsia="宋体" w:cs="宋体"/>
                <w:kern w:val="0"/>
                <w:szCs w:val="21"/>
              </w:rPr>
              <w:t>接待费</w:t>
            </w:r>
          </w:p>
        </w:tc>
      </w:tr>
      <w:tr>
        <w:tblPrEx>
          <w:tblCellMar>
            <w:top w:w="0" w:type="dxa"/>
            <w:left w:w="108" w:type="dxa"/>
            <w:bottom w:w="0" w:type="dxa"/>
            <w:right w:w="108" w:type="dxa"/>
          </w:tblCellMar>
        </w:tblPrEx>
        <w:trPr>
          <w:trHeight w:val="951"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eastAsia="宋体" w:cs="宋体"/>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w:t>
            </w:r>
            <w:r>
              <w:rPr>
                <w:rFonts w:hint="eastAsia" w:ascii="宋体" w:hAnsi="宋体" w:eastAsia="宋体" w:cs="宋体"/>
                <w:kern w:val="0"/>
                <w:szCs w:val="21"/>
              </w:rPr>
              <w:br w:type="textWrapping"/>
            </w:r>
            <w:r>
              <w:rPr>
                <w:rFonts w:hint="eastAsia" w:ascii="宋体" w:hAnsi="宋体" w:eastAsia="宋体" w:cs="宋体"/>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w:t>
            </w:r>
            <w:r>
              <w:rPr>
                <w:rFonts w:hint="eastAsia" w:ascii="宋体" w:hAnsi="宋体" w:eastAsia="宋体" w:cs="宋体"/>
                <w:kern w:val="0"/>
                <w:szCs w:val="21"/>
              </w:rPr>
              <w:br w:type="textWrapping"/>
            </w:r>
            <w:r>
              <w:rPr>
                <w:rFonts w:hint="eastAsia" w:ascii="宋体" w:hAnsi="宋体" w:eastAsia="宋体" w:cs="宋体"/>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宋体" w:hAnsi="宋体" w:eastAsia="宋体" w:cs="宋体"/>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w:t>
            </w:r>
            <w:r>
              <w:rPr>
                <w:rFonts w:hint="eastAsia" w:ascii="宋体" w:hAnsi="宋体" w:eastAsia="宋体" w:cs="宋体"/>
                <w:kern w:val="0"/>
                <w:szCs w:val="21"/>
              </w:rPr>
              <w:br w:type="textWrapping"/>
            </w:r>
            <w:r>
              <w:rPr>
                <w:rFonts w:hint="eastAsia" w:ascii="宋体" w:hAnsi="宋体" w:eastAsia="宋体" w:cs="宋体"/>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公务用车</w:t>
            </w:r>
            <w:r>
              <w:rPr>
                <w:rFonts w:hint="eastAsia" w:ascii="宋体" w:hAnsi="宋体" w:eastAsia="宋体" w:cs="宋体"/>
                <w:kern w:val="0"/>
                <w:szCs w:val="21"/>
              </w:rPr>
              <w:br w:type="textWrapping"/>
            </w:r>
            <w:r>
              <w:rPr>
                <w:rFonts w:hint="eastAsia" w:ascii="宋体" w:hAnsi="宋体" w:eastAsia="宋体" w:cs="宋体"/>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宋体" w:hAnsi="宋体" w:eastAsia="宋体" w:cs="宋体"/>
                <w:kern w:val="0"/>
                <w:szCs w:val="21"/>
              </w:rPr>
            </w:pPr>
          </w:p>
        </w:tc>
      </w:tr>
      <w:tr>
        <w:tblPrEx>
          <w:tblCellMar>
            <w:top w:w="0" w:type="dxa"/>
            <w:left w:w="108" w:type="dxa"/>
            <w:bottom w:w="0" w:type="dxa"/>
            <w:right w:w="108" w:type="dxa"/>
          </w:tblCellMar>
        </w:tblPrEx>
        <w:trPr>
          <w:trHeight w:val="699"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12</w:t>
            </w:r>
          </w:p>
        </w:tc>
      </w:tr>
      <w:tr>
        <w:tblPrEx>
          <w:tblCellMar>
            <w:top w:w="0" w:type="dxa"/>
            <w:left w:w="108" w:type="dxa"/>
            <w:bottom w:w="0" w:type="dxa"/>
            <w:right w:w="108" w:type="dxa"/>
          </w:tblCellMar>
        </w:tblPrEx>
        <w:trPr>
          <w:trHeight w:val="733"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b/>
                <w:szCs w:val="21"/>
              </w:rPr>
            </w:pPr>
            <w:r>
              <w:rPr>
                <w:rFonts w:hint="eastAsia" w:asciiTheme="majorEastAsia" w:hAnsiTheme="majorEastAsia" w:eastAsiaTheme="majorEastAsia"/>
                <w:b/>
                <w:szCs w:val="21"/>
              </w:rPr>
              <w:t>9.80</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0</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4.8</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0</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4.8</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5.0</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b/>
                <w:szCs w:val="21"/>
              </w:rPr>
            </w:pPr>
            <w:r>
              <w:rPr>
                <w:rFonts w:hint="eastAsia" w:asciiTheme="majorEastAsia" w:hAnsiTheme="majorEastAsia" w:eastAsiaTheme="majorEastAsia"/>
                <w:b/>
                <w:szCs w:val="21"/>
              </w:rPr>
              <w:t>4.62</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0</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4.48</w:t>
            </w:r>
          </w:p>
        </w:tc>
        <w:tc>
          <w:tcPr>
            <w:tcW w:w="1220" w:type="dxa"/>
            <w:tcBorders>
              <w:top w:val="nil"/>
              <w:left w:val="nil"/>
              <w:bottom w:val="single" w:color="auto" w:sz="8"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0</w:t>
            </w:r>
          </w:p>
        </w:tc>
        <w:tc>
          <w:tcPr>
            <w:tcW w:w="1220" w:type="dxa"/>
            <w:tcBorders>
              <w:top w:val="nil"/>
              <w:left w:val="nil"/>
              <w:bottom w:val="single" w:color="auto" w:sz="8" w:space="0"/>
              <w:right w:val="nil"/>
            </w:tcBorders>
            <w:shd w:val="clear" w:color="auto" w:fill="auto"/>
            <w:vAlign w:val="center"/>
          </w:tcPr>
          <w:p>
            <w:pPr>
              <w:jc w:val="center"/>
              <w:rPr>
                <w:rFonts w:cs="宋体" w:asciiTheme="majorEastAsia" w:hAnsiTheme="majorEastAsia" w:eastAsiaTheme="majorEastAsia"/>
                <w:szCs w:val="21"/>
              </w:rPr>
            </w:pPr>
            <w:r>
              <w:rPr>
                <w:rFonts w:hint="eastAsia" w:asciiTheme="majorEastAsia" w:hAnsiTheme="majorEastAsia" w:eastAsiaTheme="majorEastAsia"/>
                <w:szCs w:val="21"/>
              </w:rPr>
              <w:t>4.48</w:t>
            </w:r>
          </w:p>
        </w:tc>
        <w:tc>
          <w:tcPr>
            <w:tcW w:w="1220" w:type="dxa"/>
            <w:tcBorders>
              <w:top w:val="nil"/>
              <w:left w:val="single" w:color="auto" w:sz="4" w:space="0"/>
              <w:bottom w:val="single" w:color="auto" w:sz="8" w:space="0"/>
              <w:right w:val="single" w:color="auto" w:sz="8" w:space="0"/>
            </w:tcBorders>
            <w:shd w:val="clear" w:color="auto" w:fill="auto"/>
            <w:vAlign w:val="center"/>
          </w:tcPr>
          <w:p>
            <w:pPr>
              <w:jc w:val="center"/>
              <w:rPr>
                <w:rFonts w:cs="宋体" w:asciiTheme="majorEastAsia" w:hAnsiTheme="majorEastAsia" w:eastAsiaTheme="majorEastAsia"/>
                <w:bCs/>
                <w:szCs w:val="21"/>
              </w:rPr>
            </w:pPr>
            <w:r>
              <w:rPr>
                <w:rFonts w:hint="eastAsia" w:asciiTheme="majorEastAsia" w:hAnsiTheme="majorEastAsia" w:eastAsiaTheme="majorEastAsia"/>
                <w:bCs/>
                <w:szCs w:val="21"/>
              </w:rPr>
              <w:t>0.14</w:t>
            </w:r>
          </w:p>
        </w:tc>
      </w:tr>
    </w:tbl>
    <w:p>
      <w:pPr>
        <w:widowControl/>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ascii="宋体" w:hAns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ind w:firstLine="481" w:firstLineChars="200"/>
        <w:jc w:val="left"/>
        <w:rPr>
          <w:rFonts w:ascii="宋体" w:hAnsi="宋体" w:eastAsia="宋体" w:cs="宋体"/>
          <w:b/>
          <w:bCs/>
          <w:kern w:val="0"/>
          <w:sz w:val="24"/>
          <w:szCs w:val="24"/>
        </w:rPr>
        <w:sectPr>
          <w:pgSz w:w="16838" w:h="11906" w:orient="landscape"/>
          <w:pgMar w:top="720" w:right="720" w:bottom="720" w:left="720" w:header="851" w:footer="992" w:gutter="0"/>
          <w:cols w:space="425" w:num="1"/>
          <w:docGrid w:linePitch="312" w:charSpace="0"/>
        </w:sectPr>
      </w:pPr>
    </w:p>
    <w:p>
      <w:pPr>
        <w:pStyle w:val="15"/>
        <w:rPr>
          <w:sz w:val="72"/>
          <w:szCs w:val="72"/>
        </w:rPr>
      </w:pPr>
    </w:p>
    <w:p>
      <w:pPr>
        <w:pStyle w:val="15"/>
        <w:rPr>
          <w:sz w:val="72"/>
          <w:szCs w:val="72"/>
        </w:rPr>
      </w:pPr>
    </w:p>
    <w:p>
      <w:pPr>
        <w:pStyle w:val="15"/>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r>
        <w:rPr>
          <w:rFonts w:hint="eastAsia"/>
          <w:sz w:val="72"/>
          <w:szCs w:val="72"/>
        </w:rPr>
        <w:t>第三部分</w:t>
      </w:r>
    </w:p>
    <w:p>
      <w:pPr>
        <w:pStyle w:val="15"/>
        <w:jc w:val="center"/>
        <w:rPr>
          <w:sz w:val="70"/>
          <w:szCs w:val="70"/>
        </w:rPr>
      </w:pPr>
    </w:p>
    <w:p>
      <w:pPr>
        <w:pStyle w:val="15"/>
        <w:jc w:val="center"/>
        <w:outlineLvl w:val="0"/>
        <w:rPr>
          <w:sz w:val="70"/>
          <w:szCs w:val="70"/>
        </w:rPr>
      </w:pPr>
      <w:r>
        <w:rPr>
          <w:sz w:val="70"/>
          <w:szCs w:val="70"/>
        </w:rPr>
        <w:t>20</w:t>
      </w:r>
      <w:r>
        <w:rPr>
          <w:rFonts w:hint="eastAsia"/>
          <w:sz w:val="70"/>
          <w:szCs w:val="70"/>
        </w:rPr>
        <w:t>23年度部门决算情况说明</w:t>
      </w:r>
    </w:p>
    <w:p>
      <w:pPr>
        <w:widowControl/>
        <w:jc w:val="left"/>
        <w:rPr>
          <w:rFonts w:ascii="黑体" w:eastAsia="黑体" w:cs="黑体"/>
          <w:color w:val="000000"/>
          <w:kern w:val="0"/>
          <w:sz w:val="70"/>
          <w:szCs w:val="70"/>
        </w:rPr>
      </w:pPr>
      <w:r>
        <w:rPr>
          <w:sz w:val="70"/>
          <w:szCs w:val="70"/>
        </w:rPr>
        <w:br w:type="page"/>
      </w:r>
    </w:p>
    <w:p>
      <w:pPr>
        <w:pStyle w:val="15"/>
        <w:rPr>
          <w:rFonts w:asciiTheme="minorEastAsia" w:hAnsiTheme="minorEastAsia" w:eastAsiaTheme="minorEastAsia"/>
          <w:sz w:val="32"/>
          <w:szCs w:val="32"/>
        </w:rPr>
      </w:pPr>
    </w:p>
    <w:p>
      <w:pPr>
        <w:pStyle w:val="15"/>
        <w:spacing w:line="600" w:lineRule="exact"/>
        <w:ind w:firstLine="642" w:firstLineChars="200"/>
        <w:outlineLvl w:val="0"/>
        <w:rPr>
          <w:rFonts w:hAnsi="黑体"/>
          <w:b/>
          <w:sz w:val="32"/>
          <w:szCs w:val="32"/>
        </w:rPr>
      </w:pPr>
      <w:r>
        <w:rPr>
          <w:rFonts w:hint="eastAsia" w:hAnsi="黑体"/>
          <w:b/>
          <w:sz w:val="32"/>
          <w:szCs w:val="32"/>
        </w:rPr>
        <w:t>一、收入支出决算总体情况说明</w:t>
      </w:r>
    </w:p>
    <w:p>
      <w:pPr>
        <w:pStyle w:val="15"/>
        <w:spacing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2023度收、支总计4,847.96万元</w:t>
      </w:r>
      <w:r>
        <w:rPr>
          <w:rFonts w:hint="eastAsia" w:ascii="仿宋" w:hAnsi="仿宋" w:eastAsia="仿宋" w:cs="仿宋"/>
          <w:sz w:val="32"/>
          <w:szCs w:val="32"/>
        </w:rPr>
        <w:t>（收入总计含年初结转和结余资金470.63万元；支出总计含年末结转和结余资金562.64万元）</w:t>
      </w:r>
      <w:r>
        <w:rPr>
          <w:rFonts w:hint="eastAsia" w:ascii="仿宋" w:hAnsi="仿宋" w:eastAsia="仿宋" w:cs="仿宋"/>
          <w:color w:val="auto"/>
          <w:sz w:val="32"/>
          <w:szCs w:val="32"/>
        </w:rPr>
        <w:t>。与上年相比，减少671.77万元，减少12.17%，主要是因为上级专项资金减少。</w:t>
      </w:r>
    </w:p>
    <w:p>
      <w:pPr>
        <w:pStyle w:val="15"/>
        <w:spacing w:line="600" w:lineRule="exact"/>
        <w:ind w:firstLine="642" w:firstLineChars="200"/>
        <w:rPr>
          <w:rFonts w:hAnsi="黑体"/>
          <w:b/>
          <w:sz w:val="32"/>
          <w:szCs w:val="32"/>
        </w:rPr>
      </w:pPr>
      <w:r>
        <w:rPr>
          <w:rFonts w:hint="eastAsia" w:hAnsi="黑体"/>
          <w:b/>
          <w:sz w:val="32"/>
          <w:szCs w:val="32"/>
        </w:rPr>
        <w:t>二、收入决算情况说明</w:t>
      </w:r>
    </w:p>
    <w:p>
      <w:pPr>
        <w:pStyle w:val="15"/>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2023年度收入合计4,377.33万元，其中：财政拨款收入3,906.95万元，占89.25%；上级补助收入0万元，占0%；事业收入0万元，占0%；经营收入0万元，占0%；附属单位上缴收入0万元，占0%；其他收入470.38万元，占10.75%。</w:t>
      </w:r>
    </w:p>
    <w:p>
      <w:pPr>
        <w:pStyle w:val="15"/>
        <w:spacing w:line="600" w:lineRule="exact"/>
        <w:ind w:firstLine="642" w:firstLineChars="200"/>
        <w:outlineLvl w:val="0"/>
        <w:rPr>
          <w:rFonts w:hAnsi="黑体"/>
          <w:b/>
          <w:sz w:val="32"/>
          <w:szCs w:val="32"/>
        </w:rPr>
      </w:pPr>
      <w:r>
        <w:rPr>
          <w:rFonts w:hint="eastAsia" w:hAnsi="黑体"/>
          <w:b/>
          <w:sz w:val="32"/>
          <w:szCs w:val="32"/>
        </w:rPr>
        <w:t>三、支出决算情况说明</w:t>
      </w:r>
    </w:p>
    <w:p>
      <w:pPr>
        <w:pStyle w:val="15"/>
        <w:spacing w:line="600" w:lineRule="exact"/>
        <w:ind w:firstLine="640" w:firstLineChars="200"/>
        <w:rPr>
          <w:rFonts w:asciiTheme="minorEastAsia" w:hAnsiTheme="minorEastAsia" w:eastAsiaTheme="minorEastAsia"/>
          <w:sz w:val="32"/>
          <w:szCs w:val="32"/>
        </w:rPr>
      </w:pPr>
      <w:r>
        <w:rPr>
          <w:rFonts w:hint="eastAsia" w:ascii="仿宋" w:hAnsi="仿宋" w:eastAsia="仿宋" w:cs="仿宋"/>
          <w:sz w:val="32"/>
          <w:szCs w:val="32"/>
        </w:rPr>
        <w:t>2023年度支出合计4,285.32万元，其中：基本支出900.10万元，占21%；项目支出3,385.22万元，占79%；上缴上级支出0万元，占0%；经营支出0万元，占0%；对附属单位补助支出0万元，占0%。</w:t>
      </w:r>
    </w:p>
    <w:p>
      <w:pPr>
        <w:pStyle w:val="15"/>
        <w:spacing w:line="600" w:lineRule="exact"/>
        <w:ind w:firstLine="642" w:firstLineChars="200"/>
        <w:outlineLvl w:val="0"/>
        <w:rPr>
          <w:rFonts w:hAnsi="黑体"/>
          <w:b/>
          <w:sz w:val="32"/>
          <w:szCs w:val="32"/>
        </w:rPr>
      </w:pPr>
      <w:r>
        <w:rPr>
          <w:rFonts w:hint="eastAsia" w:hAnsi="黑体"/>
          <w:b/>
          <w:sz w:val="32"/>
          <w:szCs w:val="32"/>
        </w:rPr>
        <w:t>四、财政拨款收入支出决算总体情况说明</w:t>
      </w:r>
    </w:p>
    <w:p>
      <w:pPr>
        <w:pStyle w:val="15"/>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2023年度财政拨款收、支总计3,906.95万元，与上年相比，减少226.55万元, 减少5.48%，主要是因为上级专项资金减少。</w:t>
      </w:r>
    </w:p>
    <w:p>
      <w:pPr>
        <w:pStyle w:val="15"/>
        <w:spacing w:line="600" w:lineRule="exact"/>
        <w:ind w:firstLine="642" w:firstLineChars="200"/>
        <w:outlineLvl w:val="0"/>
        <w:rPr>
          <w:rFonts w:hAnsi="黑体"/>
          <w:b/>
          <w:sz w:val="32"/>
          <w:szCs w:val="32"/>
        </w:rPr>
      </w:pPr>
      <w:r>
        <w:rPr>
          <w:rFonts w:hint="eastAsia" w:hAnsi="黑体"/>
          <w:b/>
          <w:sz w:val="32"/>
          <w:szCs w:val="32"/>
        </w:rPr>
        <w:t>五、一般公共预算财政拨款支出决算情况说明</w:t>
      </w:r>
    </w:p>
    <w:p>
      <w:pPr>
        <w:pStyle w:val="15"/>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pPr>
        <w:pStyle w:val="15"/>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2023年度财政拨款支出3,906.95万元，占本年支出合计的91.17%，与上年相比，财政拨款支出减少226.55万元, 减少5.48%，主要是因为上级专项资金减少。</w:t>
      </w:r>
    </w:p>
    <w:p>
      <w:pPr>
        <w:pStyle w:val="15"/>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pPr>
        <w:pStyle w:val="15"/>
        <w:spacing w:line="60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2023年度财政拨款支出3,906.95万元，主要用于以下方面：一般公共服务（类）支出1,533.02万元，占39.24%；社会保障和就业（类)支出124.44万元，占3.18%；卫生健康（类)支出30.46万元，占0.78%；资源勘探工业信息（类）支出232.86万元，占5.96%；商业服务业（类）支出70.00万元，占1.79%；住房保障（类）支出45.24万元，占1.16%；粮油物资储备（类）支出1,820.93万元，占46.61%；灾害防治及应急管理（类）支出50.00万元，占1.28%。</w:t>
      </w:r>
    </w:p>
    <w:p>
      <w:pPr>
        <w:pStyle w:val="15"/>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pPr>
        <w:pStyle w:val="15"/>
        <w:spacing w:line="600" w:lineRule="exact"/>
        <w:ind w:firstLine="800" w:firstLineChars="250"/>
        <w:rPr>
          <w:rFonts w:ascii="仿宋" w:hAnsi="仿宋" w:eastAsia="仿宋" w:cs="仿宋"/>
          <w:sz w:val="32"/>
          <w:szCs w:val="32"/>
        </w:rPr>
      </w:pPr>
      <w:r>
        <w:rPr>
          <w:rFonts w:hint="eastAsia" w:ascii="仿宋" w:hAnsi="仿宋" w:eastAsia="仿宋" w:cs="仿宋"/>
          <w:sz w:val="32"/>
          <w:szCs w:val="32"/>
        </w:rPr>
        <w:t>2023年度财政拨款支出年初预算数</w:t>
      </w:r>
      <w:r>
        <w:rPr>
          <w:rFonts w:hint="eastAsia" w:ascii="仿宋" w:hAnsi="仿宋" w:eastAsia="仿宋" w:cs="仿宋"/>
          <w:color w:val="auto"/>
          <w:sz w:val="32"/>
          <w:szCs w:val="32"/>
        </w:rPr>
        <w:t>为2,131.01万元，支出决</w:t>
      </w:r>
      <w:r>
        <w:rPr>
          <w:rFonts w:hint="eastAsia" w:ascii="仿宋" w:hAnsi="仿宋" w:eastAsia="仿宋" w:cs="仿宋"/>
          <w:sz w:val="32"/>
          <w:szCs w:val="32"/>
        </w:rPr>
        <w:t>算数为3,906.95万元，完成年初预算的183.34%，其中：</w:t>
      </w:r>
    </w:p>
    <w:p>
      <w:pPr>
        <w:pStyle w:val="15"/>
        <w:spacing w:line="600" w:lineRule="exact"/>
        <w:ind w:firstLine="800" w:firstLineChars="250"/>
        <w:outlineLvl w:val="2"/>
        <w:rPr>
          <w:rFonts w:ascii="仿宋" w:hAnsi="仿宋" w:eastAsia="仿宋" w:cs="仿宋"/>
          <w:sz w:val="32"/>
          <w:szCs w:val="32"/>
        </w:rPr>
      </w:pPr>
      <w:r>
        <w:rPr>
          <w:rFonts w:hint="eastAsia" w:ascii="仿宋" w:hAnsi="仿宋" w:eastAsia="仿宋" w:cs="仿宋"/>
          <w:sz w:val="32"/>
          <w:szCs w:val="32"/>
        </w:rPr>
        <w:t>1、一般公共服务</w:t>
      </w:r>
      <w:r>
        <w:rPr>
          <w:rFonts w:hint="eastAsia" w:ascii="仿宋" w:hAnsi="仿宋" w:eastAsia="仿宋" w:cs="仿宋"/>
          <w:color w:val="auto"/>
          <w:sz w:val="32"/>
          <w:szCs w:val="32"/>
        </w:rPr>
        <w:t>支出</w:t>
      </w:r>
      <w:r>
        <w:rPr>
          <w:rFonts w:hint="eastAsia" w:ascii="仿宋" w:hAnsi="仿宋" w:eastAsia="仿宋" w:cs="仿宋"/>
          <w:sz w:val="32"/>
          <w:szCs w:val="32"/>
        </w:rPr>
        <w:t>（类）发展与改革事务（款）行政运行（项）。</w:t>
      </w:r>
    </w:p>
    <w:p>
      <w:pPr>
        <w:pStyle w:val="15"/>
        <w:spacing w:line="600" w:lineRule="exact"/>
        <w:ind w:firstLine="800" w:firstLineChars="250"/>
        <w:rPr>
          <w:rFonts w:ascii="仿宋" w:hAnsi="仿宋" w:eastAsia="仿宋" w:cs="仿宋"/>
          <w:sz w:val="32"/>
          <w:szCs w:val="32"/>
        </w:rPr>
      </w:pPr>
      <w:r>
        <w:rPr>
          <w:rFonts w:hint="eastAsia" w:ascii="仿宋" w:hAnsi="仿宋" w:eastAsia="仿宋" w:cs="仿宋"/>
          <w:sz w:val="32"/>
          <w:szCs w:val="32"/>
        </w:rPr>
        <w:t>年初预算为506.02万元，支出</w:t>
      </w:r>
      <w:r>
        <w:rPr>
          <w:rFonts w:hint="eastAsia" w:ascii="仿宋" w:hAnsi="仿宋" w:eastAsia="仿宋" w:cs="仿宋"/>
          <w:color w:val="auto"/>
          <w:sz w:val="32"/>
          <w:szCs w:val="32"/>
        </w:rPr>
        <w:t>决算为567.13万元，完成年初预算的112.08%，决算数大于年初预算数的主要原因是：使用上年结</w:t>
      </w:r>
      <w:r>
        <w:rPr>
          <w:rFonts w:hint="eastAsia" w:ascii="仿宋" w:hAnsi="仿宋" w:eastAsia="仿宋" w:cs="仿宋"/>
          <w:sz w:val="32"/>
          <w:szCs w:val="32"/>
        </w:rPr>
        <w:t>余资金及年中追加指标。</w:t>
      </w:r>
    </w:p>
    <w:p>
      <w:pPr>
        <w:pStyle w:val="15"/>
        <w:spacing w:line="600" w:lineRule="exact"/>
        <w:ind w:firstLine="800" w:firstLineChars="250"/>
        <w:outlineLvl w:val="2"/>
        <w:rPr>
          <w:rFonts w:ascii="仿宋" w:hAnsi="仿宋" w:eastAsia="仿宋" w:cs="仿宋"/>
          <w:sz w:val="32"/>
          <w:szCs w:val="32"/>
        </w:rPr>
      </w:pPr>
      <w:r>
        <w:rPr>
          <w:rFonts w:hint="eastAsia" w:ascii="仿宋" w:hAnsi="仿宋" w:eastAsia="仿宋" w:cs="仿宋"/>
          <w:sz w:val="32"/>
          <w:szCs w:val="32"/>
        </w:rPr>
        <w:t>2、一般公共服务</w:t>
      </w:r>
      <w:r>
        <w:rPr>
          <w:rFonts w:hint="eastAsia" w:ascii="仿宋" w:hAnsi="仿宋" w:eastAsia="仿宋" w:cs="仿宋"/>
          <w:color w:val="auto"/>
          <w:sz w:val="32"/>
          <w:szCs w:val="32"/>
        </w:rPr>
        <w:t>支出</w:t>
      </w:r>
      <w:r>
        <w:rPr>
          <w:rFonts w:hint="eastAsia" w:ascii="仿宋" w:hAnsi="仿宋" w:eastAsia="仿宋" w:cs="仿宋"/>
          <w:sz w:val="32"/>
          <w:szCs w:val="32"/>
        </w:rPr>
        <w:t>（类）发展与改革事务（款）一般行政管理事务（项）。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sz w:val="32"/>
          <w:szCs w:val="32"/>
        </w:rPr>
        <w:t>年初预算为351.60万元，支出</w:t>
      </w:r>
      <w:r>
        <w:rPr>
          <w:rFonts w:hint="eastAsia" w:ascii="仿宋" w:hAnsi="仿宋" w:eastAsia="仿宋" w:cs="仿宋"/>
          <w:color w:val="auto"/>
          <w:sz w:val="32"/>
          <w:szCs w:val="32"/>
        </w:rPr>
        <w:t>决算为355.72万元，完成年初预算的101.17%，决算数大于年初预算数的主要原因是:上年部分支出在本年支付。</w:t>
      </w:r>
    </w:p>
    <w:p>
      <w:pPr>
        <w:pStyle w:val="15"/>
        <w:spacing w:line="600" w:lineRule="exact"/>
        <w:ind w:firstLine="800" w:firstLineChars="250"/>
        <w:outlineLvl w:val="2"/>
        <w:rPr>
          <w:rFonts w:ascii="仿宋" w:hAnsi="仿宋" w:eastAsia="仿宋" w:cs="仿宋"/>
          <w:sz w:val="32"/>
          <w:szCs w:val="32"/>
        </w:rPr>
      </w:pPr>
      <w:r>
        <w:rPr>
          <w:rFonts w:hint="eastAsia" w:ascii="仿宋" w:hAnsi="仿宋" w:eastAsia="仿宋" w:cs="仿宋"/>
          <w:sz w:val="32"/>
          <w:szCs w:val="32"/>
        </w:rPr>
        <w:t>3、一般公共服务</w:t>
      </w:r>
      <w:r>
        <w:rPr>
          <w:rFonts w:hint="eastAsia" w:ascii="仿宋" w:hAnsi="仿宋" w:eastAsia="仿宋" w:cs="仿宋"/>
          <w:color w:val="auto"/>
          <w:sz w:val="32"/>
          <w:szCs w:val="32"/>
        </w:rPr>
        <w:t>支出</w:t>
      </w:r>
      <w:r>
        <w:rPr>
          <w:rFonts w:hint="eastAsia" w:ascii="仿宋" w:hAnsi="仿宋" w:eastAsia="仿宋" w:cs="仿宋"/>
          <w:sz w:val="32"/>
          <w:szCs w:val="32"/>
        </w:rPr>
        <w:t>（类）发展与改革事务（款）战略规划与实施（项）。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color w:val="auto"/>
          <w:sz w:val="32"/>
          <w:szCs w:val="32"/>
        </w:rPr>
        <w:t>年初预算为0万元，支出决算为5.00万元，预算金额为0，无法计算超出百分比。决算数大于年初预算数的主要原因是：使用上年结余资金支付项目支出。</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color w:val="auto"/>
          <w:sz w:val="32"/>
          <w:szCs w:val="32"/>
        </w:rPr>
        <w:t>4、一般公共服务支出（类）发展与改革事务（款） 社会事业发展规划（项）。</w:t>
      </w:r>
    </w:p>
    <w:p>
      <w:pPr>
        <w:pStyle w:val="15"/>
        <w:spacing w:line="600" w:lineRule="exact"/>
        <w:ind w:firstLine="800" w:firstLineChars="250"/>
        <w:rPr>
          <w:rFonts w:ascii="仿宋" w:hAnsi="仿宋" w:eastAsia="仿宋" w:cs="仿宋"/>
          <w:sz w:val="32"/>
          <w:szCs w:val="32"/>
        </w:rPr>
      </w:pPr>
      <w:r>
        <w:rPr>
          <w:rFonts w:hint="eastAsia" w:ascii="仿宋" w:hAnsi="仿宋" w:eastAsia="仿宋" w:cs="仿宋"/>
          <w:color w:val="auto"/>
          <w:sz w:val="32"/>
          <w:szCs w:val="32"/>
        </w:rPr>
        <w:t>年初预算为0万元，支出决算为154.50万元，预算金额为0，无法计算超出百分比。</w:t>
      </w:r>
      <w:r>
        <w:rPr>
          <w:rFonts w:hint="eastAsia" w:ascii="仿宋" w:hAnsi="仿宋" w:eastAsia="仿宋" w:cs="仿宋"/>
          <w:sz w:val="32"/>
          <w:szCs w:val="32"/>
        </w:rPr>
        <w:t>决算数</w:t>
      </w:r>
      <w:r>
        <w:rPr>
          <w:rFonts w:hint="eastAsia" w:ascii="仿宋" w:hAnsi="仿宋" w:eastAsia="仿宋" w:cs="仿宋"/>
          <w:color w:val="auto"/>
          <w:sz w:val="32"/>
          <w:szCs w:val="32"/>
        </w:rPr>
        <w:t>大于</w:t>
      </w:r>
      <w:r>
        <w:rPr>
          <w:rFonts w:hint="eastAsia" w:ascii="仿宋" w:hAnsi="仿宋" w:eastAsia="仿宋" w:cs="仿宋"/>
          <w:sz w:val="32"/>
          <w:szCs w:val="32"/>
        </w:rPr>
        <w:t>年初预算数的主要原因是:年中追</w:t>
      </w:r>
      <w:r>
        <w:rPr>
          <w:rFonts w:hint="eastAsia" w:ascii="仿宋" w:hAnsi="仿宋" w:eastAsia="仿宋" w:cs="仿宋"/>
          <w:color w:val="auto"/>
          <w:sz w:val="32"/>
          <w:szCs w:val="32"/>
        </w:rPr>
        <w:t>加专项项</w:t>
      </w:r>
      <w:r>
        <w:rPr>
          <w:rFonts w:hint="eastAsia" w:ascii="仿宋" w:hAnsi="仿宋" w:eastAsia="仿宋" w:cs="仿宋"/>
          <w:sz w:val="32"/>
          <w:szCs w:val="32"/>
        </w:rPr>
        <w:t>目经费。</w:t>
      </w:r>
    </w:p>
    <w:p>
      <w:pPr>
        <w:pStyle w:val="15"/>
        <w:spacing w:line="600" w:lineRule="exact"/>
        <w:ind w:firstLine="800" w:firstLineChars="250"/>
        <w:rPr>
          <w:rFonts w:ascii="仿宋" w:hAnsi="仿宋" w:eastAsia="仿宋" w:cs="仿宋"/>
          <w:sz w:val="32"/>
          <w:szCs w:val="32"/>
        </w:rPr>
      </w:pPr>
      <w:r>
        <w:rPr>
          <w:rFonts w:hint="eastAsia" w:ascii="仿宋" w:hAnsi="仿宋" w:eastAsia="仿宋" w:cs="仿宋"/>
          <w:sz w:val="32"/>
          <w:szCs w:val="32"/>
        </w:rPr>
        <w:t>5、一般公共服务</w:t>
      </w:r>
      <w:r>
        <w:rPr>
          <w:rFonts w:hint="eastAsia" w:ascii="仿宋" w:hAnsi="仿宋" w:eastAsia="仿宋" w:cs="仿宋"/>
          <w:color w:val="auto"/>
          <w:sz w:val="32"/>
          <w:szCs w:val="32"/>
        </w:rPr>
        <w:t>支出</w:t>
      </w:r>
      <w:r>
        <w:rPr>
          <w:rFonts w:hint="eastAsia" w:ascii="仿宋" w:hAnsi="仿宋" w:eastAsia="仿宋" w:cs="仿宋"/>
          <w:sz w:val="32"/>
          <w:szCs w:val="32"/>
        </w:rPr>
        <w:t>（类）发展与改革事务（款） 其他发展与改革事务支出（项）。</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sz w:val="32"/>
          <w:szCs w:val="32"/>
        </w:rPr>
        <w:t>年初预算为8.88万元，支</w:t>
      </w:r>
      <w:r>
        <w:rPr>
          <w:rFonts w:hint="eastAsia" w:ascii="仿宋" w:hAnsi="仿宋" w:eastAsia="仿宋" w:cs="仿宋"/>
          <w:color w:val="auto"/>
          <w:sz w:val="32"/>
          <w:szCs w:val="32"/>
        </w:rPr>
        <w:t>出决算为446.87万元，完成年初预算的5,032.32%，决算数大于年初预算数的主要原因是：</w:t>
      </w:r>
      <w:r>
        <w:rPr>
          <w:rFonts w:hint="eastAsia" w:ascii="仿宋" w:hAnsi="仿宋" w:eastAsia="仿宋" w:cs="仿宋"/>
          <w:color w:val="auto"/>
          <w:sz w:val="32"/>
          <w:szCs w:val="32"/>
          <w:lang w:val="en-US" w:eastAsia="zh-CN"/>
        </w:rPr>
        <w:t>年中追加</w:t>
      </w:r>
      <w:r>
        <w:rPr>
          <w:rFonts w:hint="eastAsia" w:ascii="仿宋" w:hAnsi="仿宋" w:eastAsia="仿宋" w:cs="仿宋"/>
          <w:color w:val="auto"/>
          <w:sz w:val="32"/>
          <w:szCs w:val="32"/>
        </w:rPr>
        <w:t>上级专项资金。</w:t>
      </w:r>
    </w:p>
    <w:p>
      <w:pPr>
        <w:pStyle w:val="15"/>
        <w:spacing w:line="600" w:lineRule="exact"/>
        <w:ind w:firstLine="800" w:firstLineChars="250"/>
        <w:outlineLvl w:val="2"/>
        <w:rPr>
          <w:rFonts w:ascii="仿宋" w:hAnsi="仿宋" w:eastAsia="仿宋" w:cs="仿宋"/>
          <w:sz w:val="32"/>
          <w:szCs w:val="32"/>
        </w:rPr>
      </w:pPr>
      <w:r>
        <w:rPr>
          <w:rFonts w:hint="eastAsia" w:ascii="仿宋" w:hAnsi="仿宋" w:eastAsia="仿宋" w:cs="仿宋"/>
          <w:sz w:val="32"/>
          <w:szCs w:val="32"/>
        </w:rPr>
        <w:t>6、一般公共服务</w:t>
      </w:r>
      <w:r>
        <w:rPr>
          <w:rFonts w:hint="eastAsia" w:ascii="仿宋" w:hAnsi="仿宋" w:eastAsia="仿宋" w:cs="仿宋"/>
          <w:color w:val="auto"/>
          <w:sz w:val="32"/>
          <w:szCs w:val="32"/>
        </w:rPr>
        <w:t>支出</w:t>
      </w:r>
      <w:r>
        <w:rPr>
          <w:rFonts w:hint="eastAsia" w:ascii="仿宋" w:hAnsi="仿宋" w:eastAsia="仿宋" w:cs="仿宋"/>
          <w:sz w:val="32"/>
          <w:szCs w:val="32"/>
        </w:rPr>
        <w:t>（类）商贸事务（款）其他商贸事务支出（项）。</w:t>
      </w:r>
    </w:p>
    <w:p>
      <w:pPr>
        <w:pStyle w:val="15"/>
        <w:spacing w:line="600" w:lineRule="exact"/>
        <w:ind w:firstLine="800" w:firstLineChars="250"/>
        <w:rPr>
          <w:rFonts w:ascii="仿宋" w:hAnsi="仿宋" w:eastAsia="仿宋" w:cs="仿宋"/>
          <w:sz w:val="32"/>
          <w:szCs w:val="32"/>
        </w:rPr>
      </w:pPr>
      <w:r>
        <w:rPr>
          <w:rFonts w:hint="eastAsia" w:ascii="仿宋" w:hAnsi="仿宋" w:eastAsia="仿宋" w:cs="仿宋"/>
          <w:sz w:val="32"/>
          <w:szCs w:val="32"/>
        </w:rPr>
        <w:t>年初预算为0万元，支出</w:t>
      </w:r>
      <w:r>
        <w:rPr>
          <w:rFonts w:hint="eastAsia" w:ascii="仿宋" w:hAnsi="仿宋" w:eastAsia="仿宋" w:cs="仿宋"/>
          <w:color w:val="auto"/>
          <w:sz w:val="32"/>
          <w:szCs w:val="32"/>
        </w:rPr>
        <w:t>决算为3.80万元，预算金额为0，无法计算超出百分比。决算数大于年初预算数的主要原因是：</w:t>
      </w:r>
      <w:r>
        <w:rPr>
          <w:rFonts w:hint="eastAsia" w:ascii="仿宋" w:hAnsi="仿宋" w:eastAsia="仿宋" w:cs="仿宋"/>
          <w:sz w:val="32"/>
          <w:szCs w:val="32"/>
        </w:rPr>
        <w:t>年中追加指标支出。</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7、社会保障和就业支出（类）行政事业单位养老支出（款）机关事业单位基本养老保险缴费支出（项）。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color w:val="auto"/>
          <w:sz w:val="32"/>
          <w:szCs w:val="32"/>
        </w:rPr>
        <w:t>年初预算为52.71万元，支出决算为52.71万元，完成年初预算的100%。</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8、社会保障和就业支出（类）行政事业单位养老支出（款）机关事业单位职业年金缴费支出（项）。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color w:val="auto"/>
          <w:sz w:val="32"/>
          <w:szCs w:val="32"/>
        </w:rPr>
        <w:t>年初预算为0万元，支出决算为13.18万元，预算金额为0，无法计算超出百分比。决算数大于年初预算数的主要原因是：年中追加退休人员职业年金个人账户记实资金。</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9、社会保障和就业支出（类）行政事业单位养老支出（款）对机关事业单位职业年金的补助（项）。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color w:val="auto"/>
          <w:sz w:val="32"/>
          <w:szCs w:val="32"/>
        </w:rPr>
        <w:t>年初预算为0万元，支出决算为13.09万元，预算金额为0，无法计算超出百分比。决算数大于年初预算数的主要原因是：年中追加退休人员职业年金个人账户记实资金。</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10、社会保障和就业支出（类）抚恤（款）死亡抚恤（项）。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color w:val="auto"/>
          <w:sz w:val="32"/>
          <w:szCs w:val="32"/>
        </w:rPr>
        <w:t>年初预算为0万元，支出决算为45.46万元，预算金额为0，无法计算超出百分比。决算数大于年初预算数的主要原因是：年中追加死亡抚恤金支出。</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11、卫生健康支出（类）行政事业单位医疗（款）行政单位医疗（项）。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color w:val="auto"/>
          <w:sz w:val="32"/>
          <w:szCs w:val="32"/>
        </w:rPr>
        <w:t xml:space="preserve">年初预算为30.46万元，支出决算为30.46万元，完成年初预算的100%。 </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12、资源勘探工业信息支出（类）其他资源勘探工业信息支出（款） 其他资源勘探工业信息支出（项）。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color w:val="auto"/>
          <w:sz w:val="32"/>
          <w:szCs w:val="32"/>
        </w:rPr>
        <w:t>年初预算为0万元，支出决算为232.86万元，预算金额为0，无法计算超出百分比。</w:t>
      </w:r>
      <w:r>
        <w:rPr>
          <w:rFonts w:hint="eastAsia" w:ascii="仿宋" w:hAnsi="仿宋" w:eastAsia="仿宋" w:cs="仿宋"/>
          <w:sz w:val="32"/>
          <w:szCs w:val="32"/>
        </w:rPr>
        <w:t>决算数大于年初预算数的主要原因是：</w:t>
      </w:r>
      <w:r>
        <w:rPr>
          <w:rFonts w:hint="eastAsia" w:ascii="仿宋" w:hAnsi="仿宋" w:eastAsia="仿宋" w:cs="仿宋"/>
          <w:color w:val="auto"/>
          <w:sz w:val="32"/>
          <w:szCs w:val="32"/>
          <w:lang w:val="en-US" w:eastAsia="zh-CN"/>
        </w:rPr>
        <w:t>年中追加</w:t>
      </w:r>
      <w:r>
        <w:rPr>
          <w:rFonts w:hint="eastAsia" w:ascii="仿宋" w:hAnsi="仿宋" w:eastAsia="仿宋" w:cs="仿宋"/>
          <w:color w:val="auto"/>
          <w:sz w:val="32"/>
          <w:szCs w:val="32"/>
        </w:rPr>
        <w:t>135工程奖补资金。</w:t>
      </w:r>
    </w:p>
    <w:p>
      <w:pPr>
        <w:pStyle w:val="15"/>
        <w:spacing w:line="600" w:lineRule="exact"/>
        <w:ind w:firstLine="800" w:firstLineChars="250"/>
        <w:outlineLvl w:val="2"/>
        <w:rPr>
          <w:rFonts w:ascii="仿宋" w:hAnsi="仿宋" w:eastAsia="仿宋" w:cs="仿宋"/>
          <w:sz w:val="32"/>
          <w:szCs w:val="32"/>
        </w:rPr>
      </w:pPr>
      <w:r>
        <w:rPr>
          <w:rFonts w:hint="eastAsia" w:ascii="仿宋" w:hAnsi="仿宋" w:eastAsia="仿宋" w:cs="仿宋"/>
          <w:sz w:val="32"/>
          <w:szCs w:val="32"/>
        </w:rPr>
        <w:t>13、商业服务业支出（类）其他商业服务业支出（款）其他商业服务业支出（项）。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sz w:val="32"/>
          <w:szCs w:val="32"/>
        </w:rPr>
        <w:t>年初预算为0万元，支出</w:t>
      </w:r>
      <w:r>
        <w:rPr>
          <w:rFonts w:hint="eastAsia" w:ascii="仿宋" w:hAnsi="仿宋" w:eastAsia="仿宋" w:cs="仿宋"/>
          <w:color w:val="auto"/>
          <w:sz w:val="32"/>
          <w:szCs w:val="32"/>
        </w:rPr>
        <w:t>决算为70.00万元，预算金额为0，无法计算超出百分比。</w:t>
      </w:r>
      <w:r>
        <w:rPr>
          <w:rFonts w:hint="eastAsia" w:ascii="仿宋" w:hAnsi="仿宋" w:eastAsia="仿宋" w:cs="仿宋"/>
          <w:sz w:val="32"/>
          <w:szCs w:val="32"/>
        </w:rPr>
        <w:t>决算数大于年初预算数的主要原因是：</w:t>
      </w:r>
      <w:r>
        <w:rPr>
          <w:rFonts w:hint="eastAsia" w:ascii="仿宋" w:hAnsi="仿宋" w:eastAsia="仿宋" w:cs="仿宋"/>
          <w:color w:val="auto"/>
          <w:sz w:val="32"/>
          <w:szCs w:val="32"/>
          <w:lang w:val="en-US" w:eastAsia="zh-CN"/>
        </w:rPr>
        <w:t>年中追加</w:t>
      </w:r>
      <w:r>
        <w:rPr>
          <w:rFonts w:hint="eastAsia" w:ascii="仿宋" w:hAnsi="仿宋" w:eastAsia="仿宋" w:cs="仿宋"/>
          <w:color w:val="auto"/>
          <w:sz w:val="32"/>
          <w:szCs w:val="32"/>
        </w:rPr>
        <w:t>省现代服务业发展专项资金。</w:t>
      </w:r>
    </w:p>
    <w:p>
      <w:pPr>
        <w:pStyle w:val="15"/>
        <w:spacing w:line="600" w:lineRule="exact"/>
        <w:ind w:firstLine="800" w:firstLineChars="250"/>
        <w:outlineLvl w:val="2"/>
        <w:rPr>
          <w:rFonts w:ascii="仿宋" w:hAnsi="仿宋" w:eastAsia="仿宋" w:cs="仿宋"/>
          <w:sz w:val="32"/>
          <w:szCs w:val="32"/>
        </w:rPr>
      </w:pPr>
      <w:r>
        <w:rPr>
          <w:rFonts w:hint="eastAsia" w:ascii="仿宋" w:hAnsi="仿宋" w:eastAsia="仿宋" w:cs="仿宋"/>
          <w:sz w:val="32"/>
          <w:szCs w:val="32"/>
        </w:rPr>
        <w:t>14、住房保障支出（类）住房改革支出（款）住房公积金（项）。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sz w:val="32"/>
          <w:szCs w:val="32"/>
        </w:rPr>
        <w:t>年初预算为45.24万元，支出决</w:t>
      </w:r>
      <w:r>
        <w:rPr>
          <w:rFonts w:hint="eastAsia" w:ascii="仿宋" w:hAnsi="仿宋" w:eastAsia="仿宋" w:cs="仿宋"/>
          <w:color w:val="auto"/>
          <w:sz w:val="32"/>
          <w:szCs w:val="32"/>
        </w:rPr>
        <w:t>算为</w:t>
      </w:r>
      <w:r>
        <w:rPr>
          <w:rFonts w:hint="eastAsia" w:ascii="仿宋" w:hAnsi="仿宋" w:eastAsia="仿宋" w:cs="仿宋"/>
          <w:sz w:val="32"/>
          <w:szCs w:val="32"/>
        </w:rPr>
        <w:t>45.24</w:t>
      </w:r>
      <w:r>
        <w:rPr>
          <w:rFonts w:hint="eastAsia" w:ascii="仿宋" w:hAnsi="仿宋" w:eastAsia="仿宋" w:cs="仿宋"/>
          <w:color w:val="auto"/>
          <w:sz w:val="32"/>
          <w:szCs w:val="32"/>
        </w:rPr>
        <w:t xml:space="preserve">万元，完成年初预算的100%。 </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15、粮油物资储备支出（类）粮油物资事务（款）粮食财务挂账利息补贴（项）。</w:t>
      </w:r>
    </w:p>
    <w:p>
      <w:pPr>
        <w:pStyle w:val="15"/>
        <w:spacing w:line="600" w:lineRule="exact"/>
        <w:ind w:firstLine="800" w:firstLineChars="250"/>
        <w:rPr>
          <w:rFonts w:ascii="仿宋" w:hAnsi="仿宋" w:eastAsia="仿宋" w:cs="仿宋"/>
          <w:sz w:val="32"/>
          <w:szCs w:val="32"/>
        </w:rPr>
      </w:pPr>
      <w:r>
        <w:rPr>
          <w:rFonts w:hint="eastAsia" w:ascii="仿宋" w:hAnsi="仿宋" w:eastAsia="仿宋" w:cs="仿宋"/>
          <w:color w:val="auto"/>
          <w:sz w:val="32"/>
          <w:szCs w:val="32"/>
        </w:rPr>
        <w:t>年初预算为126.20万元，支出决算为126.20万元，完成</w:t>
      </w:r>
      <w:r>
        <w:rPr>
          <w:rFonts w:hint="eastAsia" w:ascii="仿宋" w:hAnsi="仿宋" w:eastAsia="仿宋" w:cs="仿宋"/>
          <w:sz w:val="32"/>
          <w:szCs w:val="32"/>
        </w:rPr>
        <w:t>年初预算的100%。</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16、粮油物资储备支出（类）粮油物资事务（款）粮食风险基金（项）。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color w:val="auto"/>
          <w:sz w:val="32"/>
          <w:szCs w:val="32"/>
        </w:rPr>
        <w:t>年初预算为0万元，支出决算为280.00万元，预算金额为0，无法计算超出百分比。决算数大于年初预算数的主要原因是：年中追加上级专项资金。</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17、粮油物资储备支出（类）粮油物资事务（款）其他粮油物资事务支出（项）。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color w:val="auto"/>
          <w:sz w:val="32"/>
          <w:szCs w:val="32"/>
        </w:rPr>
        <w:t>年初预算为0万元，支出决算为368.00万元，预算金额为0，无法计算超出百分比。</w:t>
      </w:r>
      <w:r>
        <w:rPr>
          <w:rFonts w:hint="eastAsia" w:ascii="仿宋" w:hAnsi="仿宋" w:eastAsia="仿宋" w:cs="仿宋"/>
          <w:sz w:val="32"/>
          <w:szCs w:val="32"/>
        </w:rPr>
        <w:t>决算数大于年初预算数的主要原因</w:t>
      </w:r>
      <w:r>
        <w:rPr>
          <w:rFonts w:hint="eastAsia" w:ascii="仿宋" w:hAnsi="仿宋" w:eastAsia="仿宋" w:cs="仿宋"/>
          <w:color w:val="auto"/>
          <w:sz w:val="32"/>
          <w:szCs w:val="32"/>
        </w:rPr>
        <w:t>是：年中追加商品粮大省及粮油千亿项目资金。</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18、粮油物资储备支出（类）粮油储备（款）储备粮油补贴（项）。</w:t>
      </w:r>
    </w:p>
    <w:p>
      <w:pPr>
        <w:pStyle w:val="15"/>
        <w:spacing w:line="600" w:lineRule="exact"/>
        <w:ind w:firstLine="800" w:firstLineChars="250"/>
        <w:rPr>
          <w:rFonts w:ascii="仿宋" w:hAnsi="仿宋" w:eastAsia="仿宋" w:cs="仿宋"/>
          <w:sz w:val="32"/>
          <w:szCs w:val="32"/>
        </w:rPr>
      </w:pPr>
      <w:r>
        <w:rPr>
          <w:rFonts w:hint="eastAsia" w:ascii="仿宋" w:hAnsi="仿宋" w:eastAsia="仿宋" w:cs="仿宋"/>
          <w:color w:val="auto"/>
          <w:sz w:val="32"/>
          <w:szCs w:val="32"/>
        </w:rPr>
        <w:t>年初预算为440.70万元，支出决算为440.70万元，完成</w:t>
      </w:r>
      <w:r>
        <w:rPr>
          <w:rFonts w:hint="eastAsia" w:ascii="仿宋" w:hAnsi="仿宋" w:eastAsia="仿宋" w:cs="仿宋"/>
          <w:sz w:val="32"/>
          <w:szCs w:val="32"/>
        </w:rPr>
        <w:t>年初预算的100%。</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19、粮油物资储备支出（类）粮油储备（款）储备粮油差价补贴（项）。</w:t>
      </w:r>
    </w:p>
    <w:p>
      <w:pPr>
        <w:pStyle w:val="15"/>
        <w:spacing w:line="600" w:lineRule="exact"/>
        <w:ind w:firstLine="800" w:firstLineChars="250"/>
        <w:rPr>
          <w:rFonts w:ascii="仿宋" w:hAnsi="仿宋" w:eastAsia="仿宋" w:cs="仿宋"/>
          <w:sz w:val="32"/>
          <w:szCs w:val="32"/>
        </w:rPr>
      </w:pPr>
      <w:r>
        <w:rPr>
          <w:rFonts w:hint="eastAsia" w:ascii="仿宋" w:hAnsi="仿宋" w:eastAsia="仿宋" w:cs="仿宋"/>
          <w:color w:val="auto"/>
          <w:sz w:val="32"/>
          <w:szCs w:val="32"/>
        </w:rPr>
        <w:t>年初预算为479.20万元，支出决算为479.20万元，完成</w:t>
      </w:r>
      <w:r>
        <w:rPr>
          <w:rFonts w:hint="eastAsia" w:ascii="仿宋" w:hAnsi="仿宋" w:eastAsia="仿宋" w:cs="仿宋"/>
          <w:sz w:val="32"/>
          <w:szCs w:val="32"/>
        </w:rPr>
        <w:t>年初预算的100%。</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20、粮油物资储备支出（类）粮油储备（款）其他粮油储备支出（项）。</w:t>
      </w:r>
    </w:p>
    <w:p>
      <w:pPr>
        <w:pStyle w:val="15"/>
        <w:spacing w:line="600" w:lineRule="exact"/>
        <w:ind w:firstLine="800" w:firstLineChars="250"/>
        <w:outlineLvl w:val="2"/>
        <w:rPr>
          <w:rFonts w:ascii="仿宋" w:hAnsi="仿宋" w:eastAsia="仿宋" w:cs="仿宋"/>
          <w:sz w:val="32"/>
          <w:szCs w:val="32"/>
        </w:rPr>
      </w:pPr>
      <w:r>
        <w:rPr>
          <w:rFonts w:hint="eastAsia" w:ascii="仿宋" w:hAnsi="仿宋" w:eastAsia="仿宋" w:cs="仿宋"/>
          <w:color w:val="auto"/>
          <w:sz w:val="32"/>
          <w:szCs w:val="32"/>
        </w:rPr>
        <w:t>年初预算为90万元，支出决算为126.83万元，完成</w:t>
      </w:r>
      <w:r>
        <w:rPr>
          <w:rFonts w:hint="eastAsia" w:ascii="仿宋" w:hAnsi="仿宋" w:eastAsia="仿宋" w:cs="仿宋"/>
          <w:sz w:val="32"/>
          <w:szCs w:val="32"/>
        </w:rPr>
        <w:t>年初预算的140.92%,决算数大于年初预算数的主要原因是：上年部分资金在本年支付。</w:t>
      </w:r>
    </w:p>
    <w:p>
      <w:pPr>
        <w:pStyle w:val="15"/>
        <w:spacing w:line="600" w:lineRule="exact"/>
        <w:ind w:firstLine="800" w:firstLineChars="250"/>
        <w:outlineLvl w:val="2"/>
        <w:rPr>
          <w:rFonts w:ascii="仿宋" w:hAnsi="仿宋" w:eastAsia="仿宋" w:cs="仿宋"/>
          <w:color w:val="auto"/>
          <w:sz w:val="32"/>
          <w:szCs w:val="32"/>
        </w:rPr>
      </w:pPr>
      <w:r>
        <w:rPr>
          <w:rFonts w:hint="eastAsia" w:ascii="仿宋" w:hAnsi="仿宋" w:eastAsia="仿宋" w:cs="仿宋"/>
          <w:color w:val="auto"/>
          <w:sz w:val="32"/>
          <w:szCs w:val="32"/>
        </w:rPr>
        <w:t>21、灾害防治及应急管理支出（类）自然灾害救灾及恢复重建支出（款）自然灾害救灾补助（项）。</w:t>
      </w:r>
    </w:p>
    <w:p>
      <w:pPr>
        <w:pStyle w:val="15"/>
        <w:spacing w:line="600" w:lineRule="exact"/>
        <w:ind w:firstLine="800" w:firstLineChars="250"/>
        <w:rPr>
          <w:rFonts w:ascii="仿宋" w:hAnsi="仿宋" w:eastAsia="仿宋" w:cs="仿宋"/>
          <w:color w:val="auto"/>
          <w:sz w:val="32"/>
          <w:szCs w:val="32"/>
        </w:rPr>
      </w:pPr>
      <w:r>
        <w:rPr>
          <w:rFonts w:hint="eastAsia" w:ascii="仿宋" w:hAnsi="仿宋" w:eastAsia="仿宋" w:cs="仿宋"/>
          <w:color w:val="auto"/>
          <w:sz w:val="32"/>
          <w:szCs w:val="32"/>
        </w:rPr>
        <w:t>年初预算为0万元，支出决算为50.00万元，预算金额为0，无法计算超出百分比。</w:t>
      </w:r>
      <w:r>
        <w:rPr>
          <w:rFonts w:hint="eastAsia" w:ascii="仿宋" w:hAnsi="仿宋" w:eastAsia="仿宋" w:cs="仿宋"/>
          <w:sz w:val="32"/>
          <w:szCs w:val="32"/>
        </w:rPr>
        <w:t>决算数大于年初预算数的主要原因是：</w:t>
      </w:r>
      <w:r>
        <w:rPr>
          <w:rFonts w:hint="eastAsia" w:ascii="仿宋" w:hAnsi="仿宋" w:eastAsia="仿宋" w:cs="仿宋"/>
          <w:sz w:val="32"/>
          <w:szCs w:val="32"/>
          <w:lang w:val="en-US" w:eastAsia="zh-CN"/>
        </w:rPr>
        <w:t>年中追加</w:t>
      </w:r>
      <w:r>
        <w:rPr>
          <w:rFonts w:hint="eastAsia" w:ascii="仿宋" w:hAnsi="仿宋" w:eastAsia="仿宋" w:cs="仿宋"/>
          <w:color w:val="auto"/>
          <w:sz w:val="32"/>
          <w:szCs w:val="32"/>
        </w:rPr>
        <w:t>自然灾害救灾及恢复重建支出</w:t>
      </w:r>
      <w:r>
        <w:rPr>
          <w:rFonts w:hint="eastAsia" w:ascii="仿宋" w:hAnsi="仿宋" w:eastAsia="仿宋" w:cs="仿宋"/>
          <w:color w:val="auto"/>
          <w:sz w:val="32"/>
          <w:szCs w:val="32"/>
          <w:lang w:val="en-US" w:eastAsia="zh-CN"/>
        </w:rPr>
        <w:t>项目资金</w:t>
      </w:r>
      <w:r>
        <w:rPr>
          <w:rFonts w:hint="eastAsia" w:ascii="仿宋" w:hAnsi="仿宋" w:eastAsia="仿宋" w:cs="仿宋"/>
          <w:color w:val="auto"/>
          <w:sz w:val="32"/>
          <w:szCs w:val="32"/>
        </w:rPr>
        <w:t>。</w:t>
      </w:r>
    </w:p>
    <w:p>
      <w:pPr>
        <w:pStyle w:val="15"/>
        <w:spacing w:line="600" w:lineRule="exact"/>
        <w:ind w:firstLine="642" w:firstLineChars="200"/>
        <w:outlineLvl w:val="0"/>
        <w:rPr>
          <w:rFonts w:hAnsi="黑体"/>
          <w:b/>
          <w:sz w:val="32"/>
          <w:szCs w:val="32"/>
        </w:rPr>
      </w:pPr>
      <w:r>
        <w:rPr>
          <w:rFonts w:hint="eastAsia" w:hAnsi="黑体"/>
          <w:b/>
          <w:sz w:val="32"/>
          <w:szCs w:val="32"/>
        </w:rPr>
        <w:t>六、一般公共预算财政拨款基本支出决算情况说明</w:t>
      </w:r>
    </w:p>
    <w:p>
      <w:pPr>
        <w:pStyle w:val="15"/>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2023年度财政拨款基本支出890.91万元，其中：</w:t>
      </w:r>
    </w:p>
    <w:p>
      <w:pPr>
        <w:pStyle w:val="15"/>
        <w:spacing w:line="600" w:lineRule="exact"/>
        <w:ind w:firstLine="642" w:firstLineChars="200"/>
        <w:rPr>
          <w:rFonts w:hint="eastAsia" w:ascii="仿宋" w:hAnsi="仿宋" w:eastAsia="仿宋" w:cs="仿宋"/>
          <w:sz w:val="32"/>
          <w:szCs w:val="32"/>
          <w:lang w:eastAsia="zh-CN"/>
        </w:rPr>
      </w:pPr>
      <w:r>
        <w:rPr>
          <w:rFonts w:hint="eastAsia" w:ascii="仿宋" w:hAnsi="仿宋" w:eastAsia="仿宋" w:cs="仿宋"/>
          <w:b/>
          <w:bCs/>
          <w:sz w:val="32"/>
          <w:szCs w:val="32"/>
        </w:rPr>
        <w:t>人员经费725.09万元，</w:t>
      </w:r>
      <w:r>
        <w:rPr>
          <w:rFonts w:hint="eastAsia" w:ascii="仿宋" w:hAnsi="仿宋" w:eastAsia="仿宋" w:cs="仿宋"/>
          <w:sz w:val="32"/>
          <w:szCs w:val="32"/>
        </w:rPr>
        <w:t>占基本支出的81.39%,主要包括基本工资、津贴补贴、奖金、伙食补助费、绩效工资、机关事业单位基本养老保险缴费、职工基本医疗保险缴费、公务员医疗补助缴费、其他社会保障缴费、住房公积金、其他工资福利支出</w:t>
      </w:r>
      <w:r>
        <w:rPr>
          <w:rFonts w:hint="eastAsia" w:ascii="仿宋" w:hAnsi="仿宋" w:eastAsia="仿宋" w:cs="仿宋"/>
          <w:sz w:val="32"/>
          <w:szCs w:val="32"/>
          <w:lang w:eastAsia="zh-CN"/>
        </w:rPr>
        <w:t>、生活补助、其他对个人和家庭的补助。</w:t>
      </w:r>
    </w:p>
    <w:p>
      <w:pPr>
        <w:pStyle w:val="15"/>
        <w:spacing w:line="600" w:lineRule="exact"/>
        <w:ind w:firstLine="642" w:firstLineChars="200"/>
        <w:rPr>
          <w:rFonts w:ascii="仿宋" w:hAnsi="仿宋" w:eastAsia="仿宋" w:cs="仿宋"/>
          <w:sz w:val="32"/>
          <w:szCs w:val="32"/>
        </w:rPr>
      </w:pPr>
      <w:r>
        <w:rPr>
          <w:rFonts w:hint="eastAsia" w:ascii="仿宋" w:hAnsi="仿宋" w:eastAsia="仿宋" w:cs="仿宋"/>
          <w:b/>
          <w:bCs/>
          <w:sz w:val="32"/>
          <w:szCs w:val="32"/>
        </w:rPr>
        <w:t>公用经费165.82万元，</w:t>
      </w:r>
      <w:r>
        <w:rPr>
          <w:rFonts w:hint="eastAsia" w:ascii="仿宋" w:hAnsi="仿宋" w:eastAsia="仿宋" w:cs="仿宋"/>
          <w:sz w:val="32"/>
          <w:szCs w:val="32"/>
        </w:rPr>
        <w:t>占基本支出的18.61%，主要包括办公费、印刷费、咨询费、水费、电费、邮电费、差旅费、维修（护）费、会议费、培训费、公务接待费、劳务费、工会经费、福利费、公务用车运行维护费、其他交通费用、其他商品和服务支出</w:t>
      </w:r>
      <w:r>
        <w:rPr>
          <w:rFonts w:hint="eastAsia" w:ascii="仿宋" w:hAnsi="仿宋" w:eastAsia="仿宋" w:cs="仿宋"/>
          <w:sz w:val="32"/>
          <w:szCs w:val="32"/>
          <w:lang w:eastAsia="zh-CN"/>
        </w:rPr>
        <w:t>、</w:t>
      </w:r>
      <w:r>
        <w:rPr>
          <w:rFonts w:hint="eastAsia" w:ascii="仿宋" w:hAnsi="仿宋" w:eastAsia="仿宋" w:cs="仿宋"/>
          <w:sz w:val="32"/>
          <w:szCs w:val="32"/>
        </w:rPr>
        <w:t>办公设备购置。</w:t>
      </w:r>
    </w:p>
    <w:p>
      <w:pPr>
        <w:pStyle w:val="15"/>
        <w:spacing w:line="600" w:lineRule="exact"/>
        <w:ind w:firstLine="642" w:firstLineChars="200"/>
        <w:outlineLvl w:val="0"/>
        <w:rPr>
          <w:rFonts w:hAnsi="黑体"/>
          <w:b/>
          <w:sz w:val="32"/>
          <w:szCs w:val="32"/>
        </w:rPr>
      </w:pPr>
      <w:r>
        <w:rPr>
          <w:rFonts w:hint="eastAsia" w:hAnsi="黑体"/>
          <w:b/>
          <w:sz w:val="32"/>
          <w:szCs w:val="32"/>
        </w:rPr>
        <w:t>七、财政拨款三公经费支出决算情况说明</w:t>
      </w:r>
    </w:p>
    <w:p>
      <w:pPr>
        <w:pStyle w:val="15"/>
        <w:spacing w:line="600" w:lineRule="exact"/>
        <w:ind w:firstLine="642" w:firstLineChars="200"/>
        <w:outlineLvl w:val="1"/>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pPr>
        <w:pStyle w:val="15"/>
        <w:spacing w:line="600" w:lineRule="exact"/>
        <w:ind w:firstLine="800" w:firstLineChars="250"/>
        <w:rPr>
          <w:rFonts w:ascii="仿宋" w:hAnsi="仿宋" w:eastAsia="仿宋" w:cs="仿宋"/>
          <w:sz w:val="32"/>
          <w:szCs w:val="32"/>
        </w:rPr>
      </w:pPr>
      <w:r>
        <w:rPr>
          <w:rFonts w:hint="eastAsia" w:ascii="仿宋" w:hAnsi="仿宋" w:eastAsia="仿宋" w:cs="仿宋"/>
          <w:sz w:val="32"/>
          <w:szCs w:val="32"/>
        </w:rPr>
        <w:t>“三公”经费财政拨款支出预算为9.80万元，支出决算为4.62万元，完成预算的47.14%，决算数小于预算数的主要原因是厉行节约，严格控制“三公”经费支出，与上年相比减少0.51万元，减少9.94%,减少的主要原因是厉行节约，严格控制“三公”经费支出。其中：</w:t>
      </w:r>
    </w:p>
    <w:p>
      <w:pPr>
        <w:pStyle w:val="15"/>
        <w:spacing w:line="600" w:lineRule="exact"/>
        <w:ind w:firstLine="800" w:firstLineChars="250"/>
        <w:rPr>
          <w:rFonts w:ascii="仿宋" w:hAnsi="仿宋" w:eastAsia="仿宋" w:cs="仿宋"/>
          <w:sz w:val="32"/>
          <w:szCs w:val="32"/>
        </w:rPr>
      </w:pPr>
      <w:r>
        <w:rPr>
          <w:rFonts w:hint="eastAsia" w:ascii="仿宋" w:hAnsi="仿宋" w:eastAsia="仿宋" w:cs="仿宋"/>
          <w:sz w:val="32"/>
          <w:szCs w:val="32"/>
        </w:rPr>
        <w:t>因公出国（境）费支出预算为0万元，支出决算为0万元，决算数与预算数增减无变化，与上年相比增减无变化。</w:t>
      </w:r>
    </w:p>
    <w:p>
      <w:pPr>
        <w:pStyle w:val="15"/>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支出预算为5万元，支出决算为0.14万元，完成预算的2.80%，决算数小于预算数的主要原因是单位按照中央八项规定，坚持厉行节约，反对铺张浪费，从严控制公务支出，规范公务活动；与上年相比减少1.32万元，</w:t>
      </w:r>
      <w:r>
        <w:rPr>
          <w:rFonts w:hint="eastAsia" w:ascii="仿宋" w:hAnsi="仿宋" w:eastAsia="仿宋" w:cs="仿宋"/>
          <w:color w:val="auto"/>
          <w:sz w:val="32"/>
          <w:szCs w:val="32"/>
        </w:rPr>
        <w:t>减少90.41%,减少</w:t>
      </w:r>
      <w:r>
        <w:rPr>
          <w:rFonts w:hint="eastAsia" w:ascii="仿宋" w:hAnsi="仿宋" w:eastAsia="仿宋" w:cs="仿宋"/>
          <w:sz w:val="32"/>
          <w:szCs w:val="32"/>
        </w:rPr>
        <w:t>的主要原因是从严控制公务支出，规范公务活动,减少公务接待次数，严控公务接待标准。</w:t>
      </w:r>
    </w:p>
    <w:p>
      <w:pPr>
        <w:pStyle w:val="15"/>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公务用车购置费支出预算为0万元，支出决算为0万元，决算数与预算数增减无变化，与上年相比增减无变化。</w:t>
      </w:r>
    </w:p>
    <w:p>
      <w:pPr>
        <w:pStyle w:val="15"/>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支出预算为4.8万元，支出决算为4.48万元，完成预算的93.33%，决算数小于预算数的主要原因进一步规范公务用车活动，对公务用车科学化管理。与上年相比增加0.81万元，增长22.07%,增长的主要原因车辆使用年限较久，维修维护费用较上年有所增长。</w:t>
      </w:r>
    </w:p>
    <w:p>
      <w:pPr>
        <w:pStyle w:val="15"/>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pPr>
        <w:pStyle w:val="15"/>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2023年度“三公”经费财政拨款支出决算中，公务接待费支出决算0.14万元，占3.03%,因公出国（境）费支出决算0万元，占0%,公务用车购置费及运行维护费支出决算4.48万元，占96.97%。其中：</w:t>
      </w:r>
    </w:p>
    <w:p>
      <w:pPr>
        <w:pStyle w:val="15"/>
        <w:spacing w:line="600" w:lineRule="exact"/>
        <w:ind w:firstLine="640" w:firstLineChars="200"/>
        <w:rPr>
          <w:rFonts w:ascii="仿宋" w:hAnsi="仿宋" w:eastAsia="仿宋" w:cs="仿宋"/>
          <w:b/>
          <w:sz w:val="32"/>
          <w:szCs w:val="32"/>
        </w:rPr>
      </w:pPr>
      <w:r>
        <w:rPr>
          <w:rFonts w:hint="eastAsia" w:ascii="仿宋" w:hAnsi="仿宋" w:eastAsia="仿宋" w:cs="仿宋"/>
          <w:sz w:val="32"/>
          <w:szCs w:val="32"/>
        </w:rPr>
        <w:t>1、因公出国（境）费支出决算为0万元，全年安排因公出国（境）团组0个，累计0人次。我单位2023年度无因公出国（境）费支出。</w:t>
      </w:r>
    </w:p>
    <w:p>
      <w:pPr>
        <w:pStyle w:val="15"/>
        <w:spacing w:line="600" w:lineRule="exact"/>
        <w:ind w:firstLine="640" w:firstLineChars="200"/>
        <w:rPr>
          <w:rFonts w:ascii="仿宋" w:hAnsi="仿宋" w:eastAsia="仿宋" w:cs="仿宋"/>
          <w:color w:val="auto"/>
          <w:sz w:val="32"/>
          <w:szCs w:val="32"/>
        </w:rPr>
      </w:pPr>
      <w:r>
        <w:rPr>
          <w:rFonts w:hint="eastAsia" w:ascii="仿宋" w:hAnsi="仿宋" w:eastAsia="仿宋" w:cs="仿宋"/>
          <w:sz w:val="32"/>
          <w:szCs w:val="32"/>
        </w:rPr>
        <w:t>2、公务接待费支出</w:t>
      </w:r>
      <w:r>
        <w:rPr>
          <w:rFonts w:hint="eastAsia" w:ascii="仿宋" w:hAnsi="仿宋" w:eastAsia="仿宋" w:cs="仿宋"/>
          <w:color w:val="auto"/>
          <w:sz w:val="32"/>
          <w:szCs w:val="32"/>
        </w:rPr>
        <w:t>决算为0.14万元，全年共接待来访团组2个、来宾16人次，主要是用于安全考核、上级调研等接待支出。</w:t>
      </w:r>
    </w:p>
    <w:p>
      <w:pPr>
        <w:spacing w:line="600" w:lineRule="exact"/>
        <w:ind w:firstLine="640" w:firstLineChars="200"/>
        <w:rPr>
          <w:rFonts w:ascii="仿宋" w:hAnsi="仿宋" w:eastAsia="仿宋" w:cs="仿宋"/>
          <w:color w:val="FF0000"/>
          <w:kern w:val="0"/>
          <w:sz w:val="32"/>
          <w:szCs w:val="32"/>
        </w:rPr>
      </w:pPr>
      <w:r>
        <w:rPr>
          <w:rFonts w:hint="eastAsia" w:ascii="仿宋" w:hAnsi="仿宋" w:eastAsia="仿宋" w:cs="仿宋"/>
          <w:sz w:val="32"/>
          <w:szCs w:val="32"/>
        </w:rPr>
        <w:t>3、公务用车购置费及运行维护费支出决算为4.48万元，其中：公务用车购置费0万元，湘潭县发展和改革局更新公务用车0辆</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sz w:val="32"/>
          <w:szCs w:val="32"/>
        </w:rPr>
        <w:t>公务用车运行维护费4.48万元，主要是公务用车加油、维修费、过路过桥费等支出。截</w:t>
      </w:r>
      <w:r>
        <w:rPr>
          <w:rFonts w:hint="eastAsia" w:ascii="仿宋" w:hAnsi="仿宋" w:eastAsia="仿宋" w:cs="仿宋"/>
          <w:sz w:val="32"/>
          <w:szCs w:val="32"/>
          <w:lang w:eastAsia="zh-CN"/>
        </w:rPr>
        <w:t>至</w:t>
      </w:r>
      <w:bookmarkStart w:id="3" w:name="_GoBack"/>
      <w:bookmarkEnd w:id="3"/>
      <w:r>
        <w:rPr>
          <w:rFonts w:hint="eastAsia" w:ascii="仿宋" w:hAnsi="仿宋" w:eastAsia="仿宋" w:cs="仿宋"/>
          <w:sz w:val="32"/>
          <w:szCs w:val="32"/>
        </w:rPr>
        <w:t>2023年12月31日，我单位开支财政拨款的公务用车保有量为2辆。</w:t>
      </w:r>
    </w:p>
    <w:p>
      <w:pPr>
        <w:pStyle w:val="15"/>
        <w:spacing w:line="600" w:lineRule="exact"/>
        <w:ind w:firstLine="642" w:firstLineChars="200"/>
        <w:outlineLvl w:val="0"/>
        <w:rPr>
          <w:rFonts w:hAnsi="黑体"/>
          <w:b/>
          <w:sz w:val="32"/>
          <w:szCs w:val="32"/>
        </w:rPr>
      </w:pPr>
      <w:r>
        <w:rPr>
          <w:rFonts w:hint="eastAsia" w:hAnsi="黑体"/>
          <w:b/>
          <w:sz w:val="32"/>
          <w:szCs w:val="32"/>
        </w:rPr>
        <w:t>八、政府性基金预算收入支出决算情况</w:t>
      </w:r>
    </w:p>
    <w:p>
      <w:pPr>
        <w:pStyle w:val="15"/>
        <w:spacing w:line="600" w:lineRule="exact"/>
        <w:ind w:firstLine="640" w:firstLineChars="200"/>
        <w:outlineLvl w:val="0"/>
        <w:rPr>
          <w:rFonts w:ascii="仿宋" w:hAnsi="仿宋" w:eastAsia="仿宋" w:cs="仿宋"/>
          <w:color w:val="auto"/>
          <w:kern w:val="2"/>
          <w:sz w:val="32"/>
          <w:szCs w:val="32"/>
        </w:rPr>
      </w:pPr>
      <w:r>
        <w:rPr>
          <w:rFonts w:hint="eastAsia" w:ascii="仿宋" w:hAnsi="仿宋" w:eastAsia="仿宋" w:cs="仿宋"/>
          <w:color w:val="auto"/>
          <w:kern w:val="2"/>
          <w:sz w:val="32"/>
          <w:szCs w:val="32"/>
        </w:rPr>
        <w:t>湘潭县发展和改革局2023年度没有政府性基金收入，也没有使用政府性基金安排的支出，并已公开空表。</w:t>
      </w:r>
    </w:p>
    <w:p>
      <w:pPr>
        <w:pStyle w:val="15"/>
        <w:spacing w:line="500" w:lineRule="exact"/>
        <w:ind w:firstLine="642" w:firstLineChars="200"/>
        <w:rPr>
          <w:rFonts w:ascii="仿宋" w:hAnsi="仿宋" w:eastAsia="仿宋" w:cs="仿宋"/>
          <w:sz w:val="28"/>
          <w:szCs w:val="28"/>
        </w:rPr>
      </w:pPr>
      <w:r>
        <w:rPr>
          <w:rFonts w:hint="eastAsia" w:hAnsi="黑体"/>
          <w:b/>
          <w:sz w:val="32"/>
          <w:szCs w:val="32"/>
        </w:rPr>
        <w:t>九、国有资本经营预算财政拨款支出决算情况</w:t>
      </w:r>
    </w:p>
    <w:p>
      <w:pPr>
        <w:pStyle w:val="15"/>
        <w:spacing w:line="600" w:lineRule="exact"/>
        <w:ind w:firstLine="640" w:firstLineChars="200"/>
        <w:outlineLvl w:val="0"/>
        <w:rPr>
          <w:rFonts w:asciiTheme="minorEastAsia" w:hAnsiTheme="minorEastAsia" w:eastAsiaTheme="minorEastAsia" w:cstheme="minorBidi"/>
          <w:color w:val="auto"/>
          <w:kern w:val="2"/>
          <w:sz w:val="32"/>
          <w:szCs w:val="32"/>
        </w:rPr>
      </w:pPr>
      <w:r>
        <w:rPr>
          <w:rFonts w:hint="eastAsia" w:ascii="仿宋" w:hAnsi="仿宋" w:eastAsia="仿宋" w:cs="仿宋"/>
          <w:color w:val="auto"/>
          <w:kern w:val="2"/>
          <w:sz w:val="32"/>
          <w:szCs w:val="32"/>
        </w:rPr>
        <w:t>湘潭县发展和改革局2023年度没有国有资本经营预算财政拨款支出，并已公开空表。</w:t>
      </w:r>
    </w:p>
    <w:p>
      <w:pPr>
        <w:pStyle w:val="15"/>
        <w:spacing w:line="600" w:lineRule="exact"/>
        <w:ind w:firstLine="642" w:firstLineChars="200"/>
        <w:outlineLvl w:val="0"/>
        <w:rPr>
          <w:rFonts w:hAnsi="黑体"/>
          <w:b/>
          <w:sz w:val="32"/>
          <w:szCs w:val="32"/>
        </w:rPr>
      </w:pPr>
      <w:r>
        <w:rPr>
          <w:rFonts w:hint="eastAsia" w:hAnsi="黑体"/>
          <w:b/>
          <w:sz w:val="32"/>
          <w:szCs w:val="32"/>
        </w:rPr>
        <w:t>十、关于机关运行经费支出说明</w:t>
      </w:r>
    </w:p>
    <w:p>
      <w:pPr>
        <w:pStyle w:val="15"/>
        <w:spacing w:line="600" w:lineRule="exact"/>
        <w:ind w:firstLine="640" w:firstLineChars="200"/>
        <w:rPr>
          <w:rFonts w:ascii="仿宋" w:hAnsi="仿宋" w:eastAsia="仿宋" w:cs="仿宋"/>
          <w:color w:val="auto"/>
          <w:kern w:val="2"/>
          <w:sz w:val="32"/>
          <w:szCs w:val="32"/>
        </w:rPr>
      </w:pPr>
      <w:r>
        <w:rPr>
          <w:rFonts w:hint="eastAsia" w:ascii="仿宋" w:hAnsi="仿宋" w:eastAsia="仿宋" w:cs="仿宋"/>
          <w:color w:val="auto"/>
          <w:kern w:val="2"/>
          <w:sz w:val="32"/>
          <w:szCs w:val="32"/>
        </w:rPr>
        <w:t>湘潭县发展和改革局2023年度机关运行经费支出165.82万元，比上年决算数增加17.89万元，增长12.09%。主要原因是上年部分公用</w:t>
      </w:r>
      <w:r>
        <w:rPr>
          <w:rFonts w:hint="eastAsia" w:ascii="仿宋" w:hAnsi="仿宋" w:eastAsia="仿宋" w:cs="仿宋"/>
          <w:color w:val="auto"/>
          <w:kern w:val="2"/>
          <w:sz w:val="32"/>
          <w:szCs w:val="32"/>
          <w:lang w:val="en-US" w:eastAsia="zh-CN"/>
        </w:rPr>
        <w:t>经</w:t>
      </w:r>
      <w:r>
        <w:rPr>
          <w:rFonts w:hint="eastAsia" w:ascii="仿宋" w:hAnsi="仿宋" w:eastAsia="仿宋" w:cs="仿宋"/>
          <w:color w:val="auto"/>
          <w:kern w:val="2"/>
          <w:sz w:val="32"/>
          <w:szCs w:val="32"/>
        </w:rPr>
        <w:t>费在本年支付以及本年增加人员。</w:t>
      </w:r>
    </w:p>
    <w:p>
      <w:pPr>
        <w:pStyle w:val="15"/>
        <w:spacing w:line="600" w:lineRule="exact"/>
        <w:ind w:firstLine="642" w:firstLineChars="200"/>
        <w:rPr>
          <w:rFonts w:hAnsi="黑体"/>
          <w:b/>
          <w:sz w:val="32"/>
          <w:szCs w:val="32"/>
        </w:rPr>
      </w:pPr>
      <w:r>
        <w:rPr>
          <w:rFonts w:hint="eastAsia" w:hAnsi="黑体"/>
          <w:b/>
          <w:sz w:val="32"/>
          <w:szCs w:val="32"/>
        </w:rPr>
        <w:t>十一、一般性支出情况说明</w:t>
      </w:r>
    </w:p>
    <w:p>
      <w:pPr>
        <w:autoSpaceDE w:val="0"/>
        <w:autoSpaceDN w:val="0"/>
        <w:adjustRightInd w:val="0"/>
        <w:spacing w:line="640" w:lineRule="exact"/>
        <w:ind w:firstLine="640" w:firstLineChars="200"/>
        <w:jc w:val="left"/>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2023年本部门开支会议费0.09万元，用于召开座谈会，人数30人，内容为老干部座谈会；开支培训费1.37万元，用于开展业务工作培训等，人数35人，内容为事业单位工作人员管理平台学习培训、粮食监管工作培训、高质量发展学习培训；未举办节庆、晚会、论坛、赛事等活动，开支0万元。</w:t>
      </w:r>
    </w:p>
    <w:p>
      <w:pPr>
        <w:pStyle w:val="15"/>
        <w:spacing w:line="600" w:lineRule="exact"/>
        <w:ind w:firstLine="642" w:firstLineChars="200"/>
        <w:outlineLvl w:val="0"/>
        <w:rPr>
          <w:rFonts w:hAnsi="黑体"/>
          <w:b/>
          <w:sz w:val="32"/>
          <w:szCs w:val="32"/>
        </w:rPr>
      </w:pPr>
      <w:r>
        <w:rPr>
          <w:rFonts w:hint="eastAsia" w:hAnsi="黑体"/>
          <w:b/>
          <w:sz w:val="32"/>
          <w:szCs w:val="32"/>
        </w:rPr>
        <w:t>十二、关于政府采购支出说明</w:t>
      </w:r>
    </w:p>
    <w:p>
      <w:pPr>
        <w:pStyle w:val="15"/>
        <w:spacing w:line="600" w:lineRule="exact"/>
        <w:ind w:firstLine="640" w:firstLineChars="200"/>
        <w:rPr>
          <w:rFonts w:ascii="仿宋" w:hAnsi="仿宋" w:eastAsia="仿宋" w:cs="仿宋"/>
          <w:color w:val="auto"/>
          <w:kern w:val="2"/>
          <w:sz w:val="32"/>
          <w:szCs w:val="32"/>
        </w:rPr>
      </w:pPr>
      <w:r>
        <w:rPr>
          <w:rFonts w:hint="eastAsia" w:ascii="仿宋" w:hAnsi="仿宋" w:eastAsia="仿宋" w:cs="仿宋"/>
          <w:color w:val="auto"/>
          <w:kern w:val="2"/>
          <w:sz w:val="32"/>
          <w:szCs w:val="32"/>
        </w:rPr>
        <w:t>湘潭县发展和改革局2023年度政府采购支出总额478.09万元，其中：政府采购货物支出51.62万元、政府采购工程支出0万元、政府采购服务支出426.47万元。授予中小企业合同金额424.07万元，占政府采购支出总额的88.70%，其中：授予小微企业合同金额424.07万元，占政府采购支出总额的88.70%。货物采购授予中小企业合同金额占货物支出金额的100%，工程采购授予中小企业合同金额占工程支出金额的100%，服务采购授予中小企业合同金额占服务支出金额的</w:t>
      </w:r>
      <w:r>
        <w:rPr>
          <w:rFonts w:hint="eastAsia" w:ascii="仿宋" w:hAnsi="仿宋" w:eastAsia="仿宋" w:cs="仿宋"/>
          <w:color w:val="auto"/>
          <w:kern w:val="2"/>
          <w:sz w:val="32"/>
          <w:szCs w:val="32"/>
          <w:lang w:val="en-US" w:eastAsia="zh-CN"/>
        </w:rPr>
        <w:t>87.33</w:t>
      </w:r>
      <w:r>
        <w:rPr>
          <w:rFonts w:hint="eastAsia" w:ascii="仿宋" w:hAnsi="仿宋" w:eastAsia="仿宋" w:cs="仿宋"/>
          <w:color w:val="auto"/>
          <w:kern w:val="2"/>
          <w:sz w:val="32"/>
          <w:szCs w:val="32"/>
        </w:rPr>
        <w:t>%。</w:t>
      </w:r>
    </w:p>
    <w:p>
      <w:pPr>
        <w:pStyle w:val="15"/>
        <w:spacing w:line="600" w:lineRule="exact"/>
        <w:ind w:firstLine="642" w:firstLineChars="200"/>
        <w:outlineLvl w:val="0"/>
        <w:rPr>
          <w:rFonts w:hAnsi="黑体"/>
          <w:b/>
          <w:sz w:val="32"/>
          <w:szCs w:val="32"/>
        </w:rPr>
      </w:pPr>
      <w:r>
        <w:rPr>
          <w:rFonts w:hint="eastAsia" w:hAnsi="黑体"/>
          <w:b/>
          <w:sz w:val="32"/>
          <w:szCs w:val="32"/>
        </w:rPr>
        <w:t>十三、关于国有资产占用情况说明</w:t>
      </w:r>
    </w:p>
    <w:p>
      <w:pPr>
        <w:pStyle w:val="15"/>
        <w:spacing w:line="600" w:lineRule="exact"/>
        <w:ind w:firstLine="640" w:firstLineChars="200"/>
        <w:rPr>
          <w:rFonts w:ascii="仿宋" w:hAnsi="仿宋" w:eastAsia="仿宋" w:cs="仿宋"/>
          <w:color w:val="auto"/>
          <w:kern w:val="2"/>
          <w:sz w:val="32"/>
          <w:szCs w:val="32"/>
        </w:rPr>
      </w:pPr>
      <w:r>
        <w:rPr>
          <w:rFonts w:hint="eastAsia" w:ascii="仿宋" w:hAnsi="仿宋" w:eastAsia="仿宋" w:cs="仿宋"/>
          <w:color w:val="auto"/>
          <w:kern w:val="2"/>
          <w:sz w:val="32"/>
          <w:szCs w:val="32"/>
        </w:rPr>
        <w:t>截至2023年12月31日，湘潭县发展和改革局共有车辆2辆，其中，副部（省）级及以上领导用车0辆、主要负责人用车0辆、机要通信用车0辆、应急保障用车0辆、执法执勤用车0辆、特种专业技术用车0辆、离退休干部服务用车0辆、其他用车2辆，其他用车主要是处理突发应急事件、重要会议、紧急公务和工作调研等方面用车；单位价值100万元以上设备（不含车辆）0台（套）。</w:t>
      </w:r>
    </w:p>
    <w:p>
      <w:pPr>
        <w:pStyle w:val="15"/>
        <w:spacing w:line="600" w:lineRule="exact"/>
        <w:ind w:firstLine="642" w:firstLineChars="200"/>
        <w:outlineLvl w:val="0"/>
        <w:rPr>
          <w:rFonts w:hAnsi="黑体"/>
          <w:b/>
          <w:sz w:val="32"/>
          <w:szCs w:val="32"/>
        </w:rPr>
      </w:pPr>
      <w:r>
        <w:rPr>
          <w:rFonts w:hint="eastAsia" w:hAnsi="黑体"/>
          <w:b/>
          <w:sz w:val="32"/>
          <w:szCs w:val="32"/>
        </w:rPr>
        <w:t>十四、关于2023年度预算绩效情况的说明</w:t>
      </w:r>
    </w:p>
    <w:p>
      <w:pPr>
        <w:pStyle w:val="15"/>
        <w:spacing w:line="580" w:lineRule="exact"/>
        <w:ind w:firstLine="642" w:firstLineChars="200"/>
        <w:rPr>
          <w:rFonts w:ascii="楷体" w:hAnsi="楷体" w:eastAsia="楷体" w:cs="楷体"/>
          <w:b/>
          <w:bCs/>
          <w:sz w:val="32"/>
          <w:szCs w:val="32"/>
        </w:rPr>
      </w:pPr>
      <w:r>
        <w:rPr>
          <w:rFonts w:hint="eastAsia" w:ascii="楷体" w:hAnsi="楷体" w:eastAsia="楷体" w:cs="楷体"/>
          <w:b/>
          <w:bCs/>
          <w:sz w:val="32"/>
          <w:szCs w:val="32"/>
        </w:rPr>
        <w:t>（一）绩效管理工作开展情况</w:t>
      </w:r>
    </w:p>
    <w:p>
      <w:pPr>
        <w:pStyle w:val="15"/>
        <w:spacing w:line="600" w:lineRule="exact"/>
        <w:ind w:firstLine="640" w:firstLineChars="200"/>
        <w:rPr>
          <w:rFonts w:ascii="仿宋" w:hAnsi="仿宋" w:eastAsia="仿宋" w:cs="仿宋"/>
          <w:color w:val="auto"/>
          <w:kern w:val="2"/>
          <w:sz w:val="32"/>
          <w:szCs w:val="32"/>
        </w:rPr>
      </w:pPr>
      <w:r>
        <w:rPr>
          <w:rFonts w:hint="eastAsia" w:ascii="仿宋" w:hAnsi="仿宋" w:eastAsia="仿宋" w:cs="仿宋"/>
          <w:color w:val="auto"/>
          <w:kern w:val="2"/>
          <w:sz w:val="32"/>
          <w:szCs w:val="32"/>
        </w:rPr>
        <w:t>我单位严格执行《湘潭县预算绩效管理实施办法》，加强财政资金的管理，提高财政资金使用的效益，做到了专款专用，收支平衡，保证了单位的正常运行，按要求完成了当年的绩效评价工作，并制定了《湘潭县发展和改革局预算绩效管理实施方案》，确定了我单位绩效管理及自评范围，按要求积极开展绩效自评，并将自评报告在湘潭县人民政府网站及单位官网进行了公开。2023年度我单位重点绩效评价项目为</w:t>
      </w:r>
      <w:r>
        <w:rPr>
          <w:rFonts w:hint="eastAsia" w:eastAsia="仿宋_GB2312"/>
          <w:sz w:val="32"/>
          <w:szCs w:val="32"/>
        </w:rPr>
        <w:t>重大项目库运行维护及前期专项经费</w:t>
      </w:r>
      <w:r>
        <w:rPr>
          <w:rFonts w:hint="eastAsia" w:ascii="仿宋" w:hAnsi="仿宋" w:eastAsia="仿宋" w:cs="仿宋"/>
          <w:color w:val="auto"/>
          <w:kern w:val="2"/>
          <w:sz w:val="32"/>
          <w:szCs w:val="32"/>
        </w:rPr>
        <w:t>。</w:t>
      </w:r>
    </w:p>
    <w:p>
      <w:pPr>
        <w:pStyle w:val="15"/>
        <w:spacing w:line="580" w:lineRule="exact"/>
        <w:ind w:firstLine="642" w:firstLineChars="200"/>
        <w:rPr>
          <w:rFonts w:ascii="楷体" w:hAnsi="楷体" w:eastAsia="楷体" w:cs="楷体"/>
          <w:b/>
          <w:bCs/>
          <w:sz w:val="32"/>
          <w:szCs w:val="32"/>
        </w:rPr>
      </w:pPr>
      <w:r>
        <w:rPr>
          <w:rFonts w:hint="eastAsia" w:ascii="楷体" w:hAnsi="楷体" w:eastAsia="楷体" w:cs="楷体"/>
          <w:b/>
          <w:bCs/>
          <w:sz w:val="32"/>
          <w:szCs w:val="32"/>
        </w:rPr>
        <w:t>（二）部门（单位）整体支出绩效情况</w:t>
      </w:r>
    </w:p>
    <w:p>
      <w:pPr>
        <w:pStyle w:val="15"/>
        <w:spacing w:line="600" w:lineRule="exact"/>
        <w:ind w:firstLine="640" w:firstLineChars="200"/>
        <w:rPr>
          <w:rFonts w:hint="eastAsia" w:ascii="仿宋" w:hAnsi="仿宋" w:eastAsia="仿宋" w:cs="仿宋"/>
          <w:color w:val="auto"/>
          <w:kern w:val="2"/>
          <w:sz w:val="32"/>
          <w:szCs w:val="32"/>
        </w:rPr>
      </w:pPr>
      <w:r>
        <w:rPr>
          <w:rFonts w:hint="eastAsia" w:ascii="仿宋" w:hAnsi="仿宋" w:eastAsia="仿宋" w:cs="仿宋"/>
          <w:color w:val="auto"/>
          <w:kern w:val="2"/>
          <w:sz w:val="32"/>
          <w:szCs w:val="32"/>
        </w:rPr>
        <w:t>本</w:t>
      </w:r>
      <w:r>
        <w:rPr>
          <w:rFonts w:hint="eastAsia" w:ascii="仿宋" w:hAnsi="仿宋" w:eastAsia="仿宋" w:cs="仿宋"/>
          <w:color w:val="auto"/>
          <w:kern w:val="2"/>
          <w:sz w:val="32"/>
          <w:szCs w:val="32"/>
          <w:lang w:val="en-US" w:eastAsia="zh-CN"/>
        </w:rPr>
        <w:t>单位</w:t>
      </w:r>
      <w:r>
        <w:rPr>
          <w:rFonts w:hint="eastAsia" w:ascii="仿宋" w:hAnsi="仿宋" w:eastAsia="仿宋" w:cs="仿宋"/>
          <w:color w:val="auto"/>
          <w:kern w:val="2"/>
          <w:sz w:val="32"/>
          <w:szCs w:val="32"/>
        </w:rPr>
        <w:t>2023年整体支出4,285.32万元，其中：基本支出900.10万元，项目支出3,385.22万元，三公经费控制率47.14%；我局在预算执行、预算管理及职责履行等方面执行情况较好，保障了正常运转以及各项业务工作的正常开展，产生了较好的社会效益，较好地完成了各项目标任务：全年完成地区生产总值573.08亿元，增长5.6%；规模工业增加值增长8%；固定资产投资增长6.7%；社会消费品零售总额增长8.8%；城乡居民人均可支配收入分别为45812元、27212元，增长3.6%、6.4%。湘潭县综合实力不断增强，位列赛迪中部县域经济百强榜第42名，稳居中郡县域经济与社会综合发展百强县行列。</w:t>
      </w:r>
    </w:p>
    <w:p>
      <w:pPr>
        <w:pStyle w:val="15"/>
        <w:spacing w:line="580" w:lineRule="exact"/>
        <w:ind w:firstLine="642" w:firstLineChars="200"/>
        <w:rPr>
          <w:rFonts w:ascii="楷体" w:hAnsi="楷体" w:eastAsia="楷体" w:cs="楷体"/>
          <w:b/>
          <w:bCs/>
          <w:sz w:val="32"/>
          <w:szCs w:val="32"/>
        </w:rPr>
      </w:pPr>
      <w:r>
        <w:rPr>
          <w:rFonts w:hint="eastAsia" w:ascii="楷体" w:hAnsi="楷体" w:eastAsia="楷体" w:cs="楷体"/>
          <w:b/>
          <w:bCs/>
          <w:sz w:val="32"/>
          <w:szCs w:val="32"/>
        </w:rPr>
        <w:t xml:space="preserve">（三）存在的问题及原因分析 </w:t>
      </w:r>
    </w:p>
    <w:p>
      <w:pPr>
        <w:pStyle w:val="15"/>
        <w:spacing w:line="600" w:lineRule="exact"/>
        <w:ind w:firstLine="640" w:firstLineChars="200"/>
        <w:rPr>
          <w:rFonts w:ascii="仿宋" w:hAnsi="仿宋" w:eastAsia="仿宋" w:cs="仿宋"/>
          <w:color w:val="auto"/>
          <w:kern w:val="2"/>
          <w:sz w:val="32"/>
          <w:szCs w:val="32"/>
        </w:rPr>
      </w:pPr>
      <w:r>
        <w:rPr>
          <w:rFonts w:hint="eastAsia" w:ascii="仿宋" w:hAnsi="仿宋" w:eastAsia="仿宋" w:cs="仿宋"/>
          <w:color w:val="auto"/>
          <w:kern w:val="2"/>
          <w:sz w:val="32"/>
          <w:szCs w:val="32"/>
        </w:rPr>
        <w:t>1</w:t>
      </w:r>
      <w:r>
        <w:rPr>
          <w:rFonts w:hint="eastAsia" w:ascii="仿宋" w:hAnsi="仿宋" w:eastAsia="仿宋" w:cs="仿宋"/>
          <w:color w:val="auto"/>
          <w:kern w:val="2"/>
          <w:sz w:val="32"/>
          <w:szCs w:val="32"/>
          <w:lang w:eastAsia="zh-CN"/>
        </w:rPr>
        <w:t>、</w:t>
      </w:r>
      <w:r>
        <w:rPr>
          <w:rFonts w:hint="eastAsia" w:ascii="仿宋" w:hAnsi="仿宋" w:eastAsia="仿宋" w:cs="仿宋"/>
          <w:color w:val="auto"/>
          <w:kern w:val="2"/>
          <w:sz w:val="32"/>
          <w:szCs w:val="32"/>
        </w:rPr>
        <w:t>结转资金指标较多。因上年结转及年中追加中央、省、市专项资金，本年均通过我局一般公共预算资金进行拨付，造成项目经费支出超出年初预算数。</w:t>
      </w:r>
    </w:p>
    <w:p>
      <w:pPr>
        <w:pStyle w:val="15"/>
        <w:spacing w:line="600" w:lineRule="exact"/>
        <w:ind w:firstLine="640" w:firstLineChars="200"/>
        <w:rPr>
          <w:rFonts w:ascii="仿宋" w:hAnsi="仿宋" w:eastAsia="仿宋" w:cs="仿宋"/>
          <w:color w:val="auto"/>
          <w:kern w:val="2"/>
          <w:sz w:val="32"/>
          <w:szCs w:val="32"/>
        </w:rPr>
      </w:pPr>
      <w:r>
        <w:rPr>
          <w:rFonts w:hint="eastAsia" w:ascii="仿宋" w:hAnsi="仿宋" w:eastAsia="仿宋" w:cs="仿宋"/>
          <w:color w:val="auto"/>
          <w:kern w:val="2"/>
          <w:sz w:val="32"/>
          <w:szCs w:val="32"/>
          <w:lang w:val="en-US" w:eastAsia="zh-CN"/>
        </w:rPr>
        <w:t>2、</w:t>
      </w:r>
      <w:r>
        <w:rPr>
          <w:rFonts w:hint="eastAsia" w:ascii="仿宋" w:hAnsi="仿宋" w:eastAsia="仿宋" w:cs="仿宋"/>
          <w:color w:val="auto"/>
          <w:kern w:val="2"/>
          <w:sz w:val="32"/>
          <w:szCs w:val="32"/>
        </w:rPr>
        <w:t>对项目业务政策理解不深刻，指标设置考虑不周，对个别项目的绩效指标设置不完整、不具体。</w:t>
      </w: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outlineLvl w:val="0"/>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财政拨款收入</w:t>
      </w:r>
      <w:r>
        <w:rPr>
          <w:rFonts w:hint="eastAsia" w:ascii="仿宋" w:hAnsi="仿宋" w:eastAsia="仿宋" w:cs="仿宋"/>
          <w:sz w:val="32"/>
          <w:szCs w:val="32"/>
        </w:rPr>
        <w:t>：指财政当年拨付的资金。包括一般公共预算财政拨款和政府性基金财政拨款。</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上级补助收入</w:t>
      </w:r>
      <w:r>
        <w:rPr>
          <w:rFonts w:hint="eastAsia" w:ascii="仿宋" w:hAnsi="仿宋" w:eastAsia="仿宋" w:cs="仿宋"/>
          <w:sz w:val="32"/>
          <w:szCs w:val="32"/>
        </w:rPr>
        <w:t>：指事业单位从主管部门和上级单位取得的非财政补助收入。</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事业收入</w:t>
      </w:r>
      <w:r>
        <w:rPr>
          <w:rFonts w:hint="eastAsia" w:ascii="仿宋" w:hAnsi="仿宋" w:eastAsia="仿宋" w:cs="仿宋"/>
          <w:sz w:val="32"/>
          <w:szCs w:val="32"/>
        </w:rPr>
        <w:t>：指事业单位开展专业业务活动及辅助活动所取得的收入。</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经营收入</w:t>
      </w:r>
      <w:r>
        <w:rPr>
          <w:rFonts w:hint="eastAsia" w:ascii="仿宋" w:hAnsi="仿宋" w:eastAsia="仿宋" w:cs="仿宋"/>
          <w:sz w:val="32"/>
          <w:szCs w:val="32"/>
        </w:rPr>
        <w:t>：指事业单位在专业业务活动及其辅助活动之外开展非独立核算经营活动取得的收入。</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附属单位上缴收入</w:t>
      </w:r>
      <w:r>
        <w:rPr>
          <w:rFonts w:hint="eastAsia" w:ascii="仿宋" w:hAnsi="仿宋" w:eastAsia="仿宋" w:cs="仿宋"/>
          <w:sz w:val="32"/>
          <w:szCs w:val="32"/>
        </w:rPr>
        <w:t>：指事业单位附属独立核算单位按照有关规定上缴的收入。</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其他收入</w:t>
      </w:r>
      <w:r>
        <w:rPr>
          <w:rFonts w:hint="eastAsia" w:ascii="仿宋" w:hAnsi="仿宋" w:eastAsia="仿宋" w:cs="仿宋"/>
          <w:sz w:val="32"/>
          <w:szCs w:val="32"/>
        </w:rPr>
        <w:t>：指除上述“财政拨款收入”、“事业收入”、“经营收入”等以外的收入。</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用事业基金弥补收支差额</w:t>
      </w:r>
      <w:r>
        <w:rPr>
          <w:rFonts w:hint="eastAsia" w:ascii="仿宋" w:hAnsi="仿宋" w:eastAsia="仿宋" w:cs="仿宋"/>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年初结转和结余</w:t>
      </w:r>
      <w:r>
        <w:rPr>
          <w:rFonts w:hint="eastAsia" w:ascii="仿宋" w:hAnsi="仿宋" w:eastAsia="仿宋" w:cs="仿宋"/>
          <w:sz w:val="32"/>
          <w:szCs w:val="32"/>
        </w:rPr>
        <w:t>：指以前年度尚未完成、结转到本年按有关规定继续使用的资金。</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结余分配</w:t>
      </w:r>
      <w:r>
        <w:rPr>
          <w:rFonts w:hint="eastAsia" w:ascii="仿宋" w:hAnsi="仿宋" w:eastAsia="仿宋" w:cs="仿宋"/>
          <w:sz w:val="32"/>
          <w:szCs w:val="32"/>
        </w:rPr>
        <w:t>：指事业单位按规定从非财政补助结余中分配的事业基金和职工福利基金等。</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年末结转和结余</w:t>
      </w:r>
      <w:r>
        <w:rPr>
          <w:rFonts w:hint="eastAsia" w:ascii="仿宋" w:hAnsi="仿宋" w:eastAsia="仿宋" w:cs="仿宋"/>
          <w:sz w:val="32"/>
          <w:szCs w:val="32"/>
        </w:rPr>
        <w:t>：指本年度或以前年度预算安排、因客观条件发生变化无法按原计划实施，需要延迟到以后年度按有关规定继续使用的资金。</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基本支出</w:t>
      </w:r>
      <w:r>
        <w:rPr>
          <w:rFonts w:hint="eastAsia" w:ascii="仿宋" w:hAnsi="仿宋" w:eastAsia="仿宋" w:cs="仿宋"/>
          <w:sz w:val="32"/>
          <w:szCs w:val="32"/>
        </w:rPr>
        <w:t>：指为保障机构正常运转、完成日常工作任务而发生的人员支出和公用支出。</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项目支出</w:t>
      </w:r>
      <w:r>
        <w:rPr>
          <w:rFonts w:hint="eastAsia" w:ascii="仿宋" w:hAnsi="仿宋" w:eastAsia="仿宋" w:cs="仿宋"/>
          <w:sz w:val="32"/>
          <w:szCs w:val="32"/>
        </w:rPr>
        <w:t>：指在基本支出之外为完成特定行政任务和事业发展目标所发生的支出。</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经营支出</w:t>
      </w:r>
      <w:r>
        <w:rPr>
          <w:rFonts w:hint="eastAsia" w:ascii="仿宋" w:hAnsi="仿宋" w:eastAsia="仿宋" w:cs="仿宋"/>
          <w:sz w:val="32"/>
          <w:szCs w:val="32"/>
        </w:rPr>
        <w:t>：指事业单位在专业业务活动及其辅助活动之外开展非独立核算经营活动所发生的支出。</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“三公”经费</w:t>
      </w:r>
      <w:r>
        <w:rPr>
          <w:rFonts w:hint="eastAsia" w:ascii="仿宋" w:hAnsi="仿宋" w:eastAsia="仿宋" w:cs="仿宋"/>
          <w:sz w:val="32"/>
          <w:szCs w:val="32"/>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widowControl/>
        <w:spacing w:after="2" w:line="560" w:lineRule="exact"/>
        <w:ind w:firstLine="643"/>
        <w:jc w:val="left"/>
        <w:rPr>
          <w:rFonts w:ascii="仿宋" w:hAnsi="仿宋" w:eastAsia="仿宋" w:cs="仿宋"/>
          <w:sz w:val="32"/>
          <w:szCs w:val="32"/>
        </w:rPr>
      </w:pPr>
      <w:r>
        <w:rPr>
          <w:rFonts w:hint="eastAsia" w:ascii="仿宋" w:hAnsi="仿宋" w:eastAsia="仿宋" w:cs="仿宋"/>
          <w:b/>
          <w:bCs/>
          <w:sz w:val="32"/>
          <w:szCs w:val="32"/>
        </w:rPr>
        <w:t>机关运行经费</w:t>
      </w:r>
      <w:r>
        <w:rPr>
          <w:rFonts w:hint="eastAsia" w:ascii="仿宋" w:hAnsi="仿宋" w:eastAsia="仿宋" w:cs="仿宋"/>
          <w:sz w:val="32"/>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rFonts w:ascii="仿宋" w:hAnsi="仿宋" w:eastAsia="仿宋" w:cs="仿宋"/>
          <w:color w:val="auto"/>
          <w:kern w:val="2"/>
          <w:sz w:val="32"/>
          <w:szCs w:val="32"/>
        </w:rPr>
      </w:pPr>
    </w:p>
    <w:p>
      <w:pPr>
        <w:pStyle w:val="15"/>
        <w:spacing w:line="560" w:lineRule="exact"/>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p>
    <w:p>
      <w:pPr>
        <w:pStyle w:val="15"/>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outlineLvl w:val="0"/>
        <w:rPr>
          <w:rFonts w:ascii="黑体" w:eastAsia="黑体" w:cs="黑体"/>
          <w:color w:val="000000"/>
          <w:kern w:val="0"/>
          <w:sz w:val="70"/>
          <w:szCs w:val="70"/>
        </w:rPr>
      </w:pPr>
      <w:r>
        <w:rPr>
          <w:rFonts w:hint="eastAsia" w:ascii="黑体" w:eastAsia="黑体" w:cs="黑体"/>
          <w:color w:val="000000"/>
          <w:kern w:val="0"/>
          <w:sz w:val="70"/>
          <w:szCs w:val="70"/>
        </w:rPr>
        <w:t>附件</w:t>
      </w:r>
    </w:p>
    <w:p>
      <w:pPr>
        <w:spacing w:line="576" w:lineRule="exact"/>
        <w:jc w:val="center"/>
        <w:rPr>
          <w:rFonts w:ascii="黑体" w:eastAsia="黑体" w:cs="黑体"/>
          <w:color w:val="000000"/>
          <w:kern w:val="0"/>
          <w:sz w:val="70"/>
          <w:szCs w:val="70"/>
        </w:rPr>
      </w:pPr>
    </w:p>
    <w:p>
      <w:pPr>
        <w:spacing w:line="576" w:lineRule="exact"/>
        <w:jc w:val="center"/>
        <w:rPr>
          <w:rFonts w:ascii="黑体" w:eastAsia="黑体" w:cs="黑体"/>
          <w:color w:val="000000"/>
          <w:kern w:val="0"/>
          <w:sz w:val="70"/>
          <w:szCs w:val="70"/>
        </w:rPr>
      </w:pPr>
      <w:r>
        <w:rPr>
          <w:rFonts w:ascii="黑体" w:eastAsia="黑体" w:cs="黑体"/>
          <w:color w:val="000000"/>
          <w:kern w:val="0"/>
          <w:sz w:val="70"/>
          <w:szCs w:val="70"/>
        </w:rPr>
        <w:br w:type="page"/>
      </w:r>
    </w:p>
    <w:p>
      <w:pPr>
        <w:spacing w:line="576" w:lineRule="exact"/>
        <w:jc w:val="center"/>
        <w:rPr>
          <w:rFonts w:ascii="黑体" w:eastAsia="黑体" w:cs="黑体"/>
          <w:color w:val="000000"/>
          <w:kern w:val="0"/>
          <w:sz w:val="70"/>
          <w:szCs w:val="70"/>
        </w:rPr>
      </w:pPr>
    </w:p>
    <w:p>
      <w:pPr>
        <w:spacing w:line="576" w:lineRule="exact"/>
        <w:jc w:val="center"/>
        <w:rPr>
          <w:rFonts w:ascii="宋体" w:hAnsi="宋体" w:eastAsia="宋体" w:cs="方正小标宋简体"/>
          <w:b/>
          <w:bCs/>
          <w:sz w:val="44"/>
          <w:szCs w:val="44"/>
        </w:rPr>
      </w:pPr>
      <w:r>
        <w:rPr>
          <w:rFonts w:hint="eastAsia" w:ascii="宋体" w:hAnsi="宋体" w:eastAsia="宋体" w:cs="方正小标宋简体"/>
          <w:b/>
          <w:bCs/>
          <w:sz w:val="44"/>
          <w:szCs w:val="44"/>
        </w:rPr>
        <w:t>湘潭县发展和改革局2023年度部门整体支出</w:t>
      </w:r>
    </w:p>
    <w:p>
      <w:pPr>
        <w:spacing w:line="576" w:lineRule="exact"/>
        <w:jc w:val="center"/>
        <w:rPr>
          <w:rFonts w:ascii="宋体" w:hAnsi="宋体" w:eastAsia="宋体" w:cs="方正小标宋简体"/>
          <w:b/>
          <w:szCs w:val="32"/>
        </w:rPr>
      </w:pPr>
      <w:r>
        <w:rPr>
          <w:rFonts w:hint="eastAsia" w:ascii="宋体" w:hAnsi="宋体" w:eastAsia="宋体" w:cs="方正小标宋简体"/>
          <w:b/>
          <w:bCs/>
          <w:sz w:val="44"/>
          <w:szCs w:val="44"/>
        </w:rPr>
        <w:t>绩效评价报告</w:t>
      </w:r>
    </w:p>
    <w:tbl>
      <w:tblPr>
        <w:tblStyle w:val="10"/>
        <w:tblpPr w:leftFromText="180" w:rightFromText="180" w:vertAnchor="text" w:horzAnchor="margin" w:tblpXSpec="center" w:tblpY="844"/>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5"/>
        <w:gridCol w:w="6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81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单位名称</w:t>
            </w:r>
          </w:p>
        </w:tc>
        <w:tc>
          <w:tcPr>
            <w:tcW w:w="6507"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湘潭县发展和改革局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7" w:hRule="atLeast"/>
        </w:trPr>
        <w:tc>
          <w:tcPr>
            <w:tcW w:w="281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年度预算金额</w:t>
            </w:r>
          </w:p>
        </w:tc>
        <w:tc>
          <w:tcPr>
            <w:tcW w:w="6507" w:type="dxa"/>
            <w:vAlign w:val="center"/>
          </w:tcPr>
          <w:p>
            <w:pPr>
              <w:spacing w:line="400" w:lineRule="exact"/>
              <w:ind w:firstLine="480" w:firstLineChars="200"/>
              <w:jc w:val="center"/>
              <w:rPr>
                <w:rFonts w:ascii="仿宋" w:hAnsi="仿宋" w:eastAsia="仿宋" w:cs="仿宋"/>
                <w:sz w:val="24"/>
                <w:szCs w:val="24"/>
              </w:rPr>
            </w:pPr>
            <w:r>
              <w:rPr>
                <w:rFonts w:hint="eastAsia" w:ascii="仿宋" w:hAnsi="仿宋" w:eastAsia="仿宋" w:cs="仿宋"/>
                <w:kern w:val="0"/>
                <w:sz w:val="24"/>
                <w:szCs w:val="24"/>
              </w:rPr>
              <w:t>2,131.01万元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81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单位基本职能</w:t>
            </w:r>
          </w:p>
        </w:tc>
        <w:tc>
          <w:tcPr>
            <w:tcW w:w="6507" w:type="dxa"/>
            <w:vAlign w:val="center"/>
          </w:tcPr>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一、部门概况</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（一）机构设置及在职人员情况</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湘潭县发展和改革局是县人民政府工作部门，为正科级，对外加挂湘潭县粮食和物资储备局（简称县粮食和物资储备局）和湘潭县国防动员办公室（简称县国动办）牌子。同时，县人民防空办公室牌子加挂在县国防动员办公室。</w:t>
            </w:r>
          </w:p>
          <w:p>
            <w:pPr>
              <w:pStyle w:val="9"/>
              <w:spacing w:before="0" w:beforeAutospacing="0" w:after="0" w:afterAutospacing="0" w:line="33" w:lineRule="atLeast"/>
              <w:jc w:val="both"/>
              <w:rPr>
                <w:rFonts w:ascii="仿宋" w:hAnsi="仿宋" w:eastAsia="仿宋" w:cs="仿宋"/>
              </w:rPr>
            </w:pPr>
            <w:r>
              <w:rPr>
                <w:rFonts w:hint="eastAsia" w:ascii="仿宋" w:hAnsi="仿宋" w:eastAsia="仿宋" w:cs="仿宋"/>
              </w:rPr>
              <w:t>单位内设股室13个，分别为：综合办公室﹙经济体制综合改革股﹚、政策法规股（审批服务股、价格认证股）、农村经济股、工业交通能源环资股、第三产业办公室﹙社会事业发展股、商务流通股﹚、价格管理和成本调查股、粮食和物资储备股（粮食产业发展和粮食安全监管股）、财务审计股、离退休人员管理服务股、党建办公室、综合协调与规划督导股、指挥与信息化股、工程管理与军事设施保护股。下属二级事业机构5个,包括：县重点建设项目事务中心、县政府投资项目评审中心、县重点项目开发前期服务中心、县长株潭一体化事务中心、县价格认证和监测中心，其中县重点建设项目事务中心、县政府投资项目评审中心、县重点项目开发前期服务中心为副科级事业机构；1个国有企业，湘潭县裕湘粮食购销有限公司。</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现有编制人数49人，其中行政编制12人，事业编制31人，后勤编制6人；实有在职人员48人，其中：行政人员12人，非参公事业人员30人，机关后勤人员6人。现有退休人员74人，遗属人员6人。</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（二）部门主要工作职能</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1.拟订并组织实施全县国民经济和社会发展、人口发展、粮食流通和物资储备发展战略、中长期规划、年度计划和政策措施。</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2.统筹协调经济社会发展。研究分析经济形势和社会发展情况，监测预测预警全县宏观经济和社会发展态势，提出宏观调控措施和建议，协调解决宏观经济运行中的重大问题。</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3.做好专项经济体制改革之间的衔接。</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4.协调推进长株潭一体化建设。</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5.组织拟订综合性产业政策，负责协调第一、二、三产业发展的重大问题并统筹衔接相关发展规划和重大决策。协调推进重大基础设施建设。牵头负责全县物流发展工作。</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6.推进实施创新驱动发展战略。</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7.负责投资综合管理。负责政府投资项目审批，组织实施政府投资项目计划安排、评审论证、方案优化、估算审查、后评价等工作。规划全县重大建设项目和生产力布局，按规定权限审批、核准、备案重大项目。负责全县重大项目库建设和重大项目前期工作，协调全县招标投标工作。</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8.负责重要商品总量平衡和宏观调控。协助省市拟订国家战略物资储备规划，会同有关部门管理粮食、棉花和食糖等储备。</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9.统筹协调全县电力运行保障工作，做好全县能源供需总量平衡，落实能源体制改革。主管全县（除城镇燃气管道和炼油、化工等企业厂区内管道保护之外）的石油天然气管道保护工作。</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10.宣传贯彻执行国家的价格法律法规、方针政策。负责市场物价形势分析和发展趋势预测。负责市场重要商品的市场价格监测分析工作，负责价格成本调查和监审。</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11.组织编制全县国民经济建设和国防建设协调发展的规划、计划，组织实施国民经济动员和装备动员有关工作。</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12.组织实施全县战略和应急物资储备的收购、轮换的日常管理，负责县级储备粮的行政管理，承担全县粮食统计和粮食市场监测预警工作。指导协调最低收购粮食等政策性粮食购销和粮食产销合作，保障军队粮食供应。负责粮食流通监督检查。负责县域范围内粮食收购、储存、运输环节粮食质量安全和原粮卫生的监督管理，组织实施粮食库存检查工作。负责全县粮食流通、加工行业安全生产工作的监督管理。承担所属物资储备承储单位安全生产的监管责任。承担粮食安全责任制考核的组织实施工作。</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13.负责粮食和物资储备基础设施建设和管理。承担粮食和物资储备信息化建设工作。指导粮食流通和物资储备的科技创新、技术改造。</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14.统筹推进信用体系建设工作。</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15.完成县委、县政府交办的其他任务。</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（三）2023年度发展规划</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以党的二十大报告为指引，完整、准确、全面贯彻新发展理念，加快构建新发展格局，在推动高质量发展、加强经济运行调度、推进重大项目建设、落实争资争项工作、守牢粮食和能源安全、服务稳价保供惠民生上踔厉奋发、勇毅前行，为县委全面实现三提一领目标贡献力量。</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（四）2023年度工作计划</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1.全力做好经济指标运行调度。加强主要经济指标运行监测调度，对标63项高质量发展考核指标体系，建立经济运行分析常态化联络对接机制，科学有效制定相应措施，真正将指标压力转换为发展动力。</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2.全力抢抓政策机遇。充分发挥全县争资争项工作领导小组办公室职责，有序推进全县争资争项工作，精准研究对接国省政策，从政策中寻找项目，在项目中争取政策，为我县争取更多的资金支持、赢得更大的发展空间。聚焦政府专项债券、中央预算内投资、行业部门专项资金明确的方向，积极统筹协调调度，主动做好项目策划包装指导。</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3.全力抓好抓实重大项目建设。突出项目示范引领，以产业项目建设为抓手，以优质服务为保障，组织开展全县“闯新路、破险阻，兴产业”项目竞赛活动，实施“一单五制”督办机制，对重点任务进行分解，实行交办制、台账制、销号制、通报制、考核制管理。确保年内铺排重点项目100个以上，计划完成投资150亿元以上，竣工投产或建成投入使用项目40个以上。</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4.全力抓好民生福祉建设。围绕优化环境、成本调查、项目审批、粮食收购、稳价保供等惠企便民服务，深入开展党员干部“心连心走基层、面对面解难题”活动，通过纾困解难、推广信易贷、落实降本降费、实行帮代办、畅通收购渠道等措施，着力解决企业和群众融资难、降本难、操作难、送粮难等急难愁盼问题。</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（五）2023年度绩效目标</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1.全力推进投资增长，积极争取项目资金，确保中央和省市资金顺利到位，固定资产投资稳步增长。</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2.充分发挥政府投资的引导作用和放大效应，建立健全科学的政府投资决策、建设和监管制度。</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3.加强粮食物资储备和监管，落实粮食应急预案，确保我县粮食市场的基本稳定，确保县级储备粮油的正常轮换及储存安全。</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4.加强机关作风建设和内务管理，严格遵守八项规定，控制“三公”消费，厉行节约，遵守单位十项规定，打造一个和谐、文明、服务的机关。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81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部门整体支出管理和使用基本情况</w:t>
            </w:r>
          </w:p>
        </w:tc>
        <w:tc>
          <w:tcPr>
            <w:tcW w:w="6507" w:type="dxa"/>
            <w:vAlign w:val="center"/>
          </w:tcPr>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一、预算执行情况</w:t>
            </w:r>
          </w:p>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（一）年初预算安排情况</w:t>
            </w:r>
          </w:p>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根据湘潭县财政局《关于2023年度县直单位部门预算的批复》（潭财发〔2023〕1号）文件对我局预算的批复，我局2023年年初收入预算2,131.01万元，其中：财政公共预算拨款2,131.01万元。</w:t>
            </w:r>
          </w:p>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（二）年中指标调整情况</w:t>
            </w:r>
          </w:p>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调整追加县级预算内指标512.44万元;中央、省级转移支付资金指标1,488.05万元，以上指标调整合计2,000.49万元。</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（三）部门预算执行情况</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1.2023年部门收入决算情况</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2023年部门决算总收入4,377.33万元，其中一般公共财政拨款收入3,906.95万元，占总收入的89.25%；其他资金收入470.38万元，占总收入的10.75%。</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2.2023年部门支出决算情况</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2023年决算总支出4,285.32万元，其中基本支出900.10万元，占总支出的21%；项目支出3,385.22万元，占总支出的79%。</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3.2023年“三公经费”情况</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2023年“三公经费”年初预算9.8万元，其中：公务接待费预算5万元，公务用车运行维护费预算4.8万元。2023年“三公经费”实际支出4.62万元，其中：公务接待费支出0.14万元，公务用车运行维护费支出4.48万元。“三公经费”预算控制率为47.14%；“三公经费”支出比上年减少了0.52万元，节约率-10.04%。</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二、预算执行及管理情况分析</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（一）预算执行方面</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1.预算控制率：我局2023年支出全部在年度预算资金内按计划安排，除了因政策性因素影响产生的人员经费增加，以及中央、省级项目资金的追加外，无其他预算资金的调整。</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2.预算执行控制率：2023年度预算资金支出总计4,285.32万元，其中：基本支出900.10万元（人员经费支出726.81万元，公用经费支出173.29万元）；基本支出年初预算数为634.43万元，年中政策性追加调资养老保险补缴、政策性调资合计100.93万元，基本支出指标合计735.36万元，基本支出预算控制率122.40%;项目支出决算数3,385.22万元，项目支出年初预算数为1,496.58万元，年中追加本级预算资金411.51万元，中央、省级项目资金下达1,488.05万元，其他资金470.38万元，项目支出本年预算指标合计3,866.52万元，项目支出预算控制率87.55%。</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3.“三公经费”控制率：“三公经费”年初预算9.8万元，实际支出4.62万元，“三公经费”控制率为47.14%。</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4.年初结转结余470.63万元，本年收入4,377.33万元，本年支出4,285.32万元，年末结转结余562.64万元，分项目核算结余结转。</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（二）预算管理方面</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1.管理制度健全性:我局制定了《财务管理制度》和《内部控制手册》，明确了经费审批权限及程序，经费预算管理、财务收支管理、资产购置与处置、财务监督，开展公用经费使用监督和绩效评估，进一步落实厉行节约的各项规定，确保“三公经费”使用合理合规。</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2.专账核算：我局项目支出全部分项目单独核算。</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3.预决算公开：我局按照规定时限和规定内容在单位门户网站以及湘潭县人民政府网站公开部门预算、决算以及绩效自评信息，各项应向社会公开的信息及时、完整、真实。</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4.政府采购：按照《中华人民共和国政府采购法》、《政府采购内部控制制度》的要求，对达到政府采购限额的货物和服务都进行了政府采购，采购执行率100%。</w:t>
            </w:r>
          </w:p>
          <w:p>
            <w:pPr>
              <w:pStyle w:val="9"/>
              <w:spacing w:before="0" w:beforeAutospacing="0" w:after="0" w:afterAutospacing="0" w:line="33" w:lineRule="atLeast"/>
              <w:ind w:firstLine="480" w:firstLineChars="200"/>
              <w:jc w:val="both"/>
              <w:rPr>
                <w:rFonts w:ascii="仿宋" w:hAnsi="仿宋" w:eastAsia="仿宋" w:cs="仿宋"/>
              </w:rPr>
            </w:pPr>
            <w:r>
              <w:rPr>
                <w:rFonts w:hint="eastAsia" w:ascii="仿宋" w:hAnsi="仿宋" w:eastAsia="仿宋" w:cs="仿宋"/>
              </w:rPr>
              <w:t>5.资产管理：我局制定了《资产管理内控制度》，国有资产的管理严格按照制度的相关工作要求，规范会计核算，保障资产系统数据与财务数据的一致性；全面开展了资产清查工作，上报国有资产报表数据真实、准确、全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81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部门整体</w:t>
            </w:r>
          </w:p>
          <w:p>
            <w:pPr>
              <w:spacing w:line="400" w:lineRule="exact"/>
              <w:jc w:val="center"/>
              <w:rPr>
                <w:rFonts w:ascii="仿宋" w:hAnsi="仿宋" w:eastAsia="仿宋" w:cs="仿宋"/>
                <w:sz w:val="24"/>
                <w:szCs w:val="24"/>
              </w:rPr>
            </w:pPr>
            <w:r>
              <w:rPr>
                <w:rFonts w:hint="eastAsia" w:ascii="仿宋" w:hAnsi="仿宋" w:eastAsia="仿宋" w:cs="仿宋"/>
                <w:sz w:val="24"/>
                <w:szCs w:val="24"/>
              </w:rPr>
              <w:t>支出绩效</w:t>
            </w:r>
          </w:p>
        </w:tc>
        <w:tc>
          <w:tcPr>
            <w:tcW w:w="6507" w:type="dxa"/>
            <w:vAlign w:val="center"/>
          </w:tcPr>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坚持以习近平新时代中国特色社会主义思想为指导，深入学习贯彻党的二十大精神，在县委、县政府的坚强领导下，全体干部职工紧紧围绕三提一领发展目标，履职尽责、真抓实干，统筹做好经济社会发展的各项工作，较好地完成了各项目标任务：</w:t>
            </w:r>
          </w:p>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1）全年完成地区生产总值573.08亿元，增长5.6%；规模工业增加值增长8%；固定资产投资增长6.7%；社会消费品零售总额增长8.8%；城乡居民人均可支配收入分别为45812元、27212元，增长3.6%、6.4%。湘潭县综合实力不断增强，位列赛迪中部县域经济百强榜第42名，稳居中郡县域经济与社会综合发展百强县行列。</w:t>
            </w:r>
          </w:p>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（2）全年铺排省市县重点项目117个，完成投资157亿元，其中省重点项目投资完成率达150%，市重点项目投资完成率达120%；</w:t>
            </w:r>
          </w:p>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3）全年争取政策（试点）14个，储备重大项目290个，储备上报专项债项目17个，争取各类上级资金104.71亿元，专项债发行额度在五个县市区中排名第一；一般债券资金6550万元，完成市下达任务109.17%；再融资债券资金57.56亿元。争取金融工具资金16.25亿元。</w:t>
            </w:r>
          </w:p>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4）不断提高评审质量和决策水平，严格按照《湘潭县政府投资项目管理暂行办法》文件要求，进行政府投资项目的可研评审和概算评审，项目可行性报告进一步优化，项目投资估算概算更加合理，报告内容更加规范完整。</w:t>
            </w:r>
          </w:p>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5）严格做好超标粮监管，严防不符合卫生指标粮食流入口粮市场，完成政策性粮食出库任务；扎实抓好粮食收购，坚持“先检后收、优粮优价、应收尽收”，确保粮食收购市场平稳有序；牵头制定实施了《湘潭县2023年“优质粮油工程升级版”示范县（重点县）项目实施方案》，推动湘潭县获评湖南省2023年“优质粮油工程升级版”示范县（重点县）；县发改局被市委考核工作领导小组评为“地方敢闯”先进典型。</w:t>
            </w:r>
          </w:p>
          <w:p>
            <w:pPr>
              <w:widowControl/>
              <w:spacing w:line="33" w:lineRule="atLeast"/>
              <w:ind w:firstLine="480" w:firstLineChars="200"/>
              <w:rPr>
                <w:rFonts w:ascii="仿宋" w:hAnsi="仿宋" w:eastAsia="仿宋" w:cs="仿宋"/>
                <w:sz w:val="24"/>
                <w:szCs w:val="24"/>
              </w:rPr>
            </w:pPr>
            <w:r>
              <w:rPr>
                <w:rFonts w:hint="eastAsia" w:ascii="仿宋" w:hAnsi="仿宋" w:eastAsia="仿宋" w:cs="仿宋"/>
                <w:kern w:val="0"/>
                <w:sz w:val="24"/>
                <w:szCs w:val="24"/>
              </w:rPr>
              <w:t>（6）价格调控方面，全年共落实国家和省中心拟定的粮食、居民食品、鲜猪肉、服务价格等122个品种、365人次、3667个数据的采集、审核、上报、入库工作。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81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存在的问题</w:t>
            </w:r>
          </w:p>
        </w:tc>
        <w:tc>
          <w:tcPr>
            <w:tcW w:w="6507" w:type="dxa"/>
            <w:vAlign w:val="center"/>
          </w:tcPr>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1.结转资金指标较多。因上年结转及年中追加中央、省、市专项资金，本年均通过我局一般公共预算资金进行拨付，造成项目经费支出超出年初预算数。</w:t>
            </w:r>
          </w:p>
          <w:p>
            <w:pPr>
              <w:widowControl/>
              <w:spacing w:line="33" w:lineRule="atLeast"/>
              <w:ind w:firstLine="480" w:firstLineChars="200"/>
              <w:rPr>
                <w:rFonts w:ascii="仿宋" w:hAnsi="仿宋" w:eastAsia="仿宋" w:cs="仿宋"/>
                <w:sz w:val="24"/>
                <w:szCs w:val="24"/>
              </w:rPr>
            </w:pPr>
            <w:r>
              <w:rPr>
                <w:rFonts w:hint="eastAsia" w:ascii="仿宋" w:hAnsi="仿宋" w:eastAsia="仿宋" w:cs="仿宋"/>
                <w:kern w:val="0"/>
                <w:sz w:val="24"/>
                <w:szCs w:val="24"/>
              </w:rPr>
              <w:t>2.对项目业务政策理解不深刻，指标设置考虑不周，对个别项目的绩效指标设置不完整、不具体。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281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改进措施</w:t>
            </w:r>
          </w:p>
        </w:tc>
        <w:tc>
          <w:tcPr>
            <w:tcW w:w="6507" w:type="dxa"/>
            <w:vAlign w:val="center"/>
          </w:tcPr>
          <w:p>
            <w:pPr>
              <w:widowControl/>
              <w:spacing w:line="33" w:lineRule="atLeast"/>
              <w:ind w:firstLine="480" w:firstLineChars="200"/>
              <w:rPr>
                <w:rFonts w:ascii="仿宋" w:hAnsi="仿宋" w:eastAsia="仿宋" w:cs="仿宋"/>
              </w:rPr>
            </w:pPr>
            <w:r>
              <w:rPr>
                <w:rFonts w:hint="eastAsia" w:ascii="仿宋" w:hAnsi="仿宋" w:eastAsia="仿宋" w:cs="仿宋"/>
                <w:kern w:val="0"/>
                <w:sz w:val="24"/>
                <w:szCs w:val="24"/>
              </w:rPr>
              <w:t>1.加强预算编制的前瞻性，按照新《中华人民共和国预算法》及其实施条例的相关规定，做好、做细预算基础工作，提高预算的准确性，进一步加强业务股室的预算管理意识，在资金安排和年初预算审核时，结合实际，分类研究，科学测算，合理安排，统一支出标准，进一步提高预算编制的科学性、严谨性和可控性。</w:t>
            </w:r>
          </w:p>
          <w:p>
            <w:pPr>
              <w:widowControl/>
              <w:spacing w:line="33" w:lineRule="atLeast"/>
              <w:ind w:firstLine="480" w:firstLineChars="200"/>
              <w:rPr>
                <w:rFonts w:ascii="仿宋" w:hAnsi="仿宋" w:eastAsia="仿宋" w:cs="仿宋"/>
                <w:sz w:val="24"/>
                <w:szCs w:val="24"/>
              </w:rPr>
            </w:pPr>
            <w:r>
              <w:rPr>
                <w:rFonts w:hint="eastAsia" w:ascii="仿宋" w:hAnsi="仿宋" w:eastAsia="仿宋" w:cs="仿宋"/>
                <w:kern w:val="0"/>
                <w:sz w:val="24"/>
                <w:szCs w:val="24"/>
              </w:rPr>
              <w:t>2.做好绩效管理标准化建设，建立科学的评价体系；加强绩效管理培训学习，提高思想认识；完善单位绩效管理内部管理制度，明确绩效管理职责，优化业务流程。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00" w:hRule="atLeast"/>
        </w:trPr>
        <w:tc>
          <w:tcPr>
            <w:tcW w:w="2815"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其他需要说明问题</w:t>
            </w:r>
          </w:p>
        </w:tc>
        <w:tc>
          <w:tcPr>
            <w:tcW w:w="6507" w:type="dxa"/>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无</w:t>
            </w:r>
          </w:p>
        </w:tc>
      </w:tr>
    </w:tbl>
    <w:p>
      <w:pPr>
        <w:spacing w:line="576" w:lineRule="exact"/>
        <w:jc w:val="center"/>
        <w:rPr>
          <w:rFonts w:ascii="宋体" w:hAnsi="宋体" w:eastAsia="宋体" w:cs="方正小标宋简体"/>
          <w:b/>
          <w:bCs/>
          <w:sz w:val="44"/>
          <w:szCs w:val="44"/>
        </w:rPr>
      </w:pPr>
    </w:p>
    <w:p/>
    <w:p/>
    <w:p/>
    <w:p>
      <w:pPr>
        <w:widowControl/>
        <w:jc w:val="left"/>
        <w:rPr>
          <w:rFonts w:ascii="黑体" w:eastAsia="黑体" w:cs="黑体"/>
          <w:color w:val="000000"/>
          <w:kern w:val="0"/>
          <w:sz w:val="70"/>
          <w:szCs w:val="70"/>
        </w:rPr>
      </w:pPr>
    </w:p>
    <w:sectPr>
      <w:pgSz w:w="11906" w:h="16838"/>
      <w:pgMar w:top="720" w:right="720" w:bottom="720" w:left="72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STSongStd-Light">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方正小标宋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4OWMzNGNiZmU2NGVkOTVlNmRiN2M1M2YzNzVmMzQifQ=="/>
  </w:docVars>
  <w:rsids>
    <w:rsidRoot w:val="004506F9"/>
    <w:rsid w:val="00014CF9"/>
    <w:rsid w:val="000220DE"/>
    <w:rsid w:val="0002229B"/>
    <w:rsid w:val="000273BD"/>
    <w:rsid w:val="000415B7"/>
    <w:rsid w:val="00041E3F"/>
    <w:rsid w:val="0004788B"/>
    <w:rsid w:val="00055DAA"/>
    <w:rsid w:val="00061F7B"/>
    <w:rsid w:val="00062197"/>
    <w:rsid w:val="00062382"/>
    <w:rsid w:val="00064139"/>
    <w:rsid w:val="000658A3"/>
    <w:rsid w:val="00071795"/>
    <w:rsid w:val="00074155"/>
    <w:rsid w:val="00077507"/>
    <w:rsid w:val="00081DF7"/>
    <w:rsid w:val="00092A5A"/>
    <w:rsid w:val="00094EA9"/>
    <w:rsid w:val="000A3F69"/>
    <w:rsid w:val="000A4EFC"/>
    <w:rsid w:val="000B1B11"/>
    <w:rsid w:val="000E39D1"/>
    <w:rsid w:val="000F6009"/>
    <w:rsid w:val="00103957"/>
    <w:rsid w:val="00131E51"/>
    <w:rsid w:val="00136AD4"/>
    <w:rsid w:val="001527BC"/>
    <w:rsid w:val="00152C6D"/>
    <w:rsid w:val="00155FBC"/>
    <w:rsid w:val="00162D39"/>
    <w:rsid w:val="00166E32"/>
    <w:rsid w:val="001678BD"/>
    <w:rsid w:val="001737CD"/>
    <w:rsid w:val="00175488"/>
    <w:rsid w:val="001A67DB"/>
    <w:rsid w:val="001A7DE1"/>
    <w:rsid w:val="001C3C29"/>
    <w:rsid w:val="001C7957"/>
    <w:rsid w:val="001D51E5"/>
    <w:rsid w:val="001E080D"/>
    <w:rsid w:val="001E53D0"/>
    <w:rsid w:val="001F0C3B"/>
    <w:rsid w:val="00202C82"/>
    <w:rsid w:val="00214427"/>
    <w:rsid w:val="00226CB7"/>
    <w:rsid w:val="00234269"/>
    <w:rsid w:val="00245BCF"/>
    <w:rsid w:val="00264466"/>
    <w:rsid w:val="00264552"/>
    <w:rsid w:val="00264EF9"/>
    <w:rsid w:val="00265724"/>
    <w:rsid w:val="00273BA7"/>
    <w:rsid w:val="0027426B"/>
    <w:rsid w:val="002758E1"/>
    <w:rsid w:val="00285439"/>
    <w:rsid w:val="002B4BE3"/>
    <w:rsid w:val="002D2D3D"/>
    <w:rsid w:val="002D7D6F"/>
    <w:rsid w:val="002E0A30"/>
    <w:rsid w:val="00310C9A"/>
    <w:rsid w:val="003130C4"/>
    <w:rsid w:val="00316C4B"/>
    <w:rsid w:val="0032192B"/>
    <w:rsid w:val="00321D79"/>
    <w:rsid w:val="003226B4"/>
    <w:rsid w:val="00334E4F"/>
    <w:rsid w:val="003479BD"/>
    <w:rsid w:val="00350B87"/>
    <w:rsid w:val="00357C3F"/>
    <w:rsid w:val="0037197D"/>
    <w:rsid w:val="00375222"/>
    <w:rsid w:val="003768D5"/>
    <w:rsid w:val="00381597"/>
    <w:rsid w:val="0039002A"/>
    <w:rsid w:val="00396C61"/>
    <w:rsid w:val="003A59BC"/>
    <w:rsid w:val="003A6BF3"/>
    <w:rsid w:val="003C2D5D"/>
    <w:rsid w:val="003C47E6"/>
    <w:rsid w:val="003C4FC2"/>
    <w:rsid w:val="003D0417"/>
    <w:rsid w:val="003D1370"/>
    <w:rsid w:val="003D7920"/>
    <w:rsid w:val="003E0A7A"/>
    <w:rsid w:val="004144F9"/>
    <w:rsid w:val="00416E61"/>
    <w:rsid w:val="0042790C"/>
    <w:rsid w:val="004506F9"/>
    <w:rsid w:val="004717A2"/>
    <w:rsid w:val="00473DF3"/>
    <w:rsid w:val="00487911"/>
    <w:rsid w:val="00491741"/>
    <w:rsid w:val="004A5DAC"/>
    <w:rsid w:val="004F7477"/>
    <w:rsid w:val="00500E5F"/>
    <w:rsid w:val="005122EF"/>
    <w:rsid w:val="0051441A"/>
    <w:rsid w:val="00517C33"/>
    <w:rsid w:val="00523644"/>
    <w:rsid w:val="005373DE"/>
    <w:rsid w:val="00537FCD"/>
    <w:rsid w:val="0054069E"/>
    <w:rsid w:val="00544866"/>
    <w:rsid w:val="0057034F"/>
    <w:rsid w:val="0057546E"/>
    <w:rsid w:val="005767CC"/>
    <w:rsid w:val="00581E37"/>
    <w:rsid w:val="0058685A"/>
    <w:rsid w:val="00590D9F"/>
    <w:rsid w:val="00595D26"/>
    <w:rsid w:val="005A74E6"/>
    <w:rsid w:val="005B404E"/>
    <w:rsid w:val="005B6411"/>
    <w:rsid w:val="005C3372"/>
    <w:rsid w:val="005D46E2"/>
    <w:rsid w:val="005D4D55"/>
    <w:rsid w:val="005D5B59"/>
    <w:rsid w:val="005D6072"/>
    <w:rsid w:val="005E2CFB"/>
    <w:rsid w:val="005F3D1C"/>
    <w:rsid w:val="005F519C"/>
    <w:rsid w:val="006012A4"/>
    <w:rsid w:val="0062378F"/>
    <w:rsid w:val="00633634"/>
    <w:rsid w:val="00641842"/>
    <w:rsid w:val="00645B99"/>
    <w:rsid w:val="006519EB"/>
    <w:rsid w:val="00651EEC"/>
    <w:rsid w:val="006553BD"/>
    <w:rsid w:val="0067234E"/>
    <w:rsid w:val="00691E8C"/>
    <w:rsid w:val="006A22C4"/>
    <w:rsid w:val="006A351B"/>
    <w:rsid w:val="006B0422"/>
    <w:rsid w:val="006C1B53"/>
    <w:rsid w:val="006C530D"/>
    <w:rsid w:val="006D1F4A"/>
    <w:rsid w:val="006D7730"/>
    <w:rsid w:val="006E5284"/>
    <w:rsid w:val="006F3EB5"/>
    <w:rsid w:val="00702E34"/>
    <w:rsid w:val="00704395"/>
    <w:rsid w:val="00705B24"/>
    <w:rsid w:val="00717621"/>
    <w:rsid w:val="00720FF1"/>
    <w:rsid w:val="0072377C"/>
    <w:rsid w:val="007263BE"/>
    <w:rsid w:val="00727A53"/>
    <w:rsid w:val="007377D2"/>
    <w:rsid w:val="00737C78"/>
    <w:rsid w:val="00745560"/>
    <w:rsid w:val="007534C7"/>
    <w:rsid w:val="00753E98"/>
    <w:rsid w:val="00766A49"/>
    <w:rsid w:val="007705DD"/>
    <w:rsid w:val="00773C71"/>
    <w:rsid w:val="00780762"/>
    <w:rsid w:val="00787B42"/>
    <w:rsid w:val="007966B7"/>
    <w:rsid w:val="007B0A00"/>
    <w:rsid w:val="007B3302"/>
    <w:rsid w:val="007C4539"/>
    <w:rsid w:val="007F0A71"/>
    <w:rsid w:val="007F3657"/>
    <w:rsid w:val="007F6198"/>
    <w:rsid w:val="00812ED5"/>
    <w:rsid w:val="00814FF6"/>
    <w:rsid w:val="008265CC"/>
    <w:rsid w:val="00827006"/>
    <w:rsid w:val="008277D9"/>
    <w:rsid w:val="008349C5"/>
    <w:rsid w:val="0084478C"/>
    <w:rsid w:val="0085615F"/>
    <w:rsid w:val="0086638C"/>
    <w:rsid w:val="00870872"/>
    <w:rsid w:val="008A3E8D"/>
    <w:rsid w:val="008A7525"/>
    <w:rsid w:val="008B4800"/>
    <w:rsid w:val="008D6F79"/>
    <w:rsid w:val="008F2081"/>
    <w:rsid w:val="008F7A22"/>
    <w:rsid w:val="009237C4"/>
    <w:rsid w:val="00944C48"/>
    <w:rsid w:val="00950252"/>
    <w:rsid w:val="00967F5D"/>
    <w:rsid w:val="00971075"/>
    <w:rsid w:val="009A0F95"/>
    <w:rsid w:val="009B3ADF"/>
    <w:rsid w:val="009C3B52"/>
    <w:rsid w:val="009C7AEB"/>
    <w:rsid w:val="009D5F8C"/>
    <w:rsid w:val="009E6817"/>
    <w:rsid w:val="009E6A73"/>
    <w:rsid w:val="009E6E9A"/>
    <w:rsid w:val="009E742F"/>
    <w:rsid w:val="00A01D2B"/>
    <w:rsid w:val="00A039D7"/>
    <w:rsid w:val="00A05FE0"/>
    <w:rsid w:val="00A06840"/>
    <w:rsid w:val="00A36796"/>
    <w:rsid w:val="00A37536"/>
    <w:rsid w:val="00A42218"/>
    <w:rsid w:val="00A53A25"/>
    <w:rsid w:val="00A70249"/>
    <w:rsid w:val="00A70B02"/>
    <w:rsid w:val="00A71D9F"/>
    <w:rsid w:val="00A75A19"/>
    <w:rsid w:val="00A80354"/>
    <w:rsid w:val="00A92E9F"/>
    <w:rsid w:val="00AD3DAC"/>
    <w:rsid w:val="00AE360A"/>
    <w:rsid w:val="00AE6173"/>
    <w:rsid w:val="00AE623A"/>
    <w:rsid w:val="00AF036A"/>
    <w:rsid w:val="00B25969"/>
    <w:rsid w:val="00B33BEA"/>
    <w:rsid w:val="00B55035"/>
    <w:rsid w:val="00B57C9F"/>
    <w:rsid w:val="00B63572"/>
    <w:rsid w:val="00B845B3"/>
    <w:rsid w:val="00B84C90"/>
    <w:rsid w:val="00B85D8B"/>
    <w:rsid w:val="00BA1904"/>
    <w:rsid w:val="00BB3ACC"/>
    <w:rsid w:val="00BB4A40"/>
    <w:rsid w:val="00BD6C3E"/>
    <w:rsid w:val="00BE3674"/>
    <w:rsid w:val="00BF3B09"/>
    <w:rsid w:val="00C05FE5"/>
    <w:rsid w:val="00C10681"/>
    <w:rsid w:val="00C3049A"/>
    <w:rsid w:val="00C31B1E"/>
    <w:rsid w:val="00C44C3C"/>
    <w:rsid w:val="00C45FDD"/>
    <w:rsid w:val="00C51304"/>
    <w:rsid w:val="00C52397"/>
    <w:rsid w:val="00C6670C"/>
    <w:rsid w:val="00C77645"/>
    <w:rsid w:val="00CB35E5"/>
    <w:rsid w:val="00CB5FDE"/>
    <w:rsid w:val="00CB6E89"/>
    <w:rsid w:val="00CB6F7D"/>
    <w:rsid w:val="00CC6B3C"/>
    <w:rsid w:val="00CE04C3"/>
    <w:rsid w:val="00CE3241"/>
    <w:rsid w:val="00CE74C0"/>
    <w:rsid w:val="00CE76A0"/>
    <w:rsid w:val="00CF0223"/>
    <w:rsid w:val="00D048D6"/>
    <w:rsid w:val="00D148C6"/>
    <w:rsid w:val="00D17A8A"/>
    <w:rsid w:val="00D26DD3"/>
    <w:rsid w:val="00D30986"/>
    <w:rsid w:val="00D415BA"/>
    <w:rsid w:val="00D644EE"/>
    <w:rsid w:val="00D82DEF"/>
    <w:rsid w:val="00D94D62"/>
    <w:rsid w:val="00DD06FF"/>
    <w:rsid w:val="00DD5FE9"/>
    <w:rsid w:val="00DF7FC1"/>
    <w:rsid w:val="00E00C7A"/>
    <w:rsid w:val="00E03533"/>
    <w:rsid w:val="00E146C2"/>
    <w:rsid w:val="00E254E5"/>
    <w:rsid w:val="00E31FAE"/>
    <w:rsid w:val="00E37D6C"/>
    <w:rsid w:val="00E43A20"/>
    <w:rsid w:val="00E55B68"/>
    <w:rsid w:val="00E67BE6"/>
    <w:rsid w:val="00E828BC"/>
    <w:rsid w:val="00E8683C"/>
    <w:rsid w:val="00E90D83"/>
    <w:rsid w:val="00EA17BB"/>
    <w:rsid w:val="00EA2B72"/>
    <w:rsid w:val="00EB6743"/>
    <w:rsid w:val="00EC1B65"/>
    <w:rsid w:val="00EE4C4F"/>
    <w:rsid w:val="00F00CA2"/>
    <w:rsid w:val="00F05338"/>
    <w:rsid w:val="00F23261"/>
    <w:rsid w:val="00F6753E"/>
    <w:rsid w:val="00F74360"/>
    <w:rsid w:val="00F74C08"/>
    <w:rsid w:val="00F77F25"/>
    <w:rsid w:val="00FB031F"/>
    <w:rsid w:val="00FB462F"/>
    <w:rsid w:val="00FB540A"/>
    <w:rsid w:val="00FB7667"/>
    <w:rsid w:val="00FD1E4C"/>
    <w:rsid w:val="00FE09F9"/>
    <w:rsid w:val="00FE119A"/>
    <w:rsid w:val="00FE16FA"/>
    <w:rsid w:val="00FE328A"/>
    <w:rsid w:val="00FE6030"/>
    <w:rsid w:val="00FE6269"/>
    <w:rsid w:val="00FE79A6"/>
    <w:rsid w:val="013B45A6"/>
    <w:rsid w:val="024F78B5"/>
    <w:rsid w:val="028B4862"/>
    <w:rsid w:val="033B50CF"/>
    <w:rsid w:val="035E700F"/>
    <w:rsid w:val="03C74658"/>
    <w:rsid w:val="03D64DF8"/>
    <w:rsid w:val="03EE3926"/>
    <w:rsid w:val="044B07DB"/>
    <w:rsid w:val="05B35A28"/>
    <w:rsid w:val="05CB2C09"/>
    <w:rsid w:val="065C5C18"/>
    <w:rsid w:val="06FF7C11"/>
    <w:rsid w:val="07506C6F"/>
    <w:rsid w:val="075B5D40"/>
    <w:rsid w:val="079714E4"/>
    <w:rsid w:val="08A52C48"/>
    <w:rsid w:val="0B9F1F73"/>
    <w:rsid w:val="0BBE241D"/>
    <w:rsid w:val="0C3C0E1E"/>
    <w:rsid w:val="0D906C46"/>
    <w:rsid w:val="0F277D2D"/>
    <w:rsid w:val="128D5516"/>
    <w:rsid w:val="13B011C1"/>
    <w:rsid w:val="13F07810"/>
    <w:rsid w:val="169841F7"/>
    <w:rsid w:val="16DA6555"/>
    <w:rsid w:val="18463EA2"/>
    <w:rsid w:val="1AAE59C8"/>
    <w:rsid w:val="1AB47E8B"/>
    <w:rsid w:val="1BFB1946"/>
    <w:rsid w:val="1C5202B2"/>
    <w:rsid w:val="1D413725"/>
    <w:rsid w:val="1D4B5DF7"/>
    <w:rsid w:val="1E0008A6"/>
    <w:rsid w:val="1E401394"/>
    <w:rsid w:val="1E673B11"/>
    <w:rsid w:val="1EC77564"/>
    <w:rsid w:val="1FB27F56"/>
    <w:rsid w:val="20447EB6"/>
    <w:rsid w:val="204739EC"/>
    <w:rsid w:val="211D59BC"/>
    <w:rsid w:val="21521B0A"/>
    <w:rsid w:val="21644D58"/>
    <w:rsid w:val="22F95FB5"/>
    <w:rsid w:val="231837DC"/>
    <w:rsid w:val="23516B3F"/>
    <w:rsid w:val="23B64838"/>
    <w:rsid w:val="244A4D1A"/>
    <w:rsid w:val="244B2840"/>
    <w:rsid w:val="25621A2B"/>
    <w:rsid w:val="25D043BC"/>
    <w:rsid w:val="26123616"/>
    <w:rsid w:val="265F1340"/>
    <w:rsid w:val="266D24DE"/>
    <w:rsid w:val="29652B4F"/>
    <w:rsid w:val="2A742AF1"/>
    <w:rsid w:val="2AD976DE"/>
    <w:rsid w:val="2B5461BB"/>
    <w:rsid w:val="2BD60F07"/>
    <w:rsid w:val="2C05674F"/>
    <w:rsid w:val="2C4C3F30"/>
    <w:rsid w:val="2CFA6F22"/>
    <w:rsid w:val="2D594220"/>
    <w:rsid w:val="2D805D60"/>
    <w:rsid w:val="2DB402E6"/>
    <w:rsid w:val="2E2C4C28"/>
    <w:rsid w:val="2F465183"/>
    <w:rsid w:val="2FF4402D"/>
    <w:rsid w:val="308F6174"/>
    <w:rsid w:val="31CD7110"/>
    <w:rsid w:val="3265738C"/>
    <w:rsid w:val="32F742BF"/>
    <w:rsid w:val="34330B43"/>
    <w:rsid w:val="343B01DB"/>
    <w:rsid w:val="34AF4725"/>
    <w:rsid w:val="36CB6E86"/>
    <w:rsid w:val="36CF7301"/>
    <w:rsid w:val="37AB41E8"/>
    <w:rsid w:val="38C369F1"/>
    <w:rsid w:val="3AC058DE"/>
    <w:rsid w:val="3BAB2308"/>
    <w:rsid w:val="3BED44B1"/>
    <w:rsid w:val="3C77021F"/>
    <w:rsid w:val="3CDB255C"/>
    <w:rsid w:val="3E285C74"/>
    <w:rsid w:val="3E440139"/>
    <w:rsid w:val="3F8A60AE"/>
    <w:rsid w:val="3FCF203E"/>
    <w:rsid w:val="400718BA"/>
    <w:rsid w:val="407D037A"/>
    <w:rsid w:val="40D4449F"/>
    <w:rsid w:val="414B3FAB"/>
    <w:rsid w:val="41F402F3"/>
    <w:rsid w:val="44801C3A"/>
    <w:rsid w:val="46BC2C1F"/>
    <w:rsid w:val="47094169"/>
    <w:rsid w:val="47A0329E"/>
    <w:rsid w:val="47A67D7F"/>
    <w:rsid w:val="486C78B4"/>
    <w:rsid w:val="49ED476D"/>
    <w:rsid w:val="4A6859CC"/>
    <w:rsid w:val="4AB8212E"/>
    <w:rsid w:val="4BC142C2"/>
    <w:rsid w:val="4C4D2043"/>
    <w:rsid w:val="4D7C5695"/>
    <w:rsid w:val="4DC4703C"/>
    <w:rsid w:val="4DC814FE"/>
    <w:rsid w:val="4FBF11AA"/>
    <w:rsid w:val="4FFA6D45"/>
    <w:rsid w:val="50744D49"/>
    <w:rsid w:val="555B3FA7"/>
    <w:rsid w:val="55EC35D4"/>
    <w:rsid w:val="56893385"/>
    <w:rsid w:val="57A51C8C"/>
    <w:rsid w:val="588C15CC"/>
    <w:rsid w:val="58973300"/>
    <w:rsid w:val="59715F35"/>
    <w:rsid w:val="5A0E6CE5"/>
    <w:rsid w:val="5A574B13"/>
    <w:rsid w:val="5B4517BC"/>
    <w:rsid w:val="5C060914"/>
    <w:rsid w:val="5C0A0310"/>
    <w:rsid w:val="5C4467BA"/>
    <w:rsid w:val="5D236733"/>
    <w:rsid w:val="5DDD2180"/>
    <w:rsid w:val="5E6A467A"/>
    <w:rsid w:val="5EB6652D"/>
    <w:rsid w:val="5F891FDB"/>
    <w:rsid w:val="617F59DF"/>
    <w:rsid w:val="61E1377C"/>
    <w:rsid w:val="63302D52"/>
    <w:rsid w:val="64F617CF"/>
    <w:rsid w:val="655140DF"/>
    <w:rsid w:val="66061E56"/>
    <w:rsid w:val="66D31BFA"/>
    <w:rsid w:val="67FD51CC"/>
    <w:rsid w:val="68DB550E"/>
    <w:rsid w:val="69CB5582"/>
    <w:rsid w:val="69CC6D87"/>
    <w:rsid w:val="69F85FA8"/>
    <w:rsid w:val="6C2A6D62"/>
    <w:rsid w:val="6C8528C8"/>
    <w:rsid w:val="712A0D03"/>
    <w:rsid w:val="714A76D4"/>
    <w:rsid w:val="716A5681"/>
    <w:rsid w:val="72953EE9"/>
    <w:rsid w:val="73851F3E"/>
    <w:rsid w:val="738B5D82"/>
    <w:rsid w:val="73AE4989"/>
    <w:rsid w:val="75354E5A"/>
    <w:rsid w:val="777110D9"/>
    <w:rsid w:val="778117ED"/>
    <w:rsid w:val="79014D9D"/>
    <w:rsid w:val="79766B8D"/>
    <w:rsid w:val="79D00993"/>
    <w:rsid w:val="7A703A1A"/>
    <w:rsid w:val="7B2E5B8B"/>
    <w:rsid w:val="7BCE5BCC"/>
    <w:rsid w:val="7C946A3E"/>
    <w:rsid w:val="7CC4169E"/>
    <w:rsid w:val="7CE75583"/>
    <w:rsid w:val="7E567286"/>
    <w:rsid w:val="7E8F38CA"/>
    <w:rsid w:val="7EC16AFC"/>
    <w:rsid w:val="7F0200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8"/>
    <w:semiHidden/>
    <w:unhideWhenUsed/>
    <w:qFormat/>
    <w:uiPriority w:val="99"/>
    <w:rPr>
      <w:rFonts w:ascii="宋体" w:eastAsia="宋体"/>
      <w:sz w:val="18"/>
      <w:szCs w:val="18"/>
    </w:rPr>
  </w:style>
  <w:style w:type="paragraph" w:styleId="3">
    <w:name w:val="Body Text Indent"/>
    <w:basedOn w:val="1"/>
    <w:next w:val="4"/>
    <w:semiHidden/>
    <w:qFormat/>
    <w:uiPriority w:val="99"/>
    <w:pPr>
      <w:spacing w:after="120"/>
      <w:ind w:left="420" w:leftChars="200"/>
    </w:pPr>
  </w:style>
  <w:style w:type="paragraph" w:styleId="4">
    <w:name w:val="Body Text First Indent 2"/>
    <w:basedOn w:val="3"/>
    <w:next w:val="1"/>
    <w:unhideWhenUsed/>
    <w:qFormat/>
    <w:uiPriority w:val="99"/>
    <w:pPr>
      <w:spacing w:before="100" w:beforeAutospacing="1"/>
      <w:ind w:firstLine="420"/>
    </w:pPr>
    <w:rPr>
      <w:sz w:val="22"/>
    </w:rPr>
  </w:style>
  <w:style w:type="paragraph" w:styleId="5">
    <w:name w:val="Balloon Text"/>
    <w:basedOn w:val="1"/>
    <w:link w:val="17"/>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semiHidden/>
    <w:qFormat/>
    <w:uiPriority w:val="0"/>
    <w:pPr>
      <w:snapToGrid w:val="0"/>
      <w:jc w:val="left"/>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Strong"/>
    <w:basedOn w:val="11"/>
    <w:qFormat/>
    <w:uiPriority w:val="22"/>
    <w:rPr>
      <w:b/>
    </w:rPr>
  </w:style>
  <w:style w:type="character" w:customStyle="1" w:styleId="13">
    <w:name w:val="页眉 Char"/>
    <w:basedOn w:val="11"/>
    <w:link w:val="7"/>
    <w:qFormat/>
    <w:uiPriority w:val="99"/>
    <w:rPr>
      <w:sz w:val="18"/>
      <w:szCs w:val="18"/>
    </w:rPr>
  </w:style>
  <w:style w:type="character" w:customStyle="1" w:styleId="14">
    <w:name w:val="页脚 Char"/>
    <w:basedOn w:val="11"/>
    <w:link w:val="6"/>
    <w:qFormat/>
    <w:uiPriority w:val="99"/>
    <w:rPr>
      <w:sz w:val="18"/>
      <w:szCs w:val="18"/>
    </w:rPr>
  </w:style>
  <w:style w:type="paragraph" w:customStyle="1" w:styleId="15">
    <w:name w:val="Default"/>
    <w:qFormat/>
    <w:uiPriority w:val="99"/>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1"/>
    <w:link w:val="5"/>
    <w:semiHidden/>
    <w:qFormat/>
    <w:uiPriority w:val="99"/>
    <w:rPr>
      <w:sz w:val="18"/>
      <w:szCs w:val="18"/>
    </w:rPr>
  </w:style>
  <w:style w:type="character" w:customStyle="1" w:styleId="18">
    <w:name w:val="文档结构图 Char"/>
    <w:basedOn w:val="11"/>
    <w:link w:val="2"/>
    <w:semiHidden/>
    <w:qFormat/>
    <w:uiPriority w:val="99"/>
    <w:rPr>
      <w:rFonts w:ascii="宋体" w:hAnsiTheme="minorHAnsi" w:cstheme="minorBidi"/>
      <w:kern w:val="2"/>
      <w:sz w:val="18"/>
      <w:szCs w:val="18"/>
    </w:rPr>
  </w:style>
  <w:style w:type="character" w:customStyle="1" w:styleId="19">
    <w:name w:val="font31"/>
    <w:basedOn w:val="11"/>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45</Pages>
  <Words>18534</Words>
  <Characters>22434</Characters>
  <Lines>185</Lines>
  <Paragraphs>52</Paragraphs>
  <TotalTime>42</TotalTime>
  <ScaleCrop>false</ScaleCrop>
  <LinksUpToDate>false</LinksUpToDate>
  <CharactersWithSpaces>23448</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2023-08-03T00:00:00Z</dcterms:created>
  <dc:creator>李航 null</dc:creator>
  <cp:lastModifiedBy>WPS_1721360342</cp:lastModifiedBy>
  <cp:lastPrinted>2024-08-01T23:29:00Z</cp:lastPrinted>
  <dcterms:modified xsi:type="dcterms:W3CDTF">2025-03-14T16:44:23Z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D2084F07CF066AE408FFF566158C16AF</vt:lpwstr>
  </property>
</Properties>
</file>