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BC766B5">
      <w:pPr>
        <w:spacing w:line="480" w:lineRule="exact"/>
        <w:ind w:right="26"/>
        <w:rPr>
          <w:rFonts w:hint="default" w:ascii="黑体" w:hAnsi="黑体" w:eastAsia="黑体"/>
          <w:color w:val="000000"/>
          <w:sz w:val="28"/>
          <w:szCs w:val="28"/>
          <w:lang w:val="en-US" w:eastAsia="zh-CN"/>
        </w:rPr>
      </w:pPr>
      <w:r>
        <w:rPr>
          <w:rFonts w:hint="eastAsia" w:ascii="黑体" w:hAnsi="黑体" w:eastAsia="黑体"/>
          <w:color w:val="000000"/>
          <w:sz w:val="28"/>
          <w:szCs w:val="28"/>
        </w:rPr>
        <w:t>附件</w:t>
      </w:r>
      <w:r>
        <w:rPr>
          <w:rFonts w:hint="eastAsia" w:ascii="黑体" w:hAnsi="黑体" w:eastAsia="黑体"/>
          <w:color w:val="000000"/>
          <w:sz w:val="28"/>
          <w:szCs w:val="28"/>
          <w:lang w:val="en-US" w:eastAsia="zh-CN"/>
        </w:rPr>
        <w:t>4-2</w:t>
      </w:r>
    </w:p>
    <w:p w14:paraId="4F773464">
      <w:pPr>
        <w:widowControl/>
        <w:spacing w:beforeLines="100" w:afterLines="100" w:line="50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2025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年项目支出绩效目标表</w:t>
      </w:r>
    </w:p>
    <w:p w14:paraId="70306E65">
      <w:pPr>
        <w:pStyle w:val="2"/>
      </w:pPr>
    </w:p>
    <w:tbl>
      <w:tblPr>
        <w:tblStyle w:val="3"/>
        <w:tblW w:w="10036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43"/>
        <w:gridCol w:w="1134"/>
        <w:gridCol w:w="1143"/>
        <w:gridCol w:w="2331"/>
        <w:gridCol w:w="1575"/>
        <w:gridCol w:w="2010"/>
      </w:tblGrid>
      <w:tr w14:paraId="6A4D7C1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" w:hRule="atLeast"/>
          <w:jc w:val="center"/>
        </w:trPr>
        <w:tc>
          <w:tcPr>
            <w:tcW w:w="10036" w:type="dxa"/>
            <w:gridSpan w:val="6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15AB46B3">
            <w:pPr>
              <w:widowControl/>
              <w:ind w:right="120"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</w:rPr>
              <w:t>填报单位：（盖章）</w:t>
            </w:r>
            <w:r>
              <w:rPr>
                <w:rFonts w:hint="eastAsia" w:eastAsia="仿宋_GB2312"/>
                <w:color w:val="000000"/>
                <w:szCs w:val="21"/>
              </w:rPr>
              <w:t>湘潭县文化旅游</w:t>
            </w:r>
            <w:r>
              <w:rPr>
                <w:rFonts w:hint="eastAsia" w:eastAsia="仿宋_GB2312"/>
                <w:color w:val="000000"/>
                <w:szCs w:val="21"/>
                <w:lang w:eastAsia="zh-CN"/>
              </w:rPr>
              <w:t>广电</w:t>
            </w:r>
            <w:r>
              <w:rPr>
                <w:rFonts w:hint="eastAsia" w:eastAsia="仿宋_GB2312"/>
                <w:color w:val="000000"/>
                <w:szCs w:val="21"/>
              </w:rPr>
              <w:t>体育局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</w:rPr>
              <w:t xml:space="preserve">             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lang w:val="en-US" w:eastAsia="zh-CN"/>
              </w:rPr>
              <w:t xml:space="preserve">     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</w:rPr>
              <w:t xml:space="preserve">          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</w:rPr>
              <w:t>单位：</w:t>
            </w:r>
            <w:r>
              <w:rPr>
                <w:rFonts w:hint="eastAsia" w:eastAsia="仿宋_GB2312"/>
                <w:color w:val="000000"/>
                <w:szCs w:val="21"/>
                <w:lang w:eastAsia="zh-CN"/>
              </w:rPr>
              <w:t>万元</w:t>
            </w:r>
          </w:p>
        </w:tc>
      </w:tr>
      <w:tr w14:paraId="4B90003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FA5303B">
            <w:pPr>
              <w:widowControl/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  <w:t>项目支出名称</w:t>
            </w:r>
          </w:p>
        </w:tc>
        <w:tc>
          <w:tcPr>
            <w:tcW w:w="227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B411E33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  <w:t>送戏下乡、演艺惠民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3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96969BD">
            <w:pPr>
              <w:widowControl/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  <w:t>预算部门</w:t>
            </w:r>
          </w:p>
        </w:tc>
        <w:tc>
          <w:tcPr>
            <w:tcW w:w="358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979C52E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eastAsia="仿宋_GB2312"/>
                <w:color w:val="000000"/>
                <w:szCs w:val="21"/>
              </w:rPr>
              <w:t>湘潭县文化旅游</w:t>
            </w:r>
            <w:r>
              <w:rPr>
                <w:rFonts w:hint="eastAsia" w:eastAsia="仿宋_GB2312"/>
                <w:color w:val="000000"/>
                <w:szCs w:val="21"/>
                <w:lang w:eastAsia="zh-CN"/>
              </w:rPr>
              <w:t>广电</w:t>
            </w:r>
            <w:r>
              <w:rPr>
                <w:rFonts w:hint="eastAsia" w:eastAsia="仿宋_GB2312"/>
                <w:color w:val="000000"/>
                <w:szCs w:val="21"/>
              </w:rPr>
              <w:t>体育局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  <w:t>　</w:t>
            </w:r>
          </w:p>
        </w:tc>
      </w:tr>
      <w:tr w14:paraId="191CEA7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D506023">
            <w:pPr>
              <w:widowControl/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  <w:t>年度本级</w:t>
            </w:r>
          </w:p>
          <w:p w14:paraId="569BC2CA">
            <w:pPr>
              <w:widowControl/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  <w:t>预算金额</w:t>
            </w:r>
          </w:p>
        </w:tc>
        <w:tc>
          <w:tcPr>
            <w:tcW w:w="227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FEA5BFC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  <w:t>53.86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3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6D0B4C9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  <w:t>该项目支出上级资金</w:t>
            </w:r>
          </w:p>
        </w:tc>
        <w:tc>
          <w:tcPr>
            <w:tcW w:w="358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1B51B63">
            <w:pPr>
              <w:widowControl/>
              <w:jc w:val="center"/>
              <w:rPr>
                <w:rFonts w:hint="default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</w:pPr>
          </w:p>
        </w:tc>
      </w:tr>
      <w:tr w14:paraId="440ED54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ECDBC63">
            <w:pPr>
              <w:widowControl/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  <w:t>项目支出实施期</w:t>
            </w:r>
          </w:p>
        </w:tc>
        <w:tc>
          <w:tcPr>
            <w:tcW w:w="819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B6B4451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202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5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年1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月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-1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2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月</w:t>
            </w:r>
          </w:p>
        </w:tc>
      </w:tr>
      <w:tr w14:paraId="7E6C716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167F0E4">
            <w:pPr>
              <w:widowControl/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  <w:t>实施期绩效目标</w:t>
            </w:r>
          </w:p>
        </w:tc>
        <w:tc>
          <w:tcPr>
            <w:tcW w:w="819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1A115DF">
            <w:pPr>
              <w:widowControl/>
              <w:jc w:val="left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  <w:t>公司制定年度计划2025年1-12月在全县17个乡镇演出65场。以寓教于乐的形式，将党的路线、方针、政策和国家法律、法规、送进企业、校园、社区、农村，不断满足基层群众日益增长的精神文化需求。　</w:t>
            </w:r>
          </w:p>
        </w:tc>
      </w:tr>
      <w:tr w14:paraId="58E18D4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D5D4E26">
            <w:pPr>
              <w:widowControl/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  <w:t>本年度绩效目标</w:t>
            </w:r>
          </w:p>
        </w:tc>
        <w:tc>
          <w:tcPr>
            <w:tcW w:w="819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1832ED8">
            <w:pPr>
              <w:widowControl/>
              <w:jc w:val="left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  <w:t>公司制定年度计划2025年1-11月在全县17个乡镇演出65场。以寓教于乐的形式，将党的路线、方针、政策和国家法律、法规、送进企业、校园、社区、农村，不断满足基层群众日益增长的精神文化需求。　　</w:t>
            </w:r>
          </w:p>
        </w:tc>
      </w:tr>
      <w:tr w14:paraId="0D85CA4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3CBCCE3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  <w:t>本年度</w:t>
            </w:r>
          </w:p>
          <w:p w14:paraId="5C0CF0D1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  <w:t>绩效指标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C9685F8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  <w:t>一级指标</w:t>
            </w:r>
          </w:p>
        </w:tc>
        <w:tc>
          <w:tcPr>
            <w:tcW w:w="11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0F2D5F9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  <w:t>二级指标</w:t>
            </w:r>
          </w:p>
        </w:tc>
        <w:tc>
          <w:tcPr>
            <w:tcW w:w="23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AC6DBD7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  <w:t>三级指标</w:t>
            </w:r>
          </w:p>
        </w:tc>
        <w:tc>
          <w:tcPr>
            <w:tcW w:w="15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EB79602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  <w:t>指标值及单位</w:t>
            </w:r>
          </w:p>
        </w:tc>
        <w:tc>
          <w:tcPr>
            <w:tcW w:w="20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8E446EC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  <w:t>绩效标准</w:t>
            </w:r>
          </w:p>
        </w:tc>
      </w:tr>
      <w:tr w14:paraId="459E3FB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8EE37C9"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310D58D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  <w:t>产出指标</w:t>
            </w: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AC048FB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  <w:t>数量指标</w:t>
            </w:r>
          </w:p>
        </w:tc>
        <w:tc>
          <w:tcPr>
            <w:tcW w:w="23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5BE9B43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演出场次</w:t>
            </w:r>
          </w:p>
        </w:tc>
        <w:tc>
          <w:tcPr>
            <w:tcW w:w="15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357E464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65场</w:t>
            </w:r>
          </w:p>
        </w:tc>
        <w:tc>
          <w:tcPr>
            <w:tcW w:w="20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0EFFB45B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</w:p>
        </w:tc>
      </w:tr>
      <w:tr w14:paraId="1EEE803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320C04D"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6507FBC"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17BD37C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  <w:t>质量指标</w:t>
            </w:r>
          </w:p>
        </w:tc>
        <w:tc>
          <w:tcPr>
            <w:tcW w:w="23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9136A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公益演出完整率</w:t>
            </w:r>
          </w:p>
        </w:tc>
        <w:tc>
          <w:tcPr>
            <w:tcW w:w="15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87FFB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100%</w:t>
            </w:r>
          </w:p>
        </w:tc>
        <w:tc>
          <w:tcPr>
            <w:tcW w:w="20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7031E410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</w:p>
        </w:tc>
      </w:tr>
      <w:tr w14:paraId="5D131D5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20F469E"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732713A"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8C3B324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  <w:t>时效指标</w:t>
            </w:r>
          </w:p>
        </w:tc>
        <w:tc>
          <w:tcPr>
            <w:tcW w:w="23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45C0A6A"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  <w:t>　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eastAsia="zh-CN"/>
              </w:rPr>
              <w:t>任务完成时间</w:t>
            </w:r>
          </w:p>
        </w:tc>
        <w:tc>
          <w:tcPr>
            <w:tcW w:w="15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52CAF3F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2025年12月31日前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  <w:t>　</w:t>
            </w:r>
          </w:p>
        </w:tc>
        <w:tc>
          <w:tcPr>
            <w:tcW w:w="20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3310D988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</w:p>
        </w:tc>
      </w:tr>
      <w:tr w14:paraId="3EAB314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CA7ECB2"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653B3ED"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B5D8712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  <w:t>成本指标</w:t>
            </w:r>
          </w:p>
        </w:tc>
        <w:tc>
          <w:tcPr>
            <w:tcW w:w="23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F8E0226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eastAsia="zh-CN"/>
              </w:rPr>
              <w:t>总成本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  <w:t>　</w:t>
            </w:r>
          </w:p>
        </w:tc>
        <w:tc>
          <w:tcPr>
            <w:tcW w:w="15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0CE5D76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  <w:t>　≤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53.86万</w:t>
            </w:r>
          </w:p>
        </w:tc>
        <w:tc>
          <w:tcPr>
            <w:tcW w:w="20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3D880229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</w:p>
        </w:tc>
      </w:tr>
      <w:tr w14:paraId="06198CF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93CB8BF"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B4F30B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  <w:t>效益指标</w:t>
            </w: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7DAFF7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  <w:t>经济效益指标</w:t>
            </w:r>
          </w:p>
        </w:tc>
        <w:tc>
          <w:tcPr>
            <w:tcW w:w="233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9E3DE7"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  <w:t>经济效益指标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1"/>
                <w:szCs w:val="21"/>
              </w:rPr>
              <w:t>　</w:t>
            </w:r>
          </w:p>
        </w:tc>
        <w:tc>
          <w:tcPr>
            <w:tcW w:w="157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87A889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无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  <w:t>　</w:t>
            </w:r>
          </w:p>
        </w:tc>
        <w:tc>
          <w:tcPr>
            <w:tcW w:w="201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</w:tcPr>
          <w:p w14:paraId="2E15B1E9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</w:p>
        </w:tc>
      </w:tr>
      <w:tr w14:paraId="3643819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BDD4BAA"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7CD63A"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1AB3340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  <w:t>社会效益指标</w:t>
            </w:r>
          </w:p>
        </w:tc>
        <w:tc>
          <w:tcPr>
            <w:tcW w:w="23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DDD81D9"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通过演艺，开阔视野，增长见识，普及科学技术知识，提高人民群众的思想道德，科学文化素质，不断丰富群众的精神文明需求,满足人民群众基本文化需求</w:t>
            </w:r>
          </w:p>
        </w:tc>
        <w:tc>
          <w:tcPr>
            <w:tcW w:w="15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3F79DF3"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丰富群众的精神文明需求,满足人民群众基本文化需求</w:t>
            </w:r>
          </w:p>
        </w:tc>
        <w:tc>
          <w:tcPr>
            <w:tcW w:w="20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7F448C8B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</w:p>
        </w:tc>
      </w:tr>
      <w:tr w14:paraId="4C5DD89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D57916E"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045A06"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CEA7BCC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  <w:t>生态效益指标</w:t>
            </w:r>
          </w:p>
        </w:tc>
        <w:tc>
          <w:tcPr>
            <w:tcW w:w="23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C85D6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送戏下乡演出</w:t>
            </w:r>
          </w:p>
        </w:tc>
        <w:tc>
          <w:tcPr>
            <w:tcW w:w="15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9EE2F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无明显环境污染</w:t>
            </w:r>
          </w:p>
        </w:tc>
        <w:tc>
          <w:tcPr>
            <w:tcW w:w="20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6A09D893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</w:p>
        </w:tc>
      </w:tr>
      <w:tr w14:paraId="432C052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DBAC093"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1D3F83"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37AB05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  <w:t>可持续影响指标</w:t>
            </w:r>
          </w:p>
        </w:tc>
        <w:tc>
          <w:tcPr>
            <w:tcW w:w="233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34983B"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eastAsia="zh-CN"/>
              </w:rPr>
              <w:t>进一步</w:t>
            </w: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满足群众文化生活需求、提高当代人的文化素养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1"/>
                <w:szCs w:val="21"/>
              </w:rPr>
              <w:t>　</w:t>
            </w:r>
          </w:p>
        </w:tc>
        <w:tc>
          <w:tcPr>
            <w:tcW w:w="157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659DE7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eastAsia="zh-CN"/>
              </w:rPr>
              <w:t>长期</w:t>
            </w:r>
          </w:p>
        </w:tc>
        <w:tc>
          <w:tcPr>
            <w:tcW w:w="201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</w:tcPr>
          <w:p w14:paraId="56EB7B95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</w:p>
        </w:tc>
      </w:tr>
      <w:tr w14:paraId="5F06779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5A8BDD7"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18EC20"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9A5093C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  <w:t>社会公众或服务对象满意度指标</w:t>
            </w:r>
          </w:p>
        </w:tc>
        <w:tc>
          <w:tcPr>
            <w:tcW w:w="23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4CE7B7F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eastAsia="zh-CN"/>
              </w:rPr>
              <w:t>观众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满意度</w:t>
            </w:r>
          </w:p>
        </w:tc>
        <w:tc>
          <w:tcPr>
            <w:tcW w:w="15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56C4F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≥95%</w:t>
            </w:r>
          </w:p>
        </w:tc>
        <w:tc>
          <w:tcPr>
            <w:tcW w:w="20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055B6E39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bookmarkStart w:id="0" w:name="_GoBack"/>
            <w:bookmarkEnd w:id="0"/>
          </w:p>
        </w:tc>
      </w:tr>
    </w:tbl>
    <w:p w14:paraId="2DF0414C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仿宋_GB2312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88E2E00"/>
    <w:rsid w:val="0D724D63"/>
    <w:rsid w:val="11A73438"/>
    <w:rsid w:val="5E7239B9"/>
    <w:rsid w:val="7F665FB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 Spacing"/>
    <w:qFormat/>
    <w:uiPriority w:val="1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5">
    <w:name w:val="List Paragraph"/>
    <w:basedOn w:val="1"/>
    <w:qFormat/>
    <w:uiPriority w:val="99"/>
    <w:pPr>
      <w:spacing w:line="600" w:lineRule="exact"/>
      <w:ind w:firstLine="420" w:firstLineChars="200"/>
    </w:pPr>
    <w:rPr>
      <w:rFonts w:ascii="Times New Roman" w:hAnsi="Times New Roman" w:eastAsia="仿宋" w:cs="Calibri"/>
      <w:sz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Kingsoft</Company>
  <Pages>1</Pages>
  <Words>897</Words>
  <Characters>960</Characters>
  <Lines>0</Lines>
  <Paragraphs>0</Paragraphs>
  <TotalTime>0</TotalTime>
  <ScaleCrop>false</ScaleCrop>
  <LinksUpToDate>false</LinksUpToDate>
  <CharactersWithSpaces>1081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蓝天</dc:creator>
  <cp:lastModifiedBy>Administrator</cp:lastModifiedBy>
  <dcterms:modified xsi:type="dcterms:W3CDTF">2025-02-10T08:32:50Z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KSOTemplateDocerSaveRecord">
    <vt:lpwstr>eyJoZGlkIjoiZTIwOTczNWU4NjkzM2Y3MzBiOTk2YmEyYmRjYWY0ZWMifQ==</vt:lpwstr>
  </property>
  <property fmtid="{D5CDD505-2E9C-101B-9397-08002B2CF9AE}" pid="4" name="ICV">
    <vt:lpwstr>0195C03AC38F4E029A2DBFFBDDD3EF43_12</vt:lpwstr>
  </property>
</Properties>
</file>