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01D9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rPr>
        <w:t>XTDR</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00003</w:t>
      </w:r>
    </w:p>
    <w:p w14:paraId="401182EE">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仿宋_GB2312" w:cs="Times New Roman"/>
          <w:sz w:val="32"/>
        </w:rPr>
      </w:pPr>
    </w:p>
    <w:p w14:paraId="08639529">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32"/>
        </w:rPr>
      </w:pPr>
    </w:p>
    <w:p w14:paraId="7107AD77">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8"/>
        </w:rPr>
      </w:pPr>
    </w:p>
    <w:p w14:paraId="17453B9A">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1"/>
        </w:rPr>
      </w:pPr>
    </w:p>
    <w:p w14:paraId="289CCEDA">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1"/>
        </w:rPr>
      </w:pPr>
    </w:p>
    <w:p w14:paraId="1B8CCCD9">
      <w:pPr>
        <w:pStyle w:val="10"/>
        <w:keepNext w:val="0"/>
        <w:keepLines w:val="0"/>
        <w:pageBreakBefore w:val="0"/>
        <w:widowControl w:val="0"/>
        <w:tabs>
          <w:tab w:val="left" w:pos="630"/>
        </w:tabs>
        <w:kinsoku/>
        <w:wordWrap/>
        <w:overflowPunct/>
        <w:topLinePunct w:val="0"/>
        <w:autoSpaceDE/>
        <w:autoSpaceDN/>
        <w:bidi w:val="0"/>
        <w:adjustRightInd/>
        <w:snapToGrid/>
        <w:spacing w:beforeAutospacing="0" w:line="560" w:lineRule="exact"/>
        <w:ind w:left="0" w:leftChars="0" w:firstLine="0" w:firstLineChars="0"/>
        <w:textAlignment w:val="auto"/>
        <w:rPr>
          <w:rFonts w:hint="default" w:cs="Times New Roman"/>
          <w:lang w:val="en"/>
        </w:rPr>
      </w:pPr>
    </w:p>
    <w:p w14:paraId="6D572790">
      <w:pPr>
        <w:widowControl w:val="0"/>
        <w:spacing w:line="586" w:lineRule="atLeast"/>
        <w:jc w:val="center"/>
        <w:rPr>
          <w:rFonts w:hint="default" w:eastAsia="仿宋_GB2312" w:cs="Times New Roman"/>
          <w:sz w:val="32"/>
          <w:lang w:val="en-US" w:eastAsia="zh-CN"/>
        </w:rPr>
      </w:pPr>
      <w:r>
        <w:rPr>
          <w:rFonts w:hint="eastAsia" w:eastAsia="仿宋_GB2312" w:cs="Times New Roman"/>
          <w:sz w:val="32"/>
        </w:rPr>
        <w:t>潭县政</w:t>
      </w:r>
      <w:r>
        <w:rPr>
          <w:rFonts w:hint="eastAsia" w:eastAsia="仿宋_GB2312" w:cs="Times New Roman"/>
          <w:sz w:val="32"/>
          <w:lang w:eastAsia="zh-CN"/>
        </w:rPr>
        <w:t>发</w:t>
      </w:r>
      <w:r>
        <w:rPr>
          <w:rFonts w:hint="eastAsia" w:ascii="Times New Roman" w:hAnsi="Times New Roman" w:eastAsia="仿宋_GB2312" w:cs="Times New Roman"/>
          <w:sz w:val="32"/>
          <w:lang w:val="en-US" w:eastAsia="zh-CN"/>
        </w:rPr>
        <w:t>〔202</w:t>
      </w:r>
      <w:r>
        <w:rPr>
          <w:rFonts w:hint="default" w:ascii="Times New Roman" w:hAnsi="Times New Roman" w:eastAsia="仿宋_GB2312" w:cs="Times New Roman"/>
          <w:sz w:val="32"/>
          <w:lang w:val="en" w:eastAsia="zh-CN"/>
        </w:rPr>
        <w:t>4</w:t>
      </w:r>
      <w:r>
        <w:rPr>
          <w:rFonts w:hint="eastAsia" w:ascii="Times New Roman" w:hAnsi="Times New Roman" w:eastAsia="仿宋_GB2312" w:cs="Times New Roman"/>
          <w:sz w:val="32"/>
          <w:lang w:val="en-US" w:eastAsia="zh-CN"/>
        </w:rPr>
        <w:t>〕</w:t>
      </w:r>
      <w:r>
        <w:rPr>
          <w:rFonts w:hint="default" w:ascii="Times New Roman" w:eastAsia="仿宋_GB2312" w:cs="Times New Roman"/>
          <w:sz w:val="32"/>
          <w:lang w:val="en-US" w:eastAsia="zh-CN"/>
        </w:rPr>
        <w:t>3</w:t>
      </w:r>
      <w:r>
        <w:rPr>
          <w:rFonts w:hint="eastAsia" w:eastAsia="仿宋_GB2312" w:cs="Times New Roman"/>
          <w:sz w:val="32"/>
        </w:rPr>
        <w:t>号</w:t>
      </w:r>
    </w:p>
    <w:p w14:paraId="3B1A060D">
      <w:pPr>
        <w:keepNext w:val="0"/>
        <w:keepLines w:val="0"/>
        <w:pageBreakBefore w:val="0"/>
        <w:widowControl w:val="0"/>
        <w:kinsoku/>
        <w:wordWrap/>
        <w:overflowPunct/>
        <w:topLinePunct w:val="0"/>
        <w:autoSpaceDE/>
        <w:autoSpaceDN/>
        <w:bidi w:val="0"/>
        <w:adjustRightInd/>
        <w:snapToGrid/>
        <w:spacing w:line="576" w:lineRule="exact"/>
        <w:textAlignment w:val="bottom"/>
        <w:rPr>
          <w:rFonts w:hint="eastAsia" w:eastAsia="方正小标宋简体" w:cs="Times New Roman"/>
          <w:sz w:val="32"/>
        </w:rPr>
      </w:pPr>
    </w:p>
    <w:p w14:paraId="57F12ADE">
      <w:pPr>
        <w:spacing w:line="640" w:lineRule="exact"/>
        <w:jc w:val="both"/>
        <w:rPr>
          <w:rFonts w:hint="eastAsia" w:ascii="方正小标宋_GBK" w:hAnsi="黑体" w:eastAsia="方正小标宋_GBK"/>
          <w:sz w:val="44"/>
          <w:szCs w:val="44"/>
        </w:rPr>
      </w:pPr>
    </w:p>
    <w:p w14:paraId="5BC2D3C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center"/>
        <w:textAlignment w:val="center"/>
        <w:rPr>
          <w:rFonts w:hint="eastAsia" w:ascii="方正小标宋简体" w:hAnsi="方正小标宋简体" w:eastAsia="方正小标宋简体" w:cs="方正小标宋简体"/>
          <w:b w:val="0"/>
          <w:bCs/>
          <w:sz w:val="44"/>
          <w:szCs w:val="44"/>
        </w:rPr>
      </w:pP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lang w:val="en-US" w:eastAsia="zh-CN"/>
        </w:rPr>
        <w:t>湘潭县</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t>人民政府</w:t>
      </w:r>
    </w:p>
    <w:p w14:paraId="72198F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center"/>
        <w:textAlignment w:val="cente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pP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t>关于公布202</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lang w:val="en-US" w:eastAsia="zh-CN"/>
        </w:rPr>
        <w:t>4</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t>年</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lang w:val="en-US" w:eastAsia="zh-CN"/>
        </w:rPr>
        <w:t>行政</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t>规范性文件</w:t>
      </w:r>
    </w:p>
    <w:p w14:paraId="437BEF3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center"/>
        <w:textAlignment w:val="cente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lang w:eastAsia="zh-CN"/>
        </w:rPr>
      </w:pP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rPr>
        <w:t>清理结果的</w:t>
      </w:r>
      <w:r>
        <w:rPr>
          <w:rStyle w:val="14"/>
          <w:rFonts w:hint="eastAsia" w:ascii="方正小标宋简体" w:hAnsi="方正小标宋简体" w:eastAsia="方正小标宋简体" w:cs="方正小标宋简体"/>
          <w:b w:val="0"/>
          <w:bCs/>
          <w:i w:val="0"/>
          <w:iCs w:val="0"/>
          <w:caps w:val="0"/>
          <w:color w:val="333333"/>
          <w:spacing w:val="0"/>
          <w:sz w:val="44"/>
          <w:szCs w:val="44"/>
          <w:shd w:val="clear" w:fill="FFFFFF"/>
          <w:lang w:eastAsia="zh-CN"/>
        </w:rPr>
        <w:t>决定</w:t>
      </w:r>
    </w:p>
    <w:p w14:paraId="6634F03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 w:hAnsi="仿宋" w:eastAsia="仿宋" w:cs="仿宋"/>
          <w:color w:val="333333"/>
          <w:sz w:val="32"/>
          <w:szCs w:val="32"/>
          <w:shd w:val="clear" w:fill="FFFFFF"/>
        </w:rPr>
      </w:pPr>
    </w:p>
    <w:p w14:paraId="4B7725E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333333"/>
          <w:spacing w:val="0"/>
          <w:sz w:val="32"/>
          <w:szCs w:val="32"/>
          <w:shd w:val="clear" w:fill="FFFFFF"/>
        </w:rPr>
        <w:t>各</w:t>
      </w:r>
      <w:r>
        <w:rPr>
          <w:rFonts w:hint="default" w:ascii="Times New Roman" w:hAnsi="Times New Roman" w:eastAsia="仿宋_GB2312" w:cs="Times New Roman"/>
          <w:i w:val="0"/>
          <w:iCs w:val="0"/>
          <w:caps w:val="0"/>
          <w:color w:val="333333"/>
          <w:spacing w:val="0"/>
          <w:sz w:val="32"/>
          <w:szCs w:val="32"/>
          <w:shd w:val="clear" w:fill="FFFFFF"/>
          <w:lang w:val="en-US" w:eastAsia="zh-CN"/>
        </w:rPr>
        <w:t>乡</w:t>
      </w:r>
      <w:r>
        <w:rPr>
          <w:rFonts w:hint="default" w:ascii="Times New Roman" w:hAnsi="Times New Roman" w:eastAsia="仿宋_GB2312" w:cs="Times New Roman"/>
          <w:i w:val="0"/>
          <w:iCs w:val="0"/>
          <w:caps w:val="0"/>
          <w:color w:val="333333"/>
          <w:spacing w:val="0"/>
          <w:sz w:val="32"/>
          <w:szCs w:val="32"/>
          <w:shd w:val="clear" w:fill="FFFFFF"/>
        </w:rPr>
        <w:t>镇人民政府</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县直机关各单位，天易经开区各局室，县属和驻县各企事业单位，各人民团体</w:t>
      </w:r>
      <w:r>
        <w:rPr>
          <w:rFonts w:hint="default" w:ascii="Times New Roman" w:hAnsi="Times New Roman" w:eastAsia="仿宋_GB2312" w:cs="Times New Roman"/>
          <w:i w:val="0"/>
          <w:iCs w:val="0"/>
          <w:caps w:val="0"/>
          <w:color w:val="333333"/>
          <w:spacing w:val="0"/>
          <w:sz w:val="32"/>
          <w:szCs w:val="32"/>
          <w:shd w:val="clear" w:fill="FFFFFF"/>
        </w:rPr>
        <w:t>：</w:t>
      </w:r>
    </w:p>
    <w:p w14:paraId="7D1FF61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333333"/>
          <w:spacing w:val="0"/>
          <w:sz w:val="32"/>
          <w:szCs w:val="32"/>
          <w:shd w:val="clear" w:fill="FFFFFF"/>
        </w:rPr>
        <w:t>为全面推进依法行政，加快建设法治政府，根据《湖南省行政程序规定》《湖南省规范性文件管理办法》</w:t>
      </w:r>
      <w:r>
        <w:rPr>
          <w:rFonts w:hint="default" w:ascii="Times New Roman" w:hAnsi="Times New Roman" w:eastAsia="仿宋_GB2312" w:cs="Times New Roman"/>
          <w:i w:val="0"/>
          <w:iCs w:val="0"/>
          <w:caps w:val="0"/>
          <w:color w:val="333333"/>
          <w:spacing w:val="0"/>
          <w:sz w:val="32"/>
          <w:szCs w:val="32"/>
          <w:shd w:val="clear" w:fill="FFFFFF"/>
          <w:lang w:val="en-US" w:eastAsia="zh-CN"/>
        </w:rPr>
        <w:t>的</w:t>
      </w:r>
      <w:r>
        <w:rPr>
          <w:rFonts w:hint="default" w:ascii="Times New Roman" w:hAnsi="Times New Roman" w:eastAsia="仿宋_GB2312" w:cs="Times New Roman"/>
          <w:i w:val="0"/>
          <w:iCs w:val="0"/>
          <w:caps w:val="0"/>
          <w:color w:val="333333"/>
          <w:spacing w:val="0"/>
          <w:sz w:val="32"/>
          <w:szCs w:val="32"/>
          <w:shd w:val="clear" w:fill="FFFFFF"/>
        </w:rPr>
        <w:t>相关规定，</w:t>
      </w:r>
      <w:r>
        <w:rPr>
          <w:rFonts w:hint="default" w:ascii="Times New Roman" w:hAnsi="Times New Roman" w:eastAsia="仿宋_GB2312" w:cs="Times New Roman"/>
          <w:i w:val="0"/>
          <w:iCs w:val="0"/>
          <w:caps w:val="0"/>
          <w:color w:val="333333"/>
          <w:spacing w:val="0"/>
          <w:sz w:val="32"/>
          <w:szCs w:val="32"/>
          <w:shd w:val="clear" w:fill="FFFFFF"/>
          <w:lang w:val="en-US" w:eastAsia="zh-CN"/>
        </w:rPr>
        <w:t>县人民政府在2022年定期清理的基础上，</w:t>
      </w:r>
      <w:r>
        <w:rPr>
          <w:rFonts w:hint="default" w:ascii="Times New Roman" w:hAnsi="Times New Roman" w:eastAsia="仿宋_GB2312" w:cs="Times New Roman"/>
          <w:i w:val="0"/>
          <w:iCs w:val="0"/>
          <w:caps w:val="0"/>
          <w:color w:val="333333"/>
          <w:spacing w:val="0"/>
          <w:sz w:val="32"/>
          <w:szCs w:val="32"/>
          <w:shd w:val="clear" w:fill="FFFFFF"/>
        </w:rPr>
        <w:t>对</w:t>
      </w:r>
      <w:r>
        <w:rPr>
          <w:rFonts w:hint="default" w:ascii="Times New Roman" w:hAnsi="Times New Roman" w:eastAsia="仿宋_GB2312" w:cs="Times New Roman"/>
          <w:i w:val="0"/>
          <w:iCs w:val="0"/>
          <w:caps w:val="0"/>
          <w:color w:val="333333"/>
          <w:spacing w:val="0"/>
          <w:sz w:val="32"/>
          <w:szCs w:val="32"/>
          <w:shd w:val="clear" w:fill="FFFFFF"/>
          <w:lang w:val="en-US" w:eastAsia="zh-CN"/>
        </w:rPr>
        <w:t>2024年6月30日之前印发的现行有效的共计79件县人民政府行政规范性文件</w:t>
      </w:r>
      <w:r>
        <w:rPr>
          <w:rFonts w:hint="default" w:ascii="Times New Roman" w:hAnsi="Times New Roman" w:eastAsia="仿宋_GB2312" w:cs="Times New Roman"/>
          <w:i w:val="0"/>
          <w:iCs w:val="0"/>
          <w:caps w:val="0"/>
          <w:color w:val="333333"/>
          <w:spacing w:val="0"/>
          <w:sz w:val="32"/>
          <w:szCs w:val="32"/>
          <w:shd w:val="clear" w:fill="FFFFFF"/>
        </w:rPr>
        <w:t>进行了清理。</w:t>
      </w:r>
      <w:r>
        <w:rPr>
          <w:rFonts w:hint="default" w:ascii="Times New Roman" w:hAnsi="Times New Roman" w:eastAsia="仿宋_GB2312" w:cs="Times New Roman"/>
          <w:i w:val="0"/>
          <w:iCs w:val="0"/>
          <w:caps w:val="0"/>
          <w:color w:val="333333"/>
          <w:spacing w:val="0"/>
          <w:sz w:val="32"/>
          <w:szCs w:val="32"/>
          <w:shd w:val="clear" w:fill="FFFFFF"/>
          <w:lang w:eastAsia="zh-CN"/>
        </w:rPr>
        <w:t>现将</w:t>
      </w:r>
      <w:r>
        <w:rPr>
          <w:rFonts w:hint="default" w:ascii="Times New Roman" w:hAnsi="Times New Roman" w:eastAsia="仿宋_GB2312" w:cs="Times New Roman"/>
          <w:i w:val="0"/>
          <w:iCs w:val="0"/>
          <w:caps w:val="0"/>
          <w:color w:val="333333"/>
          <w:spacing w:val="0"/>
          <w:sz w:val="32"/>
          <w:szCs w:val="32"/>
          <w:shd w:val="clear" w:fill="FFFFFF"/>
        </w:rPr>
        <w:t>清理结果</w:t>
      </w:r>
      <w:r>
        <w:rPr>
          <w:rFonts w:hint="default" w:ascii="Times New Roman" w:hAnsi="Times New Roman" w:eastAsia="仿宋_GB2312" w:cs="Times New Roman"/>
          <w:i w:val="0"/>
          <w:iCs w:val="0"/>
          <w:caps w:val="0"/>
          <w:color w:val="333333"/>
          <w:spacing w:val="0"/>
          <w:sz w:val="32"/>
          <w:szCs w:val="32"/>
          <w:shd w:val="clear" w:fill="FFFFFF"/>
          <w:lang w:eastAsia="zh-CN"/>
        </w:rPr>
        <w:t>公布</w:t>
      </w:r>
      <w:r>
        <w:rPr>
          <w:rFonts w:hint="default" w:ascii="Times New Roman" w:hAnsi="Times New Roman" w:eastAsia="仿宋_GB2312" w:cs="Times New Roman"/>
          <w:i w:val="0"/>
          <w:iCs w:val="0"/>
          <w:caps w:val="0"/>
          <w:color w:val="333333"/>
          <w:spacing w:val="0"/>
          <w:sz w:val="32"/>
          <w:szCs w:val="32"/>
          <w:shd w:val="clear" w:fill="FFFFFF"/>
        </w:rPr>
        <w:t>如下：</w:t>
      </w:r>
    </w:p>
    <w:p w14:paraId="69D12F6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333333"/>
          <w:spacing w:val="0"/>
          <w:sz w:val="32"/>
          <w:szCs w:val="32"/>
          <w:shd w:val="clear" w:fill="FFFFFF"/>
        </w:rPr>
        <w:t>一、宣布失效</w:t>
      </w:r>
      <w:r>
        <w:rPr>
          <w:rFonts w:hint="default" w:ascii="Times New Roman" w:hAnsi="Times New Roman" w:eastAsia="仿宋_GB2312" w:cs="Times New Roman"/>
          <w:i w:val="0"/>
          <w:iCs w:val="0"/>
          <w:caps w:val="0"/>
          <w:color w:val="333333"/>
          <w:spacing w:val="0"/>
          <w:sz w:val="32"/>
          <w:szCs w:val="32"/>
          <w:shd w:val="clear" w:fill="FFFFFF"/>
          <w:lang w:val="en-US" w:eastAsia="zh-CN"/>
        </w:rPr>
        <w:t>行政</w:t>
      </w:r>
      <w:r>
        <w:rPr>
          <w:rFonts w:hint="default" w:ascii="Times New Roman" w:hAnsi="Times New Roman" w:eastAsia="仿宋_GB2312" w:cs="Times New Roman"/>
          <w:i w:val="0"/>
          <w:iCs w:val="0"/>
          <w:caps w:val="0"/>
          <w:color w:val="333333"/>
          <w:spacing w:val="0"/>
          <w:sz w:val="32"/>
          <w:szCs w:val="32"/>
          <w:shd w:val="clear" w:fill="FFFFFF"/>
        </w:rPr>
        <w:t>规范性文件</w:t>
      </w:r>
      <w:r>
        <w:rPr>
          <w:rFonts w:hint="default" w:ascii="Times New Roman" w:hAnsi="Times New Roman" w:eastAsia="仿宋_GB2312" w:cs="Times New Roman"/>
          <w:i w:val="0"/>
          <w:iCs w:val="0"/>
          <w:caps w:val="0"/>
          <w:color w:val="333333"/>
          <w:spacing w:val="0"/>
          <w:sz w:val="32"/>
          <w:szCs w:val="32"/>
          <w:shd w:val="clear" w:fill="FFFFFF"/>
          <w:lang w:val="en-US" w:eastAsia="zh-CN"/>
        </w:rPr>
        <w:t>31</w:t>
      </w:r>
      <w:r>
        <w:rPr>
          <w:rFonts w:hint="default" w:ascii="Times New Roman" w:hAnsi="Times New Roman" w:eastAsia="仿宋_GB2312" w:cs="Times New Roman"/>
          <w:i w:val="0"/>
          <w:iCs w:val="0"/>
          <w:caps w:val="0"/>
          <w:color w:val="333333"/>
          <w:spacing w:val="0"/>
          <w:sz w:val="32"/>
          <w:szCs w:val="32"/>
          <w:shd w:val="clear" w:fill="FFFFFF"/>
        </w:rPr>
        <w:t>件</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详见附件1</w:t>
      </w:r>
      <w:r>
        <w:rPr>
          <w:rFonts w:hint="default" w:ascii="Times New Roman" w:hAnsi="Times New Roman" w:eastAsia="仿宋_GB2312" w:cs="Times New Roman"/>
          <w:i w:val="0"/>
          <w:iCs w:val="0"/>
          <w:caps w:val="0"/>
          <w:color w:val="333333"/>
          <w:spacing w:val="0"/>
          <w:sz w:val="32"/>
          <w:szCs w:val="32"/>
          <w:shd w:val="clear" w:fill="FFFFFF"/>
          <w:lang w:eastAsia="zh-CN"/>
        </w:rPr>
        <w:t>）；</w:t>
      </w:r>
    </w:p>
    <w:p w14:paraId="201C1F3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rPr>
        <w:t>二、</w:t>
      </w:r>
      <w:r>
        <w:rPr>
          <w:rFonts w:hint="default" w:ascii="Times New Roman" w:hAnsi="Times New Roman" w:eastAsia="仿宋_GB2312" w:cs="Times New Roman"/>
          <w:i w:val="0"/>
          <w:iCs w:val="0"/>
          <w:caps w:val="0"/>
          <w:color w:val="333333"/>
          <w:spacing w:val="0"/>
          <w:sz w:val="32"/>
          <w:szCs w:val="32"/>
          <w:shd w:val="clear" w:fill="FFFFFF"/>
          <w:lang w:val="en-US" w:eastAsia="zh-CN"/>
        </w:rPr>
        <w:t>确认</w:t>
      </w:r>
      <w:r>
        <w:rPr>
          <w:rFonts w:hint="default" w:ascii="Times New Roman" w:hAnsi="Times New Roman" w:eastAsia="仿宋_GB2312" w:cs="Times New Roman"/>
          <w:i w:val="0"/>
          <w:iCs w:val="0"/>
          <w:caps w:val="0"/>
          <w:color w:val="333333"/>
          <w:spacing w:val="0"/>
          <w:sz w:val="32"/>
          <w:szCs w:val="32"/>
          <w:shd w:val="clear" w:fill="FFFFFF"/>
        </w:rPr>
        <w:t>废止</w:t>
      </w:r>
      <w:r>
        <w:rPr>
          <w:rFonts w:hint="default" w:ascii="Times New Roman" w:hAnsi="Times New Roman" w:eastAsia="仿宋_GB2312" w:cs="Times New Roman"/>
          <w:i w:val="0"/>
          <w:iCs w:val="0"/>
          <w:caps w:val="0"/>
          <w:color w:val="333333"/>
          <w:spacing w:val="0"/>
          <w:sz w:val="32"/>
          <w:szCs w:val="32"/>
          <w:shd w:val="clear" w:fill="FFFFFF"/>
          <w:lang w:val="en-US" w:eastAsia="zh-CN"/>
        </w:rPr>
        <w:t>行政</w:t>
      </w:r>
      <w:r>
        <w:rPr>
          <w:rFonts w:hint="default" w:ascii="Times New Roman" w:hAnsi="Times New Roman" w:eastAsia="仿宋_GB2312" w:cs="Times New Roman"/>
          <w:i w:val="0"/>
          <w:iCs w:val="0"/>
          <w:caps w:val="0"/>
          <w:color w:val="333333"/>
          <w:spacing w:val="0"/>
          <w:sz w:val="32"/>
          <w:szCs w:val="32"/>
          <w:shd w:val="clear" w:fill="FFFFFF"/>
        </w:rPr>
        <w:t>规范性文件</w:t>
      </w:r>
      <w:r>
        <w:rPr>
          <w:rFonts w:hint="default" w:ascii="Times New Roman" w:hAnsi="Times New Roman" w:eastAsia="仿宋_GB2312" w:cs="Times New Roman"/>
          <w:i w:val="0"/>
          <w:iCs w:val="0"/>
          <w:caps w:val="0"/>
          <w:color w:val="333333"/>
          <w:spacing w:val="0"/>
          <w:sz w:val="32"/>
          <w:szCs w:val="32"/>
          <w:shd w:val="clear" w:fill="FFFFFF"/>
          <w:lang w:val="en-US" w:eastAsia="zh-CN"/>
        </w:rPr>
        <w:t>4</w:t>
      </w:r>
      <w:r>
        <w:rPr>
          <w:rFonts w:hint="default" w:ascii="Times New Roman" w:hAnsi="Times New Roman" w:eastAsia="仿宋_GB2312" w:cs="Times New Roman"/>
          <w:i w:val="0"/>
          <w:iCs w:val="0"/>
          <w:caps w:val="0"/>
          <w:color w:val="333333"/>
          <w:spacing w:val="0"/>
          <w:sz w:val="32"/>
          <w:szCs w:val="32"/>
          <w:shd w:val="clear" w:fill="FFFFFF"/>
        </w:rPr>
        <w:t>件</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详见附件2</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w:t>
      </w:r>
    </w:p>
    <w:p w14:paraId="685AE32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rPr>
        <w:t>宣布失效</w:t>
      </w:r>
      <w:r>
        <w:rPr>
          <w:rFonts w:hint="default" w:ascii="Times New Roman" w:hAnsi="Times New Roman" w:eastAsia="仿宋_GB2312" w:cs="Times New Roman"/>
          <w:i w:val="0"/>
          <w:iCs w:val="0"/>
          <w:caps w:val="0"/>
          <w:color w:val="333333"/>
          <w:spacing w:val="0"/>
          <w:sz w:val="32"/>
          <w:szCs w:val="32"/>
          <w:shd w:val="clear" w:fill="FFFFFF"/>
          <w:lang w:eastAsia="zh-CN"/>
        </w:rPr>
        <w:t>的</w:t>
      </w:r>
      <w:r>
        <w:rPr>
          <w:rFonts w:hint="default" w:ascii="Times New Roman" w:hAnsi="Times New Roman" w:eastAsia="仿宋_GB2312" w:cs="Times New Roman"/>
          <w:i w:val="0"/>
          <w:iCs w:val="0"/>
          <w:caps w:val="0"/>
          <w:color w:val="333333"/>
          <w:spacing w:val="0"/>
          <w:sz w:val="32"/>
          <w:szCs w:val="32"/>
          <w:shd w:val="clear" w:fill="FFFFFF"/>
        </w:rPr>
        <w:t>规范性文件有效期届满</w:t>
      </w:r>
      <w:r>
        <w:rPr>
          <w:rFonts w:hint="default" w:ascii="Times New Roman" w:hAnsi="Times New Roman" w:eastAsia="仿宋_GB2312" w:cs="Times New Roman"/>
          <w:i w:val="0"/>
          <w:iCs w:val="0"/>
          <w:caps w:val="0"/>
          <w:color w:val="333333"/>
          <w:spacing w:val="0"/>
          <w:sz w:val="32"/>
          <w:szCs w:val="32"/>
          <w:shd w:val="clear" w:fill="FFFFFF"/>
          <w:lang w:eastAsia="zh-CN"/>
        </w:rPr>
        <w:t>之日即失效</w:t>
      </w:r>
      <w:r>
        <w:rPr>
          <w:rFonts w:hint="eastAsia"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eastAsia="zh-CN"/>
        </w:rPr>
        <w:t>宣布</w:t>
      </w:r>
      <w:r>
        <w:rPr>
          <w:rFonts w:hint="default" w:ascii="Times New Roman" w:hAnsi="Times New Roman" w:eastAsia="仿宋_GB2312" w:cs="Times New Roman"/>
          <w:i w:val="0"/>
          <w:iCs w:val="0"/>
          <w:caps w:val="0"/>
          <w:color w:val="333333"/>
          <w:spacing w:val="0"/>
          <w:sz w:val="32"/>
          <w:szCs w:val="32"/>
          <w:shd w:val="clear" w:fill="FFFFFF"/>
        </w:rPr>
        <w:t>废止的规范性文件除</w:t>
      </w:r>
      <w:r>
        <w:rPr>
          <w:rFonts w:hint="default" w:ascii="Times New Roman" w:hAnsi="Times New Roman" w:eastAsia="仿宋_GB2312" w:cs="Times New Roman"/>
          <w:i w:val="0"/>
          <w:iCs w:val="0"/>
          <w:caps w:val="0"/>
          <w:color w:val="333333"/>
          <w:spacing w:val="0"/>
          <w:sz w:val="32"/>
          <w:szCs w:val="32"/>
          <w:shd w:val="clear" w:fill="FFFFFF"/>
          <w:lang w:eastAsia="zh-CN"/>
        </w:rPr>
        <w:t>相关文件</w:t>
      </w:r>
      <w:r>
        <w:rPr>
          <w:rFonts w:hint="default" w:ascii="Times New Roman" w:hAnsi="Times New Roman" w:eastAsia="仿宋_GB2312" w:cs="Times New Roman"/>
          <w:i w:val="0"/>
          <w:iCs w:val="0"/>
          <w:caps w:val="0"/>
          <w:color w:val="333333"/>
          <w:spacing w:val="0"/>
          <w:sz w:val="32"/>
          <w:szCs w:val="32"/>
          <w:shd w:val="clear" w:fill="FFFFFF"/>
        </w:rPr>
        <w:t>已明确废止外，自本</w:t>
      </w:r>
      <w:r>
        <w:rPr>
          <w:rFonts w:hint="default" w:ascii="Times New Roman" w:hAnsi="Times New Roman" w:eastAsia="仿宋_GB2312" w:cs="Times New Roman"/>
          <w:i w:val="0"/>
          <w:iCs w:val="0"/>
          <w:caps w:val="0"/>
          <w:color w:val="333333"/>
          <w:spacing w:val="0"/>
          <w:sz w:val="32"/>
          <w:szCs w:val="32"/>
          <w:shd w:val="clear" w:fill="FFFFFF"/>
          <w:lang w:eastAsia="zh-CN"/>
        </w:rPr>
        <w:t>决定作出</w:t>
      </w:r>
      <w:r>
        <w:rPr>
          <w:rFonts w:hint="default" w:ascii="Times New Roman" w:hAnsi="Times New Roman" w:eastAsia="仿宋_GB2312" w:cs="Times New Roman"/>
          <w:i w:val="0"/>
          <w:iCs w:val="0"/>
          <w:caps w:val="0"/>
          <w:color w:val="333333"/>
          <w:spacing w:val="0"/>
          <w:sz w:val="32"/>
          <w:szCs w:val="32"/>
          <w:shd w:val="clear" w:fill="FFFFFF"/>
        </w:rPr>
        <w:t>之日起不再执行。</w:t>
      </w:r>
    </w:p>
    <w:p w14:paraId="02ED757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lang w:val="en-US" w:eastAsia="zh-CN"/>
        </w:rPr>
        <w:t>附件：1.宣布失效的行政规范性文件目录</w:t>
      </w:r>
    </w:p>
    <w:p w14:paraId="104D2F4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lang w:val="en-US" w:eastAsia="zh-CN"/>
        </w:rPr>
        <w:t xml:space="preserve">      2.确认废止的行政规范性文件目录</w:t>
      </w:r>
    </w:p>
    <w:p w14:paraId="7F6BEA4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color w:val="333333"/>
          <w:sz w:val="32"/>
          <w:szCs w:val="32"/>
          <w:shd w:val="clear" w:fill="FFFFFF"/>
        </w:rPr>
      </w:pPr>
    </w:p>
    <w:p w14:paraId="103076F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color w:val="333333"/>
          <w:sz w:val="32"/>
          <w:szCs w:val="32"/>
          <w:shd w:val="clear" w:fill="FFFFFF"/>
        </w:rPr>
      </w:pPr>
    </w:p>
    <w:p w14:paraId="2B4F2AF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center"/>
        <w:rPr>
          <w:rFonts w:hint="default" w:ascii="Times New Roman" w:hAnsi="Times New Roman" w:eastAsia="仿宋_GB2312" w:cs="Times New Roman"/>
          <w:color w:val="333333"/>
          <w:sz w:val="32"/>
          <w:szCs w:val="32"/>
          <w:shd w:val="clear" w:fill="FFFFFF"/>
        </w:rPr>
      </w:pPr>
    </w:p>
    <w:p w14:paraId="7AA3FE7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1470" w:rightChars="700" w:firstLine="0"/>
        <w:jc w:val="right"/>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333333"/>
          <w:spacing w:val="0"/>
          <w:sz w:val="32"/>
          <w:szCs w:val="32"/>
          <w:shd w:val="clear" w:fill="FFFFFF"/>
          <w:lang w:val="en-US" w:eastAsia="zh-CN"/>
        </w:rPr>
        <w:t>湘潭县</w:t>
      </w:r>
      <w:r>
        <w:rPr>
          <w:rFonts w:hint="default" w:ascii="Times New Roman" w:hAnsi="Times New Roman" w:eastAsia="仿宋_GB2312" w:cs="Times New Roman"/>
          <w:i w:val="0"/>
          <w:iCs w:val="0"/>
          <w:caps w:val="0"/>
          <w:color w:val="333333"/>
          <w:spacing w:val="0"/>
          <w:sz w:val="32"/>
          <w:szCs w:val="32"/>
          <w:shd w:val="clear" w:fill="FFFFFF"/>
        </w:rPr>
        <w:t>人民政府</w:t>
      </w:r>
    </w:p>
    <w:p w14:paraId="27D97A2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1260" w:rightChars="600" w:firstLine="0"/>
        <w:jc w:val="right"/>
        <w:textAlignment w:val="center"/>
        <w:rPr>
          <w:rFonts w:hint="default" w:ascii="Times New Roman" w:hAnsi="Times New Roman" w:eastAsia="宋体" w:cs="Times New Roman"/>
          <w:sz w:val="32"/>
          <w:szCs w:val="32"/>
        </w:rPr>
      </w:pPr>
      <w:r>
        <w:rPr>
          <w:rFonts w:hint="default" w:ascii="Times New Roman" w:hAnsi="Times New Roman" w:eastAsia="仿宋_GB2312" w:cs="Times New Roman"/>
          <w:i w:val="0"/>
          <w:iCs w:val="0"/>
          <w:caps w:val="0"/>
          <w:color w:val="333333"/>
          <w:spacing w:val="0"/>
          <w:sz w:val="32"/>
          <w:szCs w:val="32"/>
          <w:shd w:val="clear" w:fill="FFFFFF"/>
        </w:rPr>
        <w:t>202</w:t>
      </w:r>
      <w:r>
        <w:rPr>
          <w:rFonts w:hint="default" w:ascii="Times New Roman" w:hAnsi="Times New Roman" w:eastAsia="仿宋_GB2312" w:cs="Times New Roman"/>
          <w:i w:val="0"/>
          <w:iCs w:val="0"/>
          <w:caps w:val="0"/>
          <w:color w:val="333333"/>
          <w:spacing w:val="0"/>
          <w:sz w:val="32"/>
          <w:szCs w:val="32"/>
          <w:shd w:val="clear" w:fill="FFFFFF"/>
          <w:lang w:val="en-US" w:eastAsia="zh-CN"/>
        </w:rPr>
        <w:t>4</w:t>
      </w:r>
      <w:r>
        <w:rPr>
          <w:rFonts w:hint="default" w:ascii="Times New Roman" w:hAnsi="Times New Roman" w:eastAsia="仿宋_GB2312" w:cs="Times New Roman"/>
          <w:i w:val="0"/>
          <w:iCs w:val="0"/>
          <w:caps w:val="0"/>
          <w:color w:val="333333"/>
          <w:spacing w:val="0"/>
          <w:sz w:val="32"/>
          <w:szCs w:val="32"/>
          <w:shd w:val="clear" w:fill="FFFFFF"/>
        </w:rPr>
        <w:t>年</w:t>
      </w:r>
      <w:r>
        <w:rPr>
          <w:rFonts w:hint="default" w:ascii="Times New Roman" w:hAnsi="Times New Roman" w:eastAsia="仿宋_GB2312" w:cs="Times New Roman"/>
          <w:i w:val="0"/>
          <w:iCs w:val="0"/>
          <w:caps w:val="0"/>
          <w:color w:val="333333"/>
          <w:spacing w:val="0"/>
          <w:sz w:val="32"/>
          <w:szCs w:val="32"/>
          <w:shd w:val="clear" w:fill="FFFFFF"/>
          <w:lang w:val="en-US" w:eastAsia="zh-CN"/>
        </w:rPr>
        <w:t>12</w:t>
      </w:r>
      <w:r>
        <w:rPr>
          <w:rFonts w:hint="default" w:ascii="Times New Roman" w:hAnsi="Times New Roman" w:eastAsia="仿宋_GB2312" w:cs="Times New Roman"/>
          <w:i w:val="0"/>
          <w:iCs w:val="0"/>
          <w:caps w:val="0"/>
          <w:color w:val="333333"/>
          <w:spacing w:val="0"/>
          <w:sz w:val="32"/>
          <w:szCs w:val="32"/>
          <w:shd w:val="clear" w:fill="FFFFFF"/>
        </w:rPr>
        <w:t>月</w:t>
      </w:r>
      <w:r>
        <w:rPr>
          <w:rFonts w:hint="default" w:ascii="Times New Roman" w:hAnsi="Times New Roman" w:eastAsia="仿宋_GB2312" w:cs="Times New Roman"/>
          <w:i w:val="0"/>
          <w:iCs w:val="0"/>
          <w:caps w:val="0"/>
          <w:color w:val="333333"/>
          <w:spacing w:val="0"/>
          <w:sz w:val="32"/>
          <w:szCs w:val="32"/>
          <w:shd w:val="clear" w:fill="FFFFFF"/>
          <w:lang w:val="en-US" w:eastAsia="zh-CN"/>
        </w:rPr>
        <w:t>31</w:t>
      </w:r>
      <w:r>
        <w:rPr>
          <w:rFonts w:hint="default" w:ascii="Times New Roman" w:hAnsi="Times New Roman" w:eastAsia="仿宋_GB2312" w:cs="Times New Roman"/>
          <w:i w:val="0"/>
          <w:iCs w:val="0"/>
          <w:caps w:val="0"/>
          <w:color w:val="333333"/>
          <w:spacing w:val="0"/>
          <w:sz w:val="32"/>
          <w:szCs w:val="32"/>
          <w:shd w:val="clear" w:fill="FFFFFF"/>
        </w:rPr>
        <w:t>日</w:t>
      </w:r>
    </w:p>
    <w:p w14:paraId="686CFF50">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14:paraId="566131D5">
      <w:pPr>
        <w:jc w:val="both"/>
        <w:rPr>
          <w:rFonts w:hint="eastAsia" w:ascii="宋体" w:hAnsi="宋体" w:eastAsia="宋体" w:cs="宋体"/>
          <w:sz w:val="36"/>
          <w:szCs w:val="36"/>
          <w:lang w:val="en-US" w:eastAsia="zh-CN"/>
        </w:rPr>
      </w:pPr>
      <w:r>
        <w:rPr>
          <w:rFonts w:hint="eastAsia" w:ascii="黑体" w:hAnsi="黑体" w:eastAsia="黑体" w:cs="黑体"/>
          <w:sz w:val="32"/>
          <w:szCs w:val="32"/>
          <w:lang w:val="en-US" w:eastAsia="zh-CN"/>
        </w:rPr>
        <w:t>附件1</w:t>
      </w:r>
    </w:p>
    <w:p w14:paraId="70510AB6">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宣布失效的行政规范性文件目录</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5289"/>
        <w:gridCol w:w="2929"/>
      </w:tblGrid>
      <w:tr w14:paraId="4128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vAlign w:val="center"/>
          </w:tcPr>
          <w:p w14:paraId="11EFD551">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5260" w:type="dxa"/>
            <w:vAlign w:val="center"/>
          </w:tcPr>
          <w:p w14:paraId="70B7EAE9">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文件名称</w:t>
            </w:r>
          </w:p>
        </w:tc>
        <w:tc>
          <w:tcPr>
            <w:tcW w:w="2913" w:type="dxa"/>
            <w:vAlign w:val="center"/>
          </w:tcPr>
          <w:p w14:paraId="3EC1AFBA">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文号</w:t>
            </w:r>
          </w:p>
        </w:tc>
      </w:tr>
      <w:tr w14:paraId="31FFF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1BB04A9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w:t>
            </w:r>
          </w:p>
        </w:tc>
        <w:tc>
          <w:tcPr>
            <w:tcW w:w="5260" w:type="dxa"/>
            <w:shd w:val="clear" w:color="auto" w:fill="auto"/>
            <w:vAlign w:val="center"/>
          </w:tcPr>
          <w:p w14:paraId="322841C0">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关于印发《湘潭县优抚对象医疗保障实施细则</w:t>
            </w:r>
          </w:p>
          <w:p w14:paraId="2026240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（试行）》的通知</w:t>
            </w:r>
          </w:p>
        </w:tc>
        <w:tc>
          <w:tcPr>
            <w:tcW w:w="2913" w:type="dxa"/>
            <w:shd w:val="clear" w:color="auto" w:fill="auto"/>
            <w:vAlign w:val="center"/>
          </w:tcPr>
          <w:p w14:paraId="5E87DFF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潭政办发〔2009〕10号</w:t>
            </w:r>
          </w:p>
        </w:tc>
      </w:tr>
      <w:tr w14:paraId="77F18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76F6508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w:t>
            </w:r>
          </w:p>
        </w:tc>
        <w:tc>
          <w:tcPr>
            <w:tcW w:w="5260" w:type="dxa"/>
            <w:shd w:val="clear" w:color="auto" w:fill="auto"/>
            <w:vAlign w:val="center"/>
          </w:tcPr>
          <w:p w14:paraId="4A5D7284">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关于县人民政府行政复议案件处理程序若干问题的通知</w:t>
            </w:r>
          </w:p>
        </w:tc>
        <w:tc>
          <w:tcPr>
            <w:tcW w:w="2913" w:type="dxa"/>
            <w:shd w:val="clear" w:color="auto" w:fill="auto"/>
            <w:vAlign w:val="center"/>
          </w:tcPr>
          <w:p w14:paraId="4ED3618F">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潭政办函〔2011〕46号</w:t>
            </w:r>
          </w:p>
        </w:tc>
      </w:tr>
      <w:tr w14:paraId="1180F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7BEE30A5">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3</w:t>
            </w:r>
          </w:p>
        </w:tc>
        <w:tc>
          <w:tcPr>
            <w:tcW w:w="5260" w:type="dxa"/>
            <w:shd w:val="clear" w:color="auto" w:fill="auto"/>
            <w:vAlign w:val="center"/>
          </w:tcPr>
          <w:p w14:paraId="11822DC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关于印发《湘潭县被征地农民社会保障实施办法》的通知</w:t>
            </w:r>
          </w:p>
        </w:tc>
        <w:tc>
          <w:tcPr>
            <w:tcW w:w="2913" w:type="dxa"/>
            <w:shd w:val="clear" w:color="auto" w:fill="auto"/>
            <w:vAlign w:val="center"/>
          </w:tcPr>
          <w:p w14:paraId="6039481A">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潭县政办发〔2016〕3号</w:t>
            </w:r>
          </w:p>
        </w:tc>
      </w:tr>
      <w:tr w14:paraId="1B50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98A4AF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4</w:t>
            </w:r>
          </w:p>
        </w:tc>
        <w:tc>
          <w:tcPr>
            <w:tcW w:w="5260" w:type="dxa"/>
            <w:shd w:val="clear" w:color="auto" w:fill="auto"/>
            <w:vAlign w:val="center"/>
          </w:tcPr>
          <w:p w14:paraId="002F37C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关于印发《湘潭县被征地农民社会保障实施细则》的通告</w:t>
            </w:r>
          </w:p>
        </w:tc>
        <w:tc>
          <w:tcPr>
            <w:tcW w:w="2913" w:type="dxa"/>
            <w:shd w:val="clear" w:color="auto" w:fill="auto"/>
            <w:vAlign w:val="center"/>
          </w:tcPr>
          <w:p w14:paraId="33D870F7">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潭县政办发〔2017〕36号</w:t>
            </w:r>
          </w:p>
        </w:tc>
      </w:tr>
      <w:tr w14:paraId="1BA9F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1094E5C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5</w:t>
            </w:r>
          </w:p>
        </w:tc>
        <w:tc>
          <w:tcPr>
            <w:tcW w:w="5260" w:type="dxa"/>
            <w:shd w:val="clear" w:color="auto" w:fill="auto"/>
            <w:vAlign w:val="center"/>
          </w:tcPr>
          <w:p w14:paraId="593E211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关于印发《湘潭县人民政府“12345”热线工作管理规定》的通知</w:t>
            </w:r>
          </w:p>
        </w:tc>
        <w:tc>
          <w:tcPr>
            <w:tcW w:w="2913" w:type="dxa"/>
            <w:shd w:val="clear" w:color="auto" w:fill="auto"/>
            <w:vAlign w:val="center"/>
          </w:tcPr>
          <w:p w14:paraId="6ACE1C96">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潭县政办发〔2017〕35号</w:t>
            </w:r>
          </w:p>
        </w:tc>
      </w:tr>
      <w:tr w14:paraId="728CF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E30BFC7">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6</w:t>
            </w:r>
          </w:p>
        </w:tc>
        <w:tc>
          <w:tcPr>
            <w:tcW w:w="5260" w:type="dxa"/>
            <w:shd w:val="clear" w:color="auto" w:fill="auto"/>
            <w:vAlign w:val="center"/>
          </w:tcPr>
          <w:p w14:paraId="6A3311B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关于印发《湘潭县建设工程交通影响评价规划管理办法》的通知</w:t>
            </w:r>
          </w:p>
        </w:tc>
        <w:tc>
          <w:tcPr>
            <w:tcW w:w="2913" w:type="dxa"/>
            <w:shd w:val="clear" w:color="auto" w:fill="auto"/>
            <w:vAlign w:val="center"/>
          </w:tcPr>
          <w:p w14:paraId="1620A5B6">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潭县政办发〔2017〕21号</w:t>
            </w:r>
          </w:p>
        </w:tc>
      </w:tr>
      <w:tr w14:paraId="4C73E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3D0BA4F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7</w:t>
            </w:r>
          </w:p>
        </w:tc>
        <w:tc>
          <w:tcPr>
            <w:tcW w:w="5260" w:type="dxa"/>
            <w:shd w:val="clear" w:color="auto" w:fill="auto"/>
            <w:vAlign w:val="center"/>
          </w:tcPr>
          <w:p w14:paraId="2C21AD7C">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关于印发《湘潭县道路交通安全设施“三同时”</w:t>
            </w:r>
          </w:p>
          <w:p w14:paraId="246D935A">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制度实施办法》的通知</w:t>
            </w:r>
          </w:p>
        </w:tc>
        <w:tc>
          <w:tcPr>
            <w:tcW w:w="2913" w:type="dxa"/>
            <w:shd w:val="clear" w:color="auto" w:fill="auto"/>
            <w:vAlign w:val="center"/>
          </w:tcPr>
          <w:p w14:paraId="32930C21">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潭县政办发〔2017〕22号</w:t>
            </w:r>
          </w:p>
        </w:tc>
      </w:tr>
      <w:tr w14:paraId="6734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302072B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8</w:t>
            </w:r>
          </w:p>
        </w:tc>
        <w:tc>
          <w:tcPr>
            <w:tcW w:w="5260" w:type="dxa"/>
            <w:shd w:val="clear" w:color="auto" w:fill="auto"/>
            <w:vAlign w:val="center"/>
          </w:tcPr>
          <w:p w14:paraId="282D9A42">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关于县城区禁（限）燃放烟花爆竹的通告</w:t>
            </w:r>
          </w:p>
        </w:tc>
        <w:tc>
          <w:tcPr>
            <w:tcW w:w="2913" w:type="dxa"/>
            <w:shd w:val="clear" w:color="auto" w:fill="auto"/>
            <w:vAlign w:val="center"/>
          </w:tcPr>
          <w:p w14:paraId="64984281">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潭县政函〔2017〕28号</w:t>
            </w:r>
          </w:p>
        </w:tc>
      </w:tr>
      <w:tr w14:paraId="0CC22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2CC2AC6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9</w:t>
            </w:r>
          </w:p>
        </w:tc>
        <w:tc>
          <w:tcPr>
            <w:tcW w:w="5260" w:type="dxa"/>
            <w:shd w:val="clear" w:color="auto" w:fill="auto"/>
            <w:vAlign w:val="center"/>
          </w:tcPr>
          <w:p w14:paraId="754054AF">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关于确定彭德怀元帅故里创建国家5A级旅游景区红线范围的通告</w:t>
            </w:r>
          </w:p>
        </w:tc>
        <w:tc>
          <w:tcPr>
            <w:tcW w:w="2913" w:type="dxa"/>
            <w:shd w:val="clear" w:color="auto" w:fill="auto"/>
            <w:vAlign w:val="center"/>
          </w:tcPr>
          <w:p w14:paraId="4F8CFCD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潭县政函〔2018〕54号</w:t>
            </w:r>
          </w:p>
        </w:tc>
      </w:tr>
      <w:tr w14:paraId="67971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7380B79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10</w:t>
            </w:r>
          </w:p>
        </w:tc>
        <w:tc>
          <w:tcPr>
            <w:tcW w:w="5260" w:type="dxa"/>
            <w:shd w:val="clear" w:color="auto" w:fill="auto"/>
            <w:vAlign w:val="center"/>
          </w:tcPr>
          <w:p w14:paraId="18E9FE8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关于部分楼盘业主反映住宅土地使用年限问题的通告</w:t>
            </w:r>
          </w:p>
        </w:tc>
        <w:tc>
          <w:tcPr>
            <w:tcW w:w="2913" w:type="dxa"/>
            <w:shd w:val="clear" w:color="auto" w:fill="auto"/>
            <w:vAlign w:val="center"/>
          </w:tcPr>
          <w:p w14:paraId="485395B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潭县政函〔2018〕58号</w:t>
            </w:r>
          </w:p>
        </w:tc>
      </w:tr>
      <w:tr w14:paraId="522AD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833E71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11</w:t>
            </w:r>
          </w:p>
        </w:tc>
        <w:tc>
          <w:tcPr>
            <w:tcW w:w="5260" w:type="dxa"/>
            <w:shd w:val="clear" w:color="auto" w:fill="auto"/>
            <w:vAlign w:val="center"/>
          </w:tcPr>
          <w:p w14:paraId="4EB23902">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关于切实加强非洲猪瘟疫情防控工作的通告</w:t>
            </w:r>
          </w:p>
        </w:tc>
        <w:tc>
          <w:tcPr>
            <w:tcW w:w="2913" w:type="dxa"/>
            <w:shd w:val="clear" w:color="auto" w:fill="auto"/>
            <w:vAlign w:val="center"/>
          </w:tcPr>
          <w:p w14:paraId="4ADA3048">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潭县政函〔2018〕95号</w:t>
            </w:r>
          </w:p>
        </w:tc>
      </w:tr>
      <w:tr w14:paraId="16CC2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7D9CC2E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12</w:t>
            </w:r>
          </w:p>
        </w:tc>
        <w:tc>
          <w:tcPr>
            <w:tcW w:w="5260" w:type="dxa"/>
            <w:shd w:val="clear" w:color="auto" w:fill="auto"/>
            <w:vAlign w:val="center"/>
          </w:tcPr>
          <w:p w14:paraId="2A7D550E">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关于印发《湘潭县劳动模范管理办法》的通知</w:t>
            </w:r>
          </w:p>
        </w:tc>
        <w:tc>
          <w:tcPr>
            <w:tcW w:w="2913" w:type="dxa"/>
            <w:shd w:val="clear" w:color="auto" w:fill="auto"/>
            <w:vAlign w:val="center"/>
          </w:tcPr>
          <w:p w14:paraId="28F97E3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潭县政办发〔2018〕4号</w:t>
            </w:r>
          </w:p>
        </w:tc>
      </w:tr>
      <w:tr w14:paraId="342F6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76DA5A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13</w:t>
            </w:r>
          </w:p>
        </w:tc>
        <w:tc>
          <w:tcPr>
            <w:tcW w:w="5260" w:type="dxa"/>
            <w:shd w:val="clear" w:color="auto" w:fill="auto"/>
            <w:vAlign w:val="center"/>
          </w:tcPr>
          <w:p w14:paraId="5D9569E6">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关于印发《湘潭县加快社会信用体系建设的实施方案》的通知</w:t>
            </w:r>
          </w:p>
        </w:tc>
        <w:tc>
          <w:tcPr>
            <w:tcW w:w="2913" w:type="dxa"/>
            <w:shd w:val="clear" w:color="auto" w:fill="auto"/>
            <w:vAlign w:val="center"/>
          </w:tcPr>
          <w:p w14:paraId="74A72E8D">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潭县政办发〔2018〕10号</w:t>
            </w:r>
          </w:p>
        </w:tc>
      </w:tr>
      <w:tr w14:paraId="4A83E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39" w:type="dxa"/>
            <w:shd w:val="clear" w:color="auto" w:fill="auto"/>
            <w:vAlign w:val="center"/>
          </w:tcPr>
          <w:p w14:paraId="77AF302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14</w:t>
            </w:r>
          </w:p>
        </w:tc>
        <w:tc>
          <w:tcPr>
            <w:tcW w:w="5260" w:type="dxa"/>
            <w:shd w:val="clear" w:color="auto" w:fill="auto"/>
            <w:vAlign w:val="center"/>
          </w:tcPr>
          <w:p w14:paraId="220DAE4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关于印发《湘潭县建立完善守信联合激励和失信联合惩戒制度加快推进社会诚信建设的实施方案》的通知</w:t>
            </w:r>
          </w:p>
        </w:tc>
        <w:tc>
          <w:tcPr>
            <w:tcW w:w="2913" w:type="dxa"/>
            <w:shd w:val="clear" w:color="auto" w:fill="auto"/>
            <w:vAlign w:val="center"/>
          </w:tcPr>
          <w:p w14:paraId="1B49FDCE">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潭县政办发〔2018〕11号</w:t>
            </w:r>
          </w:p>
        </w:tc>
      </w:tr>
      <w:tr w14:paraId="62C48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54B0612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15</w:t>
            </w:r>
          </w:p>
        </w:tc>
        <w:tc>
          <w:tcPr>
            <w:tcW w:w="5260" w:type="dxa"/>
            <w:shd w:val="clear" w:color="auto" w:fill="auto"/>
            <w:vAlign w:val="center"/>
          </w:tcPr>
          <w:p w14:paraId="0D46F33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关于印发《湘潭县加强政务诚信建设的实施方案》的通知</w:t>
            </w:r>
          </w:p>
        </w:tc>
        <w:tc>
          <w:tcPr>
            <w:tcW w:w="2913" w:type="dxa"/>
            <w:shd w:val="clear" w:color="auto" w:fill="auto"/>
            <w:vAlign w:val="center"/>
          </w:tcPr>
          <w:p w14:paraId="7B0F10A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潭县政办发〔2018〕16号</w:t>
            </w:r>
          </w:p>
        </w:tc>
      </w:tr>
      <w:tr w14:paraId="2E59D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074B7D1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16</w:t>
            </w:r>
          </w:p>
        </w:tc>
        <w:tc>
          <w:tcPr>
            <w:tcW w:w="5260" w:type="dxa"/>
            <w:shd w:val="clear" w:color="auto" w:fill="auto"/>
            <w:vAlign w:val="center"/>
          </w:tcPr>
          <w:p w14:paraId="037079AE">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关于印发《湘潭县耕地开垦项目管理办法（修订）》的通知</w:t>
            </w:r>
          </w:p>
        </w:tc>
        <w:tc>
          <w:tcPr>
            <w:tcW w:w="2913" w:type="dxa"/>
            <w:shd w:val="clear" w:color="auto" w:fill="auto"/>
            <w:vAlign w:val="center"/>
          </w:tcPr>
          <w:p w14:paraId="793C82A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潭县政办发〔2018〕20号</w:t>
            </w:r>
          </w:p>
        </w:tc>
      </w:tr>
      <w:tr w14:paraId="63E30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385CA1E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17</w:t>
            </w:r>
          </w:p>
        </w:tc>
        <w:tc>
          <w:tcPr>
            <w:tcW w:w="5260" w:type="dxa"/>
            <w:shd w:val="clear" w:color="auto" w:fill="auto"/>
            <w:vAlign w:val="center"/>
          </w:tcPr>
          <w:p w14:paraId="13B6318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关于印发《湘潭县财政投资评审管理办法》的通知</w:t>
            </w:r>
          </w:p>
        </w:tc>
        <w:tc>
          <w:tcPr>
            <w:tcW w:w="2913" w:type="dxa"/>
            <w:shd w:val="clear" w:color="auto" w:fill="auto"/>
            <w:vAlign w:val="center"/>
          </w:tcPr>
          <w:p w14:paraId="48D154A1">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潭县政办发〔2018〕23号</w:t>
            </w:r>
          </w:p>
        </w:tc>
      </w:tr>
      <w:tr w14:paraId="75297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2C064A9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18</w:t>
            </w:r>
          </w:p>
        </w:tc>
        <w:tc>
          <w:tcPr>
            <w:tcW w:w="5260" w:type="dxa"/>
            <w:shd w:val="clear" w:color="auto" w:fill="auto"/>
            <w:vAlign w:val="center"/>
          </w:tcPr>
          <w:p w14:paraId="3D4A0A81">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关于修订《湘潭县解决城镇开发国有建设用地权证办理历史遗留问题的实施意见》的通知</w:t>
            </w:r>
          </w:p>
        </w:tc>
        <w:tc>
          <w:tcPr>
            <w:tcW w:w="2913" w:type="dxa"/>
            <w:shd w:val="clear" w:color="auto" w:fill="auto"/>
            <w:vAlign w:val="center"/>
          </w:tcPr>
          <w:p w14:paraId="4071EE27">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潭县政办发〔2018〕24号</w:t>
            </w:r>
          </w:p>
        </w:tc>
      </w:tr>
      <w:tr w14:paraId="5F5F6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53FA155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19</w:t>
            </w:r>
          </w:p>
        </w:tc>
        <w:tc>
          <w:tcPr>
            <w:tcW w:w="5260" w:type="dxa"/>
            <w:shd w:val="clear" w:color="auto" w:fill="auto"/>
            <w:vAlign w:val="center"/>
          </w:tcPr>
          <w:p w14:paraId="473774C6">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关于印发《湘潭县饮用水源地突发环境事件应急预案》的通知</w:t>
            </w:r>
          </w:p>
        </w:tc>
        <w:tc>
          <w:tcPr>
            <w:tcW w:w="2913" w:type="dxa"/>
            <w:shd w:val="clear" w:color="auto" w:fill="auto"/>
            <w:vAlign w:val="center"/>
          </w:tcPr>
          <w:p w14:paraId="564609E2">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潭县政办发〔2018〕27号</w:t>
            </w:r>
          </w:p>
        </w:tc>
      </w:tr>
      <w:tr w14:paraId="65741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082D764B">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20</w:t>
            </w:r>
          </w:p>
        </w:tc>
        <w:tc>
          <w:tcPr>
            <w:tcW w:w="5260" w:type="dxa"/>
            <w:shd w:val="clear" w:color="auto" w:fill="auto"/>
            <w:vAlign w:val="center"/>
          </w:tcPr>
          <w:p w14:paraId="3CBFD2FD">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关于印发《湘潭县发挥品牌引领作用推动供需结构升级行动计划》的通知</w:t>
            </w:r>
          </w:p>
        </w:tc>
        <w:tc>
          <w:tcPr>
            <w:tcW w:w="2913" w:type="dxa"/>
            <w:shd w:val="clear" w:color="auto" w:fill="auto"/>
            <w:vAlign w:val="center"/>
          </w:tcPr>
          <w:p w14:paraId="11306717">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潭县政办发〔2018〕31号</w:t>
            </w:r>
          </w:p>
        </w:tc>
      </w:tr>
      <w:tr w14:paraId="4F22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9EC470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21</w:t>
            </w:r>
          </w:p>
        </w:tc>
        <w:tc>
          <w:tcPr>
            <w:tcW w:w="5260" w:type="dxa"/>
            <w:shd w:val="clear" w:color="auto" w:fill="auto"/>
            <w:vAlign w:val="center"/>
          </w:tcPr>
          <w:p w14:paraId="6EA7FE49">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关于调整湘潭县城镇土地使用税征收范围的通知</w:t>
            </w:r>
          </w:p>
        </w:tc>
        <w:tc>
          <w:tcPr>
            <w:tcW w:w="2913" w:type="dxa"/>
            <w:shd w:val="clear" w:color="auto" w:fill="auto"/>
            <w:vAlign w:val="center"/>
          </w:tcPr>
          <w:p w14:paraId="6F6C6D84">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潭县政办函〔2018〕78号</w:t>
            </w:r>
          </w:p>
        </w:tc>
      </w:tr>
      <w:tr w14:paraId="545BB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3256536B">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22</w:t>
            </w:r>
          </w:p>
        </w:tc>
        <w:tc>
          <w:tcPr>
            <w:tcW w:w="5260" w:type="dxa"/>
            <w:shd w:val="clear" w:color="auto" w:fill="auto"/>
            <w:vAlign w:val="center"/>
          </w:tcPr>
          <w:p w14:paraId="24CD2E2B">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关于印发《湘潭县重大动物疫情应急预案》的通知</w:t>
            </w:r>
          </w:p>
        </w:tc>
        <w:tc>
          <w:tcPr>
            <w:tcW w:w="2913" w:type="dxa"/>
            <w:shd w:val="clear" w:color="auto" w:fill="auto"/>
            <w:vAlign w:val="center"/>
          </w:tcPr>
          <w:p w14:paraId="6FFB2DD6">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潭县政办函〔2018〕107号</w:t>
            </w:r>
          </w:p>
        </w:tc>
      </w:tr>
      <w:tr w14:paraId="69E33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7D11876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23</w:t>
            </w:r>
          </w:p>
        </w:tc>
        <w:tc>
          <w:tcPr>
            <w:tcW w:w="5260" w:type="dxa"/>
            <w:shd w:val="clear" w:color="auto" w:fill="auto"/>
            <w:vAlign w:val="center"/>
          </w:tcPr>
          <w:p w14:paraId="2C6037C4">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关于印发《湘潭县畜禽粪污资源化利用整县推进项目建设工作方案》的通知</w:t>
            </w:r>
          </w:p>
        </w:tc>
        <w:tc>
          <w:tcPr>
            <w:tcW w:w="2913" w:type="dxa"/>
            <w:shd w:val="clear" w:color="auto" w:fill="auto"/>
            <w:vAlign w:val="center"/>
          </w:tcPr>
          <w:p w14:paraId="06B300CF">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潭县政办函〔2018〕115号</w:t>
            </w:r>
          </w:p>
        </w:tc>
      </w:tr>
      <w:tr w14:paraId="1077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D8C6A3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24</w:t>
            </w:r>
          </w:p>
        </w:tc>
        <w:tc>
          <w:tcPr>
            <w:tcW w:w="5260" w:type="dxa"/>
            <w:shd w:val="clear" w:color="auto" w:fill="auto"/>
            <w:vAlign w:val="center"/>
          </w:tcPr>
          <w:p w14:paraId="4116FA40">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关于严格控制红色旅游线德怀大道两厢建设活动的通告</w:t>
            </w:r>
          </w:p>
        </w:tc>
        <w:tc>
          <w:tcPr>
            <w:tcW w:w="2913" w:type="dxa"/>
            <w:shd w:val="clear" w:color="auto" w:fill="auto"/>
            <w:vAlign w:val="center"/>
          </w:tcPr>
          <w:p w14:paraId="0F6F5750">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潭县政函〔2019〕37号</w:t>
            </w:r>
          </w:p>
        </w:tc>
      </w:tr>
      <w:tr w14:paraId="4BC3F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47E972F2">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25</w:t>
            </w:r>
          </w:p>
        </w:tc>
        <w:tc>
          <w:tcPr>
            <w:tcW w:w="5260" w:type="dxa"/>
            <w:shd w:val="clear" w:color="auto" w:fill="auto"/>
            <w:vAlign w:val="center"/>
          </w:tcPr>
          <w:p w14:paraId="5CB9C4AE">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关于印发《湘潭县城乡建设用地增减挂钩工作实施方案》的通知</w:t>
            </w:r>
          </w:p>
        </w:tc>
        <w:tc>
          <w:tcPr>
            <w:tcW w:w="2913" w:type="dxa"/>
            <w:shd w:val="clear" w:color="auto" w:fill="auto"/>
            <w:vAlign w:val="center"/>
          </w:tcPr>
          <w:p w14:paraId="725CF39A">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潭县政办函〔2019〕42号</w:t>
            </w:r>
          </w:p>
        </w:tc>
      </w:tr>
      <w:tr w14:paraId="1F07D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0EACE00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26</w:t>
            </w:r>
          </w:p>
        </w:tc>
        <w:tc>
          <w:tcPr>
            <w:tcW w:w="5260" w:type="dxa"/>
            <w:shd w:val="clear" w:color="auto" w:fill="auto"/>
            <w:vAlign w:val="center"/>
          </w:tcPr>
          <w:p w14:paraId="1720F503">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关于进一步推进教育基金公益事业发展的意见</w:t>
            </w:r>
          </w:p>
        </w:tc>
        <w:tc>
          <w:tcPr>
            <w:tcW w:w="2913" w:type="dxa"/>
            <w:shd w:val="clear" w:color="auto" w:fill="auto"/>
            <w:vAlign w:val="center"/>
          </w:tcPr>
          <w:p w14:paraId="439CC6A4">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潭县政办函〔2019〕51号</w:t>
            </w:r>
          </w:p>
        </w:tc>
      </w:tr>
      <w:tr w14:paraId="3358E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63F4170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27</w:t>
            </w:r>
          </w:p>
        </w:tc>
        <w:tc>
          <w:tcPr>
            <w:tcW w:w="5260" w:type="dxa"/>
            <w:shd w:val="clear" w:color="auto" w:fill="auto"/>
            <w:vAlign w:val="center"/>
          </w:tcPr>
          <w:p w14:paraId="0B16221C">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关于委托乡镇行使人民政府部门部分行政处罚权的实施意见</w:t>
            </w:r>
          </w:p>
        </w:tc>
        <w:tc>
          <w:tcPr>
            <w:tcW w:w="2913" w:type="dxa"/>
            <w:shd w:val="clear" w:color="auto" w:fill="auto"/>
            <w:vAlign w:val="center"/>
          </w:tcPr>
          <w:p w14:paraId="510CB3DD">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潭县政发〔2019〕2号</w:t>
            </w:r>
          </w:p>
        </w:tc>
      </w:tr>
      <w:tr w14:paraId="07D8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139696B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28</w:t>
            </w:r>
          </w:p>
        </w:tc>
        <w:tc>
          <w:tcPr>
            <w:tcW w:w="5260" w:type="dxa"/>
            <w:shd w:val="clear" w:color="auto" w:fill="auto"/>
            <w:vAlign w:val="center"/>
          </w:tcPr>
          <w:p w14:paraId="1567083A">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关于印发《行政执法三项制度的实施方案》的通知</w:t>
            </w:r>
          </w:p>
        </w:tc>
        <w:tc>
          <w:tcPr>
            <w:tcW w:w="2913" w:type="dxa"/>
            <w:shd w:val="clear" w:color="auto" w:fill="auto"/>
            <w:vAlign w:val="center"/>
          </w:tcPr>
          <w:p w14:paraId="7B3E8907">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潭县政办发〔2019〕6号</w:t>
            </w:r>
          </w:p>
        </w:tc>
      </w:tr>
      <w:tr w14:paraId="7CD0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585DA0FB">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29</w:t>
            </w:r>
          </w:p>
        </w:tc>
        <w:tc>
          <w:tcPr>
            <w:tcW w:w="5260" w:type="dxa"/>
            <w:shd w:val="clear" w:color="auto" w:fill="auto"/>
            <w:vAlign w:val="center"/>
          </w:tcPr>
          <w:p w14:paraId="34EEE05B">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关于印发《湘潭县职业技能提升行动实施方案》的通知</w:t>
            </w:r>
          </w:p>
        </w:tc>
        <w:tc>
          <w:tcPr>
            <w:tcW w:w="2913" w:type="dxa"/>
            <w:shd w:val="clear" w:color="auto" w:fill="auto"/>
            <w:vAlign w:val="center"/>
          </w:tcPr>
          <w:p w14:paraId="470B39F2">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潭县政办发〔2020〕5号</w:t>
            </w:r>
          </w:p>
        </w:tc>
      </w:tr>
      <w:tr w14:paraId="2FC47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230860F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30</w:t>
            </w:r>
          </w:p>
        </w:tc>
        <w:tc>
          <w:tcPr>
            <w:tcW w:w="5260" w:type="dxa"/>
            <w:shd w:val="clear" w:color="auto" w:fill="auto"/>
            <w:vAlign w:val="center"/>
          </w:tcPr>
          <w:p w14:paraId="511FE569">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关于印发《湘潭县政府资金存款管理暂行办法》的通知</w:t>
            </w:r>
          </w:p>
        </w:tc>
        <w:tc>
          <w:tcPr>
            <w:tcW w:w="2913" w:type="dxa"/>
            <w:shd w:val="clear" w:color="auto" w:fill="auto"/>
            <w:vAlign w:val="center"/>
          </w:tcPr>
          <w:p w14:paraId="6B9E213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潭县政办发〔2021〕3号</w:t>
            </w:r>
          </w:p>
        </w:tc>
      </w:tr>
      <w:tr w14:paraId="548A1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39" w:type="dxa"/>
            <w:shd w:val="clear" w:color="auto" w:fill="auto"/>
            <w:vAlign w:val="center"/>
          </w:tcPr>
          <w:p w14:paraId="588D6F8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31</w:t>
            </w:r>
          </w:p>
        </w:tc>
        <w:tc>
          <w:tcPr>
            <w:tcW w:w="5260" w:type="dxa"/>
            <w:shd w:val="clear" w:color="auto" w:fill="auto"/>
            <w:vAlign w:val="center"/>
          </w:tcPr>
          <w:p w14:paraId="59D7BCF1">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关于印发《湘潭县生产安全事故应急预案（试行）》的通知</w:t>
            </w:r>
          </w:p>
        </w:tc>
        <w:tc>
          <w:tcPr>
            <w:tcW w:w="2913" w:type="dxa"/>
            <w:shd w:val="clear" w:color="auto" w:fill="auto"/>
            <w:vAlign w:val="center"/>
          </w:tcPr>
          <w:p w14:paraId="615A5615">
            <w:pPr>
              <w:jc w:val="left"/>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潭县政办发〔2022</w:t>
            </w:r>
            <w:bookmarkStart w:id="0" w:name="_GoBack"/>
            <w:bookmarkEnd w:id="0"/>
            <w:r>
              <w:rPr>
                <w:rFonts w:hint="eastAsia" w:ascii="仿宋_GB2312" w:hAnsi="仿宋_GB2312" w:eastAsia="仿宋_GB2312" w:cs="仿宋_GB2312"/>
                <w:sz w:val="24"/>
                <w:szCs w:val="24"/>
                <w:vertAlign w:val="baseline"/>
                <w:lang w:val="en-US" w:eastAsia="zh-CN"/>
              </w:rPr>
              <w:t>〕11号</w:t>
            </w:r>
          </w:p>
        </w:tc>
      </w:tr>
    </w:tbl>
    <w:p w14:paraId="3C5E77A7">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14:paraId="66AFA428">
      <w:pPr>
        <w:jc w:val="both"/>
        <w:rPr>
          <w:rFonts w:hint="eastAsia" w:ascii="宋体" w:hAnsi="宋体" w:eastAsia="宋体" w:cs="宋体"/>
          <w:sz w:val="36"/>
          <w:szCs w:val="36"/>
          <w:lang w:val="en-US" w:eastAsia="zh-CN"/>
        </w:rPr>
      </w:pPr>
      <w:r>
        <w:rPr>
          <w:rFonts w:hint="eastAsia" w:ascii="黑体" w:hAnsi="黑体" w:eastAsia="黑体" w:cs="黑体"/>
          <w:sz w:val="32"/>
          <w:szCs w:val="32"/>
          <w:lang w:val="en-US" w:eastAsia="zh-CN"/>
        </w:rPr>
        <w:t xml:space="preserve">附件2 </w:t>
      </w:r>
      <w:r>
        <w:rPr>
          <w:rFonts w:hint="eastAsia" w:ascii="宋体" w:hAnsi="宋体" w:eastAsia="宋体" w:cs="宋体"/>
          <w:sz w:val="36"/>
          <w:szCs w:val="36"/>
          <w:lang w:val="en-US" w:eastAsia="zh-CN"/>
        </w:rPr>
        <w:t xml:space="preserve">        </w:t>
      </w:r>
    </w:p>
    <w:p w14:paraId="5F7C458B">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确认废止的行政规范性文件目录</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5303"/>
        <w:gridCol w:w="2817"/>
      </w:tblGrid>
      <w:tr w14:paraId="67B60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38" w:type="dxa"/>
            <w:vAlign w:val="center"/>
          </w:tcPr>
          <w:p w14:paraId="2215210D">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5303" w:type="dxa"/>
            <w:vAlign w:val="center"/>
          </w:tcPr>
          <w:p w14:paraId="5D225A35">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文件名称</w:t>
            </w:r>
          </w:p>
        </w:tc>
        <w:tc>
          <w:tcPr>
            <w:tcW w:w="2817" w:type="dxa"/>
            <w:vAlign w:val="center"/>
          </w:tcPr>
          <w:p w14:paraId="59EEB022">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文号</w:t>
            </w:r>
          </w:p>
        </w:tc>
      </w:tr>
      <w:tr w14:paraId="3C57E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38" w:type="dxa"/>
            <w:vAlign w:val="center"/>
          </w:tcPr>
          <w:p w14:paraId="20E854E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5303" w:type="dxa"/>
            <w:shd w:val="clear" w:color="auto" w:fill="auto"/>
            <w:vAlign w:val="center"/>
          </w:tcPr>
          <w:p w14:paraId="318542C0">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关于规范县城区餐厨垃圾（泔水）管理的通告</w:t>
            </w:r>
          </w:p>
        </w:tc>
        <w:tc>
          <w:tcPr>
            <w:tcW w:w="2817" w:type="dxa"/>
            <w:shd w:val="clear" w:color="auto" w:fill="auto"/>
            <w:vAlign w:val="center"/>
          </w:tcPr>
          <w:p w14:paraId="5C57880A">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潭县政通〔2020〕1号</w:t>
            </w:r>
          </w:p>
        </w:tc>
      </w:tr>
      <w:tr w14:paraId="66A8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38" w:type="dxa"/>
            <w:vAlign w:val="center"/>
          </w:tcPr>
          <w:p w14:paraId="7B246B7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5303" w:type="dxa"/>
            <w:shd w:val="clear" w:color="auto" w:fill="auto"/>
            <w:vAlign w:val="center"/>
          </w:tcPr>
          <w:p w14:paraId="62926CE0">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关于印发《湘潭县乡镇权力清单和责任清单和湘潭县赋予乡镇经济社会管理权限目录》的通知</w:t>
            </w:r>
          </w:p>
        </w:tc>
        <w:tc>
          <w:tcPr>
            <w:tcW w:w="2817" w:type="dxa"/>
            <w:shd w:val="clear" w:color="auto" w:fill="auto"/>
            <w:vAlign w:val="center"/>
          </w:tcPr>
          <w:p w14:paraId="22EC78FE">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潭县政办发〔2020〕1号</w:t>
            </w:r>
          </w:p>
        </w:tc>
      </w:tr>
      <w:tr w14:paraId="7B139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38" w:type="dxa"/>
            <w:vAlign w:val="center"/>
          </w:tcPr>
          <w:p w14:paraId="5E27E6B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5303" w:type="dxa"/>
            <w:shd w:val="clear" w:color="auto" w:fill="auto"/>
            <w:vAlign w:val="center"/>
          </w:tcPr>
          <w:p w14:paraId="7A9F2B4F">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关于印发《湘潭县规范性文件合法性审核办法》的通知</w:t>
            </w:r>
          </w:p>
        </w:tc>
        <w:tc>
          <w:tcPr>
            <w:tcW w:w="2817" w:type="dxa"/>
            <w:shd w:val="clear" w:color="auto" w:fill="auto"/>
            <w:vAlign w:val="center"/>
          </w:tcPr>
          <w:p w14:paraId="2F55EBD4">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潭县政办发〔2020〕7号</w:t>
            </w:r>
          </w:p>
        </w:tc>
      </w:tr>
      <w:tr w14:paraId="5638F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38" w:type="dxa"/>
            <w:vAlign w:val="center"/>
          </w:tcPr>
          <w:p w14:paraId="12F9829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5303" w:type="dxa"/>
            <w:shd w:val="clear" w:color="auto" w:fill="auto"/>
            <w:vAlign w:val="center"/>
          </w:tcPr>
          <w:p w14:paraId="230E53B3">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关于公布湘潭县县级经济社会管理权限赋权天易经开区事项清单的通知</w:t>
            </w:r>
          </w:p>
        </w:tc>
        <w:tc>
          <w:tcPr>
            <w:tcW w:w="2817" w:type="dxa"/>
            <w:shd w:val="clear" w:color="auto" w:fill="auto"/>
            <w:vAlign w:val="center"/>
          </w:tcPr>
          <w:p w14:paraId="6DE9C4B9">
            <w:pPr>
              <w:jc w:val="left"/>
              <w:rPr>
                <w:rFonts w:hint="eastAsia" w:ascii="仿宋_GB2312" w:hAnsi="仿宋_GB2312" w:eastAsia="仿宋_GB2312" w:cs="仿宋_GB2312"/>
                <w:sz w:val="24"/>
                <w:szCs w:val="24"/>
                <w:vertAlign w:val="baseline"/>
                <w:lang w:val="en-US" w:eastAsia="zh-CN"/>
              </w:rPr>
            </w:pPr>
          </w:p>
          <w:p w14:paraId="406DD0B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潭县政发〔2022〕2号</w:t>
            </w:r>
          </w:p>
        </w:tc>
      </w:tr>
    </w:tbl>
    <w:p w14:paraId="10E6C2E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sz w:val="30"/>
          <w:szCs w:val="30"/>
          <w:lang w:val="en-US" w:eastAsia="zh-CN"/>
        </w:rPr>
        <w:sectPr>
          <w:footerReference r:id="rId3" w:type="default"/>
          <w:pgSz w:w="11906" w:h="16838"/>
          <w:pgMar w:top="2098" w:right="1474" w:bottom="1984" w:left="1587" w:header="851" w:footer="992" w:gutter="0"/>
          <w:pgNumType w:fmt="numberInDash"/>
          <w:cols w:space="0" w:num="1"/>
          <w:rtlGutter w:val="0"/>
          <w:docGrid w:type="lines" w:linePitch="312" w:charSpace="0"/>
        </w:sectPr>
      </w:pPr>
    </w:p>
    <w:p w14:paraId="1A15F339"/>
    <w:p w14:paraId="4AB1E022"/>
    <w:p w14:paraId="37E4800B"/>
    <w:p w14:paraId="7E6CF997"/>
    <w:p w14:paraId="17C79FC1"/>
    <w:p w14:paraId="7A476428"/>
    <w:p w14:paraId="0D93046E"/>
    <w:p w14:paraId="3B0A550D"/>
    <w:p w14:paraId="3938C044"/>
    <w:p w14:paraId="596C452A"/>
    <w:p w14:paraId="0B9CBC62"/>
    <w:p w14:paraId="7DBD8434"/>
    <w:p w14:paraId="33DA4CBF"/>
    <w:p w14:paraId="36B79C42"/>
    <w:p w14:paraId="40E6EFE7"/>
    <w:p w14:paraId="06F5133B"/>
    <w:p w14:paraId="057AE84D">
      <w:pPr>
        <w:keepNext w:val="0"/>
        <w:keepLines w:val="0"/>
        <w:pageBreakBefore w:val="0"/>
        <w:widowControl w:val="0"/>
        <w:kinsoku/>
        <w:wordWrap/>
        <w:overflowPunct/>
        <w:topLinePunct w:val="0"/>
        <w:autoSpaceDE/>
        <w:autoSpaceDN/>
        <w:bidi w:val="0"/>
        <w:adjustRightInd/>
        <w:snapToGrid/>
        <w:spacing w:line="740" w:lineRule="exact"/>
        <w:textAlignment w:val="auto"/>
      </w:pPr>
    </w:p>
    <w:p w14:paraId="0F54ED87">
      <w:pPr>
        <w:keepNext w:val="0"/>
        <w:keepLines w:val="0"/>
        <w:pageBreakBefore w:val="0"/>
        <w:widowControl w:val="0"/>
        <w:kinsoku/>
        <w:wordWrap/>
        <w:overflowPunct/>
        <w:topLinePunct w:val="0"/>
        <w:autoSpaceDE/>
        <w:autoSpaceDN/>
        <w:bidi w:val="0"/>
        <w:adjustRightInd/>
        <w:snapToGrid/>
        <w:spacing w:line="740" w:lineRule="exact"/>
        <w:textAlignment w:val="auto"/>
      </w:pPr>
    </w:p>
    <w:p w14:paraId="2B08C53C">
      <w:pPr>
        <w:keepNext w:val="0"/>
        <w:keepLines w:val="0"/>
        <w:pageBreakBefore w:val="0"/>
        <w:widowControl w:val="0"/>
        <w:kinsoku/>
        <w:wordWrap/>
        <w:overflowPunct/>
        <w:topLinePunct w:val="0"/>
        <w:autoSpaceDE/>
        <w:autoSpaceDN/>
        <w:bidi w:val="0"/>
        <w:adjustRightInd/>
        <w:snapToGrid/>
        <w:spacing w:line="740" w:lineRule="exact"/>
        <w:textAlignment w:val="auto"/>
      </w:pPr>
    </w:p>
    <w:p w14:paraId="66EA0D7C">
      <w:pPr>
        <w:pStyle w:val="2"/>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76" w:lineRule="exact"/>
        <w:ind w:left="0" w:leftChars="0" w:firstLine="280" w:firstLineChars="100"/>
        <w:jc w:val="both"/>
        <w:textAlignment w:val="auto"/>
        <w:rPr>
          <w:rFonts w:hint="eastAsia"/>
          <w:lang w:val="en-US" w:eastAsia="zh-CN"/>
        </w:rPr>
      </w:pPr>
      <w:r>
        <w:rPr>
          <w:rFonts w:hint="eastAsia" w:ascii="仿宋_GB2312" w:hAnsi="仿宋_GB2312" w:eastAsia="仿宋_GB2312" w:cs="仿宋_GB2312"/>
          <w:color w:val="000000"/>
          <w:sz w:val="28"/>
          <w:szCs w:val="28"/>
          <w:lang w:val="en-US" w:eastAsia="zh-CN"/>
        </w:rPr>
        <w:t xml:space="preserve">湘潭县人民政府办公室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w:t>
      </w:r>
      <w:r>
        <w:rPr>
          <w:rFonts w:hint="default" w:ascii="Times New Roman" w:hAnsi="Times New Roman" w:eastAsia="仿宋_GB2312" w:cs="Times New Roman"/>
          <w:kern w:val="2"/>
          <w:sz w:val="28"/>
          <w:szCs w:val="28"/>
          <w:lang w:val="en" w:eastAsia="zh-CN" w:bidi="ar-SA"/>
        </w:rPr>
        <w:t>4</w:t>
      </w:r>
      <w:r>
        <w:rPr>
          <w:rFonts w:hint="eastAsia" w:ascii="仿宋_GB2312" w:hAnsi="仿宋_GB2312" w:eastAsia="仿宋_GB2312" w:cs="仿宋_GB2312"/>
          <w:color w:val="000000"/>
          <w:sz w:val="28"/>
          <w:szCs w:val="28"/>
          <w:lang w:val="en-US" w:eastAsia="zh-CN"/>
        </w:rPr>
        <w:t>年</w:t>
      </w:r>
      <w:r>
        <w:rPr>
          <w:rFonts w:hint="default" w:ascii="Times New Roman" w:hAnsi="Times New Roman" w:eastAsia="仿宋_GB2312" w:cs="Times New Roman"/>
          <w:kern w:val="2"/>
          <w:sz w:val="28"/>
          <w:szCs w:val="28"/>
          <w:lang w:val="en-US" w:eastAsia="zh-CN" w:bidi="ar-SA"/>
        </w:rPr>
        <w:t>12</w:t>
      </w:r>
      <w:r>
        <w:rPr>
          <w:rFonts w:hint="eastAsia" w:ascii="仿宋_GB2312" w:hAnsi="仿宋_GB2312" w:eastAsia="仿宋_GB2312" w:cs="仿宋_GB2312"/>
          <w:color w:val="000000"/>
          <w:sz w:val="28"/>
          <w:szCs w:val="28"/>
          <w:lang w:val="en-US" w:eastAsia="zh-CN"/>
        </w:rPr>
        <w:t>月</w:t>
      </w:r>
      <w:r>
        <w:rPr>
          <w:rFonts w:hint="default" w:ascii="Times New Roman" w:hAnsi="Times New Roman" w:eastAsia="仿宋_GB2312" w:cs="Times New Roman"/>
          <w:kern w:val="2"/>
          <w:sz w:val="28"/>
          <w:szCs w:val="28"/>
          <w:lang w:val="en-US" w:eastAsia="zh-CN" w:bidi="ar-SA"/>
        </w:rPr>
        <w:t>31</w:t>
      </w:r>
      <w:r>
        <w:rPr>
          <w:rFonts w:hint="eastAsia" w:ascii="仿宋_GB2312" w:hAnsi="仿宋_GB2312" w:eastAsia="仿宋_GB2312" w:cs="仿宋_GB2312"/>
          <w:color w:val="000000"/>
          <w:sz w:val="28"/>
          <w:szCs w:val="28"/>
          <w:lang w:val="en-US" w:eastAsia="zh-CN"/>
        </w:rPr>
        <w:t>日印</w:t>
      </w:r>
    </w:p>
    <w:sectPr>
      <w:footerReference r:id="rId4" w:type="default"/>
      <w:pgSz w:w="11906" w:h="16838"/>
      <w:pgMar w:top="2098" w:right="1474" w:bottom="1984" w:left="1587" w:header="851" w:footer="992" w:gutter="0"/>
      <w:pgNumType w:fmt="numberInDash" w:start="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56A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8A382">
                          <w:pPr>
                            <w:pStyle w:val="7"/>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E8A382">
                    <w:pPr>
                      <w:pStyle w:val="7"/>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E2251">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AA938E">
                          <w:pPr>
                            <w:pStyle w:val="7"/>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- 6 -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AA938E">
                    <w:pPr>
                      <w:pStyle w:val="7"/>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- 6 -</w:t>
                    </w:r>
                    <w:r>
                      <w:rPr>
                        <w:rFonts w:ascii="宋体" w:hAnsi="宋体" w:eastAsia="宋体"/>
                        <w:sz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hMTkyZmE3MWIwMTQzOWQ1NjU1YjhjNjdmYzVkYmYifQ=="/>
  </w:docVars>
  <w:rsids>
    <w:rsidRoot w:val="00000000"/>
    <w:rsid w:val="01A50231"/>
    <w:rsid w:val="0227136C"/>
    <w:rsid w:val="0C93357B"/>
    <w:rsid w:val="1D975D97"/>
    <w:rsid w:val="351F0C12"/>
    <w:rsid w:val="3B620B25"/>
    <w:rsid w:val="3D0E1395"/>
    <w:rsid w:val="3DEC46B1"/>
    <w:rsid w:val="5FAC0EED"/>
    <w:rsid w:val="65D52EAD"/>
    <w:rsid w:val="6A150598"/>
    <w:rsid w:val="6CB13047"/>
    <w:rsid w:val="70913574"/>
    <w:rsid w:val="737408DC"/>
    <w:rsid w:val="776F260F"/>
    <w:rsid w:val="7E4051E5"/>
    <w:rsid w:val="7EF63290"/>
    <w:rsid w:val="8CE69F86"/>
    <w:rsid w:val="BBDDDD7A"/>
    <w:rsid w:val="F7D91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index 5"/>
    <w:basedOn w:val="1"/>
    <w:next w:val="1"/>
    <w:qFormat/>
    <w:uiPriority w:val="99"/>
    <w:pPr>
      <w:ind w:left="1680"/>
    </w:pPr>
  </w:style>
  <w:style w:type="paragraph" w:styleId="4">
    <w:name w:val="Body Text"/>
    <w:basedOn w:val="1"/>
    <w:next w:val="1"/>
    <w:qFormat/>
    <w:uiPriority w:val="1"/>
    <w:rPr>
      <w:rFonts w:eastAsia="宋体" w:cs="宋体"/>
      <w:szCs w:val="32"/>
      <w:lang w:val="zh-CN" w:bidi="zh-CN"/>
    </w:rPr>
  </w:style>
  <w:style w:type="paragraph" w:styleId="5">
    <w:name w:val="Body Text Indent"/>
    <w:basedOn w:val="1"/>
    <w:next w:val="6"/>
    <w:qFormat/>
    <w:uiPriority w:val="0"/>
    <w:pPr>
      <w:spacing w:after="120"/>
      <w:ind w:left="420" w:leftChars="200"/>
    </w:pPr>
  </w:style>
  <w:style w:type="paragraph" w:styleId="6">
    <w:name w:val="Body Text Indent 2"/>
    <w:basedOn w:val="1"/>
    <w:next w:val="1"/>
    <w:qFormat/>
    <w:uiPriority w:val="99"/>
    <w:pPr>
      <w:spacing w:after="120" w:line="480" w:lineRule="auto"/>
      <w:ind w:left="420" w:leftChars="200"/>
    </w:pPr>
  </w:style>
  <w:style w:type="paragraph" w:styleId="7">
    <w:name w:val="footer"/>
    <w:basedOn w:val="1"/>
    <w:next w:val="3"/>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next w:val="1"/>
    <w:unhideWhenUsed/>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Default"/>
    <w:qFormat/>
    <w:uiPriority w:val="0"/>
    <w:pPr>
      <w:widowControl w:val="0"/>
      <w:autoSpaceDE w:val="0"/>
      <w:autoSpaceDN w:val="0"/>
      <w:adjustRightInd w:val="0"/>
    </w:pPr>
    <w:rPr>
      <w:rFonts w:ascii="方正小标宋_GBK" w:hAnsi="Calibri" w:eastAsia="方正小标宋_GBK" w:cs="方正小标宋_GBK"/>
      <w:color w:val="000000"/>
      <w:sz w:val="24"/>
      <w:szCs w:val="24"/>
      <w:lang w:val="en-US" w:eastAsia="zh-CN" w:bidi="ar-SA"/>
    </w:rPr>
  </w:style>
  <w:style w:type="paragraph" w:customStyle="1" w:styleId="16">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1334</Words>
  <Characters>1481</Characters>
  <Lines>0</Lines>
  <Paragraphs>0</Paragraphs>
  <TotalTime>32</TotalTime>
  <ScaleCrop>false</ScaleCrop>
  <LinksUpToDate>false</LinksUpToDate>
  <CharactersWithSpaces>1489</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2023-02-23T16:13:00Z</dcterms:created>
  <dc:creator>Administrator</dc:creator>
  <cp:lastModifiedBy>user</cp:lastModifiedBy>
  <cp:lastPrinted>2025-01-02T15:38:05Z</cp:lastPrinted>
  <dcterms:modified xsi:type="dcterms:W3CDTF">2025-01-02T15:53:40Z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EA2ECEF5202E4EDE914E205C6E7CD830_13</vt:lpwstr>
  </property>
</Properties>
</file>