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6D275E">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方正小标宋_GBK" w:hAnsi="方正小标宋_GBK" w:eastAsia="方正小标宋_GBK" w:cs="方正小标宋_GBK"/>
          <w:sz w:val="44"/>
          <w:szCs w:val="44"/>
          <w:lang w:bidi="ar-SA"/>
        </w:rPr>
      </w:pPr>
      <w:bookmarkStart w:id="0" w:name="_GoBack"/>
      <w:r>
        <w:rPr>
          <w:rFonts w:hint="eastAsia" w:ascii="方正小标宋_GBK" w:hAnsi="方正小标宋_GBK" w:eastAsia="方正小标宋_GBK" w:cs="方正小标宋_GBK"/>
          <w:sz w:val="44"/>
          <w:szCs w:val="44"/>
          <w:lang w:eastAsia="zh-CN" w:bidi="ar-SA"/>
        </w:rPr>
        <w:t>湘潭县农业农村局</w:t>
      </w:r>
      <w:r>
        <w:rPr>
          <w:rFonts w:hint="eastAsia" w:ascii="方正小标宋_GBK" w:hAnsi="方正小标宋_GBK" w:eastAsia="方正小标宋_GBK" w:cs="方正小标宋_GBK"/>
          <w:sz w:val="44"/>
          <w:szCs w:val="44"/>
          <w:lang w:val="en-US" w:eastAsia="zh-CN" w:bidi="ar-SA"/>
        </w:rPr>
        <w:t>2024</w:t>
      </w:r>
      <w:r>
        <w:rPr>
          <w:rFonts w:hint="eastAsia" w:ascii="方正小标宋_GBK" w:hAnsi="方正小标宋_GBK" w:eastAsia="方正小标宋_GBK" w:cs="方正小标宋_GBK"/>
          <w:sz w:val="44"/>
          <w:szCs w:val="44"/>
          <w:lang w:bidi="ar-SA"/>
        </w:rPr>
        <w:t>年政府信息公开</w:t>
      </w:r>
    </w:p>
    <w:p w14:paraId="355A0FBD">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方正小标宋_GBK" w:hAnsi="方正小标宋_GBK" w:eastAsia="方正小标宋_GBK" w:cs="方正小标宋_GBK"/>
          <w:sz w:val="32"/>
          <w:szCs w:val="32"/>
          <w:lang w:bidi="ar-SA"/>
        </w:rPr>
      </w:pPr>
      <w:r>
        <w:rPr>
          <w:rFonts w:hint="eastAsia" w:ascii="方正小标宋_GBK" w:hAnsi="方正小标宋_GBK" w:eastAsia="方正小标宋_GBK" w:cs="方正小标宋_GBK"/>
          <w:sz w:val="44"/>
          <w:szCs w:val="44"/>
          <w:lang w:bidi="ar-SA"/>
        </w:rPr>
        <w:t>工作年度报告</w:t>
      </w:r>
      <w:bookmarkEnd w:id="0"/>
    </w:p>
    <w:p w14:paraId="719C0117">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420"/>
        <w:jc w:val="both"/>
        <w:textAlignment w:val="auto"/>
        <w:rPr>
          <w:rFonts w:hint="eastAsia" w:ascii="方正仿宋_GBK" w:hAnsi="方正仿宋_GBK" w:eastAsia="方正仿宋_GBK" w:cs="方正仿宋_GBK"/>
          <w:sz w:val="32"/>
          <w:szCs w:val="32"/>
          <w:lang w:bidi="ar-SA"/>
        </w:rPr>
      </w:pPr>
    </w:p>
    <w:p w14:paraId="2107199A">
      <w:pPr>
        <w:spacing w:line="360" w:lineRule="auto"/>
        <w:ind w:firstLine="640" w:firstLineChars="200"/>
        <w:jc w:val="left"/>
        <w:rPr>
          <w:rFonts w:hint="eastAsia" w:ascii="黑体" w:hAnsi="黑体" w:eastAsia="黑体"/>
          <w:b w:val="0"/>
          <w:bCs/>
          <w:kern w:val="0"/>
          <w:sz w:val="32"/>
          <w:szCs w:val="32"/>
        </w:rPr>
      </w:pPr>
      <w:r>
        <w:rPr>
          <w:rFonts w:ascii="黑体" w:hAnsi="黑体" w:eastAsia="黑体"/>
          <w:b w:val="0"/>
          <w:bCs/>
          <w:kern w:val="0"/>
          <w:sz w:val="32"/>
          <w:szCs w:val="32"/>
        </w:rPr>
        <w:t>一、总体情况</w:t>
      </w:r>
    </w:p>
    <w:p w14:paraId="6BA58993">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eastAsia="仿宋_GB2312"/>
          <w:sz w:val="32"/>
          <w:szCs w:val="32"/>
        </w:rPr>
      </w:pPr>
      <w:r>
        <w:rPr>
          <w:rFonts w:ascii="仿宋_GB2312" w:eastAsia="仿宋_GB2312"/>
          <w:sz w:val="32"/>
          <w:szCs w:val="32"/>
        </w:rPr>
        <w:t>202</w:t>
      </w:r>
      <w:r>
        <w:rPr>
          <w:rFonts w:hint="default" w:ascii="仿宋_GB2312" w:eastAsia="仿宋_GB2312"/>
          <w:sz w:val="32"/>
          <w:szCs w:val="32"/>
        </w:rPr>
        <w:t>4</w:t>
      </w:r>
      <w:r>
        <w:rPr>
          <w:rFonts w:ascii="仿宋_GB2312" w:eastAsia="仿宋_GB2312"/>
          <w:sz w:val="32"/>
          <w:szCs w:val="32"/>
        </w:rPr>
        <w:t>年，我局认真贯彻执行</w:t>
      </w:r>
      <w:r>
        <w:rPr>
          <w:rFonts w:ascii="仿宋_GB2312" w:eastAsia="仿宋_GB2312"/>
          <w:sz w:val="32"/>
          <w:szCs w:val="32"/>
          <w:lang w:val="en"/>
        </w:rPr>
        <w:t>《中华人民共和国政府信息公开条例》</w:t>
      </w:r>
      <w:r>
        <w:rPr>
          <w:rFonts w:hint="eastAsia" w:ascii="仿宋_GB2312" w:eastAsia="仿宋_GB2312"/>
          <w:sz w:val="32"/>
          <w:szCs w:val="32"/>
          <w:lang w:val="en"/>
        </w:rPr>
        <w:t>，</w:t>
      </w:r>
      <w:r>
        <w:rPr>
          <w:rFonts w:ascii="仿宋_GB2312" w:eastAsia="仿宋_GB2312"/>
          <w:sz w:val="32"/>
          <w:szCs w:val="32"/>
        </w:rPr>
        <w:t>强化工作基础，完善公开内容，丰富公开载体，认真履行职责，进一步健全政府信息公开制度，扎实开展政务公开工作和政府门户网站、政务新媒体内容保障工作，努力提高公开信息质量。</w:t>
      </w:r>
    </w:p>
    <w:p w14:paraId="015E0D93">
      <w:pPr>
        <w:pStyle w:val="2"/>
        <w:keepNext w:val="0"/>
        <w:keepLines w:val="0"/>
        <w:pageBreakBefore w:val="0"/>
        <w:kinsoku/>
        <w:wordWrap/>
        <w:overflowPunct/>
        <w:topLinePunct w:val="0"/>
        <w:autoSpaceDE/>
        <w:autoSpaceDN/>
        <w:bidi w:val="0"/>
        <w:spacing w:line="560" w:lineRule="exact"/>
        <w:ind w:firstLine="800" w:firstLineChars="250"/>
        <w:textAlignment w:val="auto"/>
        <w:rPr>
          <w:rFonts w:hint="eastAsia" w:ascii="仿宋_GB2312" w:eastAsia="仿宋_GB2312"/>
          <w:sz w:val="32"/>
          <w:szCs w:val="32"/>
        </w:rPr>
      </w:pPr>
      <w:r>
        <w:rPr>
          <w:rFonts w:hint="eastAsia" w:ascii="仿宋_GB2312" w:eastAsia="仿宋_GB2312"/>
          <w:sz w:val="32"/>
          <w:szCs w:val="32"/>
        </w:rPr>
        <w:t>主动公开方面，202</w:t>
      </w:r>
      <w:r>
        <w:rPr>
          <w:rFonts w:hint="default" w:ascii="仿宋_GB2312" w:eastAsia="仿宋_GB2312"/>
          <w:sz w:val="32"/>
          <w:szCs w:val="32"/>
        </w:rPr>
        <w:t>4</w:t>
      </w:r>
      <w:r>
        <w:rPr>
          <w:rFonts w:hint="eastAsia" w:ascii="仿宋_GB2312" w:eastAsia="仿宋_GB2312"/>
          <w:sz w:val="32"/>
          <w:szCs w:val="32"/>
        </w:rPr>
        <w:t>年我局对照政务公开年度工作要点，充分发挥网站作用，积极推进主动公开。公开的内容主要涉及农业政策，农业技术推广，重大活动，农产品质量安全、财政预决算，安全生产、行政处罚、办事指南及办理结果等。全年主动公开政府信息</w:t>
      </w:r>
      <w:r>
        <w:rPr>
          <w:rFonts w:hint="eastAsia" w:ascii="仿宋_GB2312" w:hAnsi="宋体" w:eastAsia="仿宋_GB2312"/>
          <w:sz w:val="32"/>
          <w:szCs w:val="32"/>
          <w:lang w:val="en-US" w:eastAsia="zh-CN"/>
        </w:rPr>
        <w:t>126</w:t>
      </w:r>
      <w:r>
        <w:rPr>
          <w:rFonts w:hint="eastAsia" w:ascii="仿宋_GB2312" w:hAnsi="宋体" w:eastAsia="仿宋_GB2312"/>
          <w:sz w:val="32"/>
          <w:szCs w:val="32"/>
        </w:rPr>
        <w:t>件</w:t>
      </w:r>
      <w:r>
        <w:rPr>
          <w:rFonts w:hint="eastAsia" w:ascii="仿宋_GB2312" w:eastAsia="仿宋_GB2312"/>
          <w:sz w:val="32"/>
          <w:szCs w:val="32"/>
        </w:rPr>
        <w:t>。</w:t>
      </w:r>
    </w:p>
    <w:p w14:paraId="15D46465">
      <w:pPr>
        <w:pStyle w:val="2"/>
        <w:keepNext w:val="0"/>
        <w:keepLines w:val="0"/>
        <w:pageBreakBefore w:val="0"/>
        <w:kinsoku/>
        <w:wordWrap/>
        <w:overflowPunct/>
        <w:topLinePunct w:val="0"/>
        <w:autoSpaceDE/>
        <w:autoSpaceDN/>
        <w:bidi w:val="0"/>
        <w:spacing w:line="560" w:lineRule="exact"/>
        <w:ind w:firstLine="800" w:firstLineChars="250"/>
        <w:textAlignment w:val="auto"/>
        <w:rPr>
          <w:rFonts w:hint="eastAsia" w:ascii="仿宋_GB2312" w:eastAsia="仿宋_GB2312"/>
          <w:sz w:val="32"/>
          <w:szCs w:val="32"/>
        </w:rPr>
      </w:pPr>
      <w:r>
        <w:rPr>
          <w:rFonts w:hint="eastAsia" w:ascii="仿宋_GB2312" w:eastAsia="仿宋_GB2312"/>
          <w:sz w:val="32"/>
          <w:szCs w:val="32"/>
        </w:rPr>
        <w:t>依申请公开方面，我局高度重视，依申请公开事项的答复，明确分管领导审签，由办公室专人负责，依申请公开事项的登记、协调、督查、督办等工作，各股站、室主要负责人为承办责任人，具体确定承办人员，健全完善了依申请公开的受理、转办、反馈机制，确保了办理质量。202</w:t>
      </w:r>
      <w:r>
        <w:rPr>
          <w:rFonts w:hint="default" w:ascii="仿宋_GB2312" w:eastAsia="仿宋_GB2312"/>
          <w:sz w:val="32"/>
          <w:szCs w:val="32"/>
        </w:rPr>
        <w:t>4</w:t>
      </w:r>
      <w:r>
        <w:rPr>
          <w:rFonts w:hint="eastAsia" w:ascii="仿宋_GB2312" w:eastAsia="仿宋_GB2312"/>
          <w:sz w:val="32"/>
          <w:szCs w:val="32"/>
        </w:rPr>
        <w:t>年收到</w:t>
      </w:r>
      <w:r>
        <w:rPr>
          <w:rFonts w:hint="default" w:ascii="仿宋_GB2312" w:eastAsia="仿宋_GB2312"/>
          <w:sz w:val="32"/>
          <w:szCs w:val="32"/>
        </w:rPr>
        <w:t>2</w:t>
      </w:r>
      <w:r>
        <w:rPr>
          <w:rFonts w:hint="eastAsia" w:ascii="仿宋_GB2312" w:eastAsia="仿宋_GB2312"/>
          <w:sz w:val="32"/>
          <w:szCs w:val="32"/>
        </w:rPr>
        <w:t>件政府信息公开申请事项，均依程序进行了回复。</w:t>
      </w:r>
    </w:p>
    <w:p w14:paraId="6DB508FE">
      <w:pPr>
        <w:pStyle w:val="2"/>
        <w:keepNext w:val="0"/>
        <w:keepLines w:val="0"/>
        <w:pageBreakBefore w:val="0"/>
        <w:kinsoku/>
        <w:wordWrap/>
        <w:overflowPunct/>
        <w:topLinePunct w:val="0"/>
        <w:autoSpaceDE/>
        <w:autoSpaceDN/>
        <w:bidi w:val="0"/>
        <w:spacing w:line="560" w:lineRule="exact"/>
        <w:ind w:firstLine="800" w:firstLineChars="250"/>
        <w:textAlignment w:val="auto"/>
        <w:rPr>
          <w:rFonts w:hint="eastAsia" w:ascii="仿宋_GB2312" w:eastAsia="仿宋_GB2312"/>
          <w:sz w:val="32"/>
          <w:szCs w:val="32"/>
        </w:rPr>
      </w:pPr>
      <w:r>
        <w:rPr>
          <w:rFonts w:hint="eastAsia" w:ascii="仿宋_GB2312" w:eastAsia="仿宋_GB2312"/>
          <w:sz w:val="32"/>
          <w:szCs w:val="32"/>
        </w:rPr>
        <w:t>信息管理方面，成立了由局长任组长、分管副局长任副组长、各股室负责人为成员的政务信息公开工作领导小组，形成了主要领导亲自抓、分管领导具体抓、专门股室具体落实的工作机制，做到了领导、股室、责任“三到位”，保证了政务信息公开工作扎实有效开展。加强上网信息保密审查。政府信息上网实行由股室初审、政策法规股审核、局领导审签后，由办公室指定专人在政府信息公开平台发布，切实做到了“涉密信息不上网、上网信息不涉密”，未发生一起涉密信息违规上网公开事件。</w:t>
      </w:r>
    </w:p>
    <w:p w14:paraId="12A549CC">
      <w:pPr>
        <w:pStyle w:val="2"/>
        <w:keepNext w:val="0"/>
        <w:keepLines w:val="0"/>
        <w:pageBreakBefore w:val="0"/>
        <w:kinsoku/>
        <w:wordWrap/>
        <w:overflowPunct/>
        <w:topLinePunct w:val="0"/>
        <w:autoSpaceDE/>
        <w:autoSpaceDN/>
        <w:bidi w:val="0"/>
        <w:spacing w:line="560" w:lineRule="exact"/>
        <w:ind w:firstLine="800" w:firstLineChars="250"/>
        <w:textAlignment w:val="auto"/>
        <w:rPr>
          <w:rFonts w:hint="eastAsia" w:ascii="仿宋_GB2312" w:eastAsia="仿宋_GB2312"/>
          <w:sz w:val="32"/>
          <w:szCs w:val="32"/>
        </w:rPr>
      </w:pPr>
      <w:r>
        <w:rPr>
          <w:rFonts w:ascii="Times New Roman" w:hAnsi="Times New Roman" w:eastAsia="仿宋_GB2312"/>
          <w:sz w:val="32"/>
          <w:szCs w:val="32"/>
        </w:rPr>
        <w:t>政府信息公开平台建设</w:t>
      </w:r>
      <w:r>
        <w:rPr>
          <w:rFonts w:hint="eastAsia" w:ascii="Times New Roman" w:hAnsi="Times New Roman" w:eastAsia="仿宋_GB2312"/>
          <w:sz w:val="32"/>
          <w:szCs w:val="32"/>
        </w:rPr>
        <w:t>方面，</w:t>
      </w:r>
      <w:r>
        <w:rPr>
          <w:rFonts w:hint="eastAsia" w:ascii="Times New Roman" w:hAnsi="Times New Roman" w:eastAsia="仿宋_GB2312"/>
          <w:sz w:val="32"/>
          <w:szCs w:val="32"/>
          <w:lang w:eastAsia="zh-CN"/>
        </w:rPr>
        <w:t>新上传搭建了重点信息领域公开—涉农补贴专栏、</w:t>
      </w:r>
      <w:r>
        <w:rPr>
          <w:rFonts w:eastAsia="仿宋_GB2312"/>
          <w:sz w:val="32"/>
          <w:szCs w:val="32"/>
        </w:rPr>
        <w:t>制定并完善了《湘潭县农业农村局政府信息公开办法》、《湘潭县农业农村局信息发布审查制度》、《湘潭县农业农村局计算机网络安全保密暂行规定》、《湘潭县农业农村局文印制度》、《湘潭县农业农村信息网信息采集与考核办法》</w:t>
      </w:r>
      <w:r>
        <w:rPr>
          <w:rFonts w:hint="eastAsia" w:eastAsia="仿宋_GB2312"/>
          <w:sz w:val="32"/>
          <w:szCs w:val="32"/>
        </w:rPr>
        <w:t>等</w:t>
      </w:r>
      <w:r>
        <w:rPr>
          <w:rFonts w:eastAsia="仿宋_GB2312"/>
          <w:sz w:val="32"/>
          <w:szCs w:val="32"/>
        </w:rPr>
        <w:t>一批涉及信息公开、信息保密、信息采集和发布、文印管理等方面的规章制度</w:t>
      </w:r>
      <w:r>
        <w:rPr>
          <w:rFonts w:hint="eastAsia" w:eastAsia="仿宋_GB2312"/>
          <w:sz w:val="32"/>
          <w:szCs w:val="32"/>
        </w:rPr>
        <w:t>，</w:t>
      </w:r>
      <w:r>
        <w:rPr>
          <w:rFonts w:hint="eastAsia" w:ascii="仿宋_GB2312" w:eastAsia="仿宋_GB2312"/>
          <w:sz w:val="32"/>
          <w:szCs w:val="32"/>
        </w:rPr>
        <w:t>确保政府公开信息符合保密规定。</w:t>
      </w:r>
      <w:r>
        <w:rPr>
          <w:rFonts w:eastAsia="仿宋_GB2312"/>
          <w:sz w:val="32"/>
          <w:szCs w:val="32"/>
        </w:rPr>
        <w:t>制订、完善并积极实施等制度</w:t>
      </w:r>
      <w:r>
        <w:rPr>
          <w:rFonts w:hint="eastAsia" w:eastAsia="仿宋_GB2312"/>
          <w:sz w:val="32"/>
          <w:szCs w:val="32"/>
        </w:rPr>
        <w:t>。</w:t>
      </w:r>
      <w:r>
        <w:rPr>
          <w:rFonts w:ascii="仿宋_GB2312" w:eastAsia="仿宋_GB2312"/>
          <w:sz w:val="32"/>
          <w:szCs w:val="32"/>
        </w:rPr>
        <w:t>重点加强单位门户网站安全建设，进一步加强单位门户网站安全防范建设，完善单位门户网站网络防篡改功能。</w:t>
      </w:r>
    </w:p>
    <w:p w14:paraId="16D04040">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监督保障方面，我局把政府信息公开作为局系统政务工作考核内容，做到了与业务工作同研究、同部署、同检查，每季度对各股站（室）政府信息公开情况进行通报，进一步提升政务公开工作的整体水平。</w:t>
      </w:r>
    </w:p>
    <w:p w14:paraId="4E152CB5">
      <w:pPr>
        <w:pStyle w:val="2"/>
        <w:spacing w:line="360" w:lineRule="auto"/>
        <w:rPr>
          <w:rFonts w:hint="eastAsia" w:ascii="黑体" w:hAnsi="黑体" w:eastAsia="黑体" w:cs="黑体"/>
          <w:b w:val="0"/>
          <w:bCs/>
          <w:sz w:val="32"/>
          <w:szCs w:val="32"/>
          <w:lang w:bidi="ar-SA"/>
        </w:rPr>
      </w:pPr>
      <w:r>
        <w:rPr>
          <w:rFonts w:hint="eastAsia" w:ascii="黑体" w:hAnsi="黑体" w:eastAsia="黑体" w:cs="黑体"/>
          <w:b w:val="0"/>
          <w:bCs/>
          <w:sz w:val="32"/>
          <w:szCs w:val="32"/>
          <w:lang w:eastAsia="zh-CN" w:bidi="ar-SA"/>
        </w:rPr>
        <w:t>二、</w:t>
      </w:r>
      <w:r>
        <w:rPr>
          <w:rFonts w:hint="eastAsia" w:ascii="黑体" w:hAnsi="黑体" w:eastAsia="黑体" w:cs="黑体"/>
          <w:b w:val="0"/>
          <w:bCs/>
          <w:sz w:val="32"/>
          <w:szCs w:val="32"/>
          <w:lang w:bidi="ar-SA"/>
        </w:rPr>
        <w:t>主动公开政府信息情况</w:t>
      </w:r>
    </w:p>
    <w:tbl>
      <w:tblPr>
        <w:tblStyle w:val="14"/>
        <w:tblpPr w:leftFromText="180" w:rightFromText="180" w:vertAnchor="text" w:horzAnchor="page" w:tblpX="1630" w:tblpY="579"/>
        <w:tblOverlap w:val="never"/>
        <w:tblW w:w="90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3"/>
        <w:gridCol w:w="1881"/>
        <w:gridCol w:w="1979"/>
        <w:gridCol w:w="2091"/>
      </w:tblGrid>
      <w:tr w14:paraId="294F2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75461EB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第二十条第（一）项</w:t>
            </w:r>
          </w:p>
        </w:tc>
      </w:tr>
      <w:tr w14:paraId="393BE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3E6864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1881" w:type="dxa"/>
            <w:noWrap/>
            <w:tcMar>
              <w:left w:w="108" w:type="dxa"/>
              <w:right w:w="108" w:type="dxa"/>
            </w:tcMar>
            <w:vAlign w:val="center"/>
          </w:tcPr>
          <w:p w14:paraId="6EE7191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本年制发件数</w:t>
            </w:r>
          </w:p>
        </w:tc>
        <w:tc>
          <w:tcPr>
            <w:tcW w:w="1979" w:type="dxa"/>
            <w:noWrap w:val="0"/>
            <w:tcMar>
              <w:left w:w="108" w:type="dxa"/>
              <w:right w:w="108" w:type="dxa"/>
            </w:tcMar>
            <w:vAlign w:val="center"/>
          </w:tcPr>
          <w:p w14:paraId="1134B4C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本年废止件数</w:t>
            </w:r>
          </w:p>
        </w:tc>
        <w:tc>
          <w:tcPr>
            <w:tcW w:w="2091" w:type="dxa"/>
            <w:noWrap/>
            <w:tcMar>
              <w:left w:w="108" w:type="dxa"/>
              <w:right w:w="108" w:type="dxa"/>
            </w:tcMar>
            <w:vAlign w:val="center"/>
          </w:tcPr>
          <w:p w14:paraId="6DCA88B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现行有效件数</w:t>
            </w:r>
          </w:p>
        </w:tc>
      </w:tr>
      <w:tr w14:paraId="39BD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47CD28F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规章</w:t>
            </w:r>
          </w:p>
        </w:tc>
        <w:tc>
          <w:tcPr>
            <w:tcW w:w="1881" w:type="dxa"/>
            <w:noWrap/>
            <w:tcMar>
              <w:left w:w="108" w:type="dxa"/>
              <w:right w:w="108" w:type="dxa"/>
            </w:tcMar>
            <w:vAlign w:val="center"/>
          </w:tcPr>
          <w:p w14:paraId="7E159DE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1979" w:type="dxa"/>
            <w:noWrap w:val="0"/>
            <w:tcMar>
              <w:left w:w="108" w:type="dxa"/>
              <w:right w:w="108" w:type="dxa"/>
            </w:tcMar>
            <w:vAlign w:val="center"/>
          </w:tcPr>
          <w:p w14:paraId="5CAD269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91" w:type="dxa"/>
            <w:noWrap/>
            <w:tcMar>
              <w:left w:w="108" w:type="dxa"/>
              <w:right w:w="108" w:type="dxa"/>
            </w:tcMar>
            <w:vAlign w:val="center"/>
          </w:tcPr>
          <w:p w14:paraId="5072E44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17F55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53E4350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val="en-US" w:eastAsia="zh-CN" w:bidi="ar"/>
              </w:rPr>
              <w:t>行政</w:t>
            </w:r>
            <w:r>
              <w:rPr>
                <w:rFonts w:hint="eastAsia" w:ascii="宋体" w:cs="宋体"/>
                <w:color w:val="000000"/>
                <w:kern w:val="0"/>
                <w:sz w:val="21"/>
                <w:szCs w:val="21"/>
                <w:lang w:bidi="ar"/>
              </w:rPr>
              <w:t>规范性文件</w:t>
            </w:r>
          </w:p>
        </w:tc>
        <w:tc>
          <w:tcPr>
            <w:tcW w:w="1881" w:type="dxa"/>
            <w:noWrap/>
            <w:tcMar>
              <w:left w:w="108" w:type="dxa"/>
              <w:right w:w="108" w:type="dxa"/>
            </w:tcMar>
            <w:vAlign w:val="center"/>
          </w:tcPr>
          <w:p w14:paraId="74ECC99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1979" w:type="dxa"/>
            <w:noWrap w:val="0"/>
            <w:tcMar>
              <w:left w:w="108" w:type="dxa"/>
              <w:right w:w="108" w:type="dxa"/>
            </w:tcMar>
            <w:vAlign w:val="center"/>
          </w:tcPr>
          <w:p w14:paraId="2224BFE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91" w:type="dxa"/>
            <w:noWrap/>
            <w:tcMar>
              <w:left w:w="108" w:type="dxa"/>
              <w:right w:w="108" w:type="dxa"/>
            </w:tcMar>
            <w:vAlign w:val="center"/>
          </w:tcPr>
          <w:p w14:paraId="4DE75A8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6F9E7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30A25DC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第二十条第（五）项</w:t>
            </w:r>
          </w:p>
        </w:tc>
      </w:tr>
      <w:tr w14:paraId="1F53C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1DBDDF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14:paraId="03D6FB3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14:paraId="0AFA0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0A48A13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行政许可</w:t>
            </w:r>
          </w:p>
        </w:tc>
        <w:tc>
          <w:tcPr>
            <w:tcW w:w="5951" w:type="dxa"/>
            <w:gridSpan w:val="3"/>
            <w:noWrap/>
            <w:tcMar>
              <w:left w:w="108" w:type="dxa"/>
              <w:right w:w="108" w:type="dxa"/>
            </w:tcMar>
            <w:vAlign w:val="center"/>
          </w:tcPr>
          <w:p w14:paraId="1B8A891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2</w:t>
            </w:r>
          </w:p>
        </w:tc>
      </w:tr>
      <w:tr w14:paraId="535EA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595F982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第二十条第（六）项</w:t>
            </w:r>
          </w:p>
        </w:tc>
      </w:tr>
      <w:tr w14:paraId="7A6EF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4D27F7A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14:paraId="7E16637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14:paraId="2ECF3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0161BF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行政处罚</w:t>
            </w:r>
          </w:p>
        </w:tc>
        <w:tc>
          <w:tcPr>
            <w:tcW w:w="5951" w:type="dxa"/>
            <w:gridSpan w:val="3"/>
            <w:noWrap/>
            <w:tcMar>
              <w:left w:w="108" w:type="dxa"/>
              <w:right w:w="108" w:type="dxa"/>
            </w:tcMar>
            <w:vAlign w:val="center"/>
          </w:tcPr>
          <w:p w14:paraId="1CC743F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21</w:t>
            </w:r>
          </w:p>
        </w:tc>
      </w:tr>
      <w:tr w14:paraId="0DCDC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28B0C1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行政强制</w:t>
            </w:r>
          </w:p>
        </w:tc>
        <w:tc>
          <w:tcPr>
            <w:tcW w:w="5951" w:type="dxa"/>
            <w:gridSpan w:val="3"/>
            <w:noWrap/>
            <w:tcMar>
              <w:left w:w="108" w:type="dxa"/>
              <w:right w:w="108" w:type="dxa"/>
            </w:tcMar>
            <w:vAlign w:val="center"/>
          </w:tcPr>
          <w:p w14:paraId="34B5215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6C194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4B38D3A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第二十条第（八）项</w:t>
            </w:r>
          </w:p>
        </w:tc>
      </w:tr>
      <w:tr w14:paraId="5681C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3F9481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14:paraId="6521B80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本年收费金额（单位：万元）</w:t>
            </w:r>
          </w:p>
        </w:tc>
      </w:tr>
      <w:tr w14:paraId="450B5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67D9E8E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行政事业性收费</w:t>
            </w:r>
          </w:p>
        </w:tc>
        <w:tc>
          <w:tcPr>
            <w:tcW w:w="5951" w:type="dxa"/>
            <w:gridSpan w:val="3"/>
            <w:noWrap/>
            <w:tcMar>
              <w:left w:w="108" w:type="dxa"/>
              <w:right w:w="108" w:type="dxa"/>
            </w:tcMar>
            <w:vAlign w:val="center"/>
          </w:tcPr>
          <w:p w14:paraId="15812D0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sz w:val="21"/>
                <w:szCs w:val="21"/>
                <w:lang w:val="en-US" w:eastAsia="zh-CN"/>
              </w:rPr>
            </w:pPr>
            <w:r>
              <w:rPr>
                <w:rFonts w:hint="eastAsia" w:ascii="宋体"/>
                <w:sz w:val="21"/>
                <w:szCs w:val="21"/>
                <w:lang w:val="en-US" w:eastAsia="zh-CN"/>
              </w:rPr>
              <w:t>0</w:t>
            </w:r>
          </w:p>
        </w:tc>
      </w:tr>
    </w:tbl>
    <w:p w14:paraId="241F14E1">
      <w:pPr>
        <w:pStyle w:val="13"/>
        <w:widowControl/>
        <w:spacing w:before="0" w:beforeAutospacing="0" w:after="240" w:afterAutospacing="0"/>
        <w:jc w:val="both"/>
        <w:rPr>
          <w:rFonts w:hint="eastAsia" w:ascii="黑体" w:hAnsi="黑体" w:eastAsia="黑体" w:cs="黑体"/>
          <w:b w:val="0"/>
          <w:bCs/>
          <w:sz w:val="32"/>
          <w:szCs w:val="32"/>
          <w:lang w:bidi="ar-SA"/>
        </w:rPr>
      </w:pPr>
    </w:p>
    <w:p w14:paraId="51603053">
      <w:pPr>
        <w:pStyle w:val="13"/>
        <w:widowControl/>
        <w:spacing w:before="0" w:beforeAutospacing="0" w:after="240" w:afterAutospacing="0"/>
        <w:jc w:val="both"/>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三、</w:t>
      </w:r>
      <w:r>
        <w:rPr>
          <w:rFonts w:hint="eastAsia" w:ascii="黑体" w:hAnsi="黑体" w:eastAsia="黑体" w:cs="黑体"/>
          <w:b w:val="0"/>
          <w:bCs/>
          <w:i w:val="0"/>
          <w:iCs w:val="0"/>
          <w:caps w:val="0"/>
          <w:color w:val="333333"/>
          <w:spacing w:val="0"/>
          <w:sz w:val="32"/>
          <w:szCs w:val="32"/>
          <w:shd w:val="clear" w:color="auto" w:fill="FFFFFF"/>
        </w:rPr>
        <w:t>收到和处理政府信息公开申请情况</w:t>
      </w:r>
    </w:p>
    <w:tbl>
      <w:tblPr>
        <w:tblStyle w:val="14"/>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14:paraId="1C9DB09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B6B3550">
            <w:pPr>
              <w:widowControl/>
              <w:spacing w:line="300" w:lineRule="exact"/>
              <w:jc w:val="center"/>
              <w:rPr>
                <w:rFonts w:hint="eastAsia" w:ascii="宋体" w:hAnsi="宋体" w:eastAsia="宋体" w:cs="宋体"/>
                <w:sz w:val="21"/>
                <w:szCs w:val="21"/>
              </w:rPr>
            </w:pPr>
            <w:r>
              <w:rPr>
                <w:rFonts w:hint="eastAsia" w:ascii="楷体" w:hAnsi="楷体" w:eastAsia="楷体" w:cs="楷体"/>
                <w:sz w:val="24"/>
                <w:szCs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14:paraId="2E341AA2">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申请人情况</w:t>
            </w:r>
          </w:p>
        </w:tc>
      </w:tr>
      <w:tr w14:paraId="7DA2437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E5832C0">
            <w:pPr>
              <w:rPr>
                <w:rFonts w:hint="eastAsia" w:ascii="宋体" w:hAnsi="宋体" w:eastAsia="宋体" w:cs="宋体"/>
                <w:sz w:val="21"/>
                <w:szCs w:val="21"/>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14:paraId="08DBFF5B">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688FE5EC">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743A64FC">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总计</w:t>
            </w:r>
          </w:p>
        </w:tc>
      </w:tr>
      <w:tr w14:paraId="2AE95AA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DBA974D">
            <w:pPr>
              <w:rPr>
                <w:rFonts w:hint="eastAsia" w:ascii="宋体" w:hAnsi="宋体" w:eastAsia="宋体" w:cs="宋体"/>
                <w:sz w:val="21"/>
                <w:szCs w:val="21"/>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14:paraId="3D896B1D">
            <w:pPr>
              <w:rPr>
                <w:rFonts w:hint="eastAsia" w:ascii="宋体" w:hAnsi="宋体" w:eastAsia="宋体" w:cs="宋体"/>
                <w:sz w:val="21"/>
                <w:szCs w:val="21"/>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DBD91D1">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857CA26">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047A364">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7740DBF5">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07B7028">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035B1DF9">
            <w:pPr>
              <w:rPr>
                <w:rFonts w:hint="eastAsia" w:ascii="宋体" w:hAnsi="宋体" w:eastAsia="宋体" w:cs="宋体"/>
                <w:sz w:val="21"/>
                <w:szCs w:val="21"/>
              </w:rPr>
            </w:pPr>
          </w:p>
        </w:tc>
      </w:tr>
      <w:tr w14:paraId="3F78CBC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492C8F67">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3731E2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2</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C16BFD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6995B0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F5ACD2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75A7B7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9407465">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90ED3B0">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2</w:t>
            </w:r>
          </w:p>
        </w:tc>
      </w:tr>
      <w:tr w14:paraId="6495ABD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24CF4DB5">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7F9D689">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4FB2AEF">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1A73E3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6D1C4F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09A9FF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A266E4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36EE19E">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543E316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5F4FA991">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07327D1A">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78373BD">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D5D3663">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BAF12A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7D88D5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90D039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E9320A3">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7C30B4A">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r>
      <w:tr w14:paraId="7BD4F81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B93399D">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4DF8D91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（二）部分公开</w:t>
            </w:r>
            <w:r>
              <w:rPr>
                <w:rFonts w:hint="eastAsia" w:ascii="楷体" w:hAnsi="楷体" w:eastAsia="楷体" w:cs="楷体"/>
                <w:kern w:val="0"/>
                <w:sz w:val="21"/>
                <w:szCs w:val="21"/>
                <w:lang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AC13B00">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E0B3BE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CF99C9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756133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352002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441E87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267E1C8">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4ED3F63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E226123">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27B98AD3">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819A385">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F4ED523">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44571E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A7810E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A48FAA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A23D05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845E47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F790A16">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5374AFE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DB97497">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A725C8D">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70392DB">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C29A82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FA91AB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531930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A12766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E903EA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E74CCC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04BC1C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35E79D6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3BD21E8">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C226359">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E7A1C4E">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C7B9FD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19B570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C4BE05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0D7E71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3138BC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9B40FB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4BDB72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79A545B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E3F7CA7">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0313E81">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F6C5AF8">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7E48D7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245DF0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E9E145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77D7B1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243532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EEEC6B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FEF430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23D95BA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C45C883">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C32BB28">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F324F1D">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6CC9CF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C9E66B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03E459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3001A5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DC854A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4C7D94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688E8B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5B8EBF7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E38DD51">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6DCF81F">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D6270BA">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C700B4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1D8A2F0">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6E6094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A25EE3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BC378A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DB4D5F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3BF77A3">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1445F6F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37EE09F">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43D83A8">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6DAC053">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FE4243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401869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331018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1AF65F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698058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395FA5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48A0C9F">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74B6E7D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CE740F1">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0495717E">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7CB9F1E">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786FB7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FDF754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6E989A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44CA54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658769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9CFDF6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866721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5D5961D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E52F06A">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734236CC">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D40BECB">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F42E971">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C689C6B">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0BE682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2C0392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3CF032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88B4CF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9E9E43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1</w:t>
            </w:r>
          </w:p>
        </w:tc>
      </w:tr>
      <w:tr w14:paraId="6BD7168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196489C">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1DD4230">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691FB86">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66BB5DA">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F1F99A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D3F1D4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F96510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7D37AC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56BD7E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B0C08EE">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4BF1D18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2610A4A">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519150E">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007E99C">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58204B5">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6D812D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F12FC9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10B236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7BF73C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C059CA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B69D8A3">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3601D6A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60CEF14">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30A8E6CC">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E41A2E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13CC3AA">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6EC3F5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8B5583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B023D3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290CE9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C9867D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F3B1B07">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7F6A724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36ABF24">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AA8474F">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3D63B09">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3317170">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67A48A5">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755DEB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111A1B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63594C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393208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6205B5A">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264EC81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28CAD6A">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FE1448E">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85656D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D4A687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C04E27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B39EBF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822E48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606FDE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CD14C9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438AC6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45F0F32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CF6428B">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36F7203">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2D97CDF">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C7B4D3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89EDD5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4E355C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1F1362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B7A78C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C6DE2B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4B5488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427A022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B4FB49E">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28421E26">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04A8CC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800014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EC62B2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D817FD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E7AC22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56E807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DF8663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5BE75C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1B8FE4C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D8D3E1D">
            <w:pPr>
              <w:rPr>
                <w:rFonts w:hint="eastAsia" w:ascii="宋体" w:hAnsi="宋体" w:eastAsia="宋体" w:cs="宋体"/>
                <w:sz w:val="21"/>
                <w:szCs w:val="21"/>
              </w:rPr>
            </w:pPr>
          </w:p>
        </w:tc>
        <w:tc>
          <w:tcPr>
            <w:tcW w:w="855" w:type="dxa"/>
            <w:vMerge w:val="restart"/>
            <w:tcBorders>
              <w:top w:val="nil"/>
              <w:left w:val="nil"/>
              <w:right w:val="single" w:color="auto" w:sz="8" w:space="0"/>
            </w:tcBorders>
            <w:noWrap w:val="0"/>
            <w:tcMar>
              <w:left w:w="108" w:type="dxa"/>
              <w:right w:w="108" w:type="dxa"/>
            </w:tcMar>
            <w:vAlign w:val="center"/>
          </w:tcPr>
          <w:p w14:paraId="5A1B9834">
            <w:pPr>
              <w:rPr>
                <w:rFonts w:hint="eastAsia" w:ascii="宋体" w:hAnsi="宋体" w:eastAsia="宋体" w:cs="宋体"/>
                <w:sz w:val="21"/>
                <w:szCs w:val="21"/>
              </w:rPr>
            </w:pP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六</w:t>
            </w: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其他</w:t>
            </w:r>
            <w:r>
              <w:rPr>
                <w:rFonts w:hint="eastAsia" w:ascii="宋体" w:hAnsi="宋体" w:eastAsia="宋体" w:cs="宋体"/>
                <w:kern w:val="0"/>
                <w:sz w:val="21"/>
                <w:szCs w:val="21"/>
                <w:lang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4814C5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8D77CC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22FEC4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67FC18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68C4DC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C148E6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B40AF7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168C47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3DC520E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6BA60E8">
            <w:pPr>
              <w:rPr>
                <w:rFonts w:hint="eastAsia" w:ascii="宋体" w:hAnsi="宋体" w:eastAsia="宋体" w:cs="宋体"/>
                <w:sz w:val="21"/>
                <w:szCs w:val="21"/>
              </w:rPr>
            </w:pPr>
          </w:p>
        </w:tc>
        <w:tc>
          <w:tcPr>
            <w:tcW w:w="855" w:type="dxa"/>
            <w:vMerge w:val="continue"/>
            <w:tcBorders>
              <w:left w:val="nil"/>
              <w:right w:val="single" w:color="auto" w:sz="8" w:space="0"/>
            </w:tcBorders>
            <w:noWrap w:val="0"/>
            <w:tcMar>
              <w:left w:w="108" w:type="dxa"/>
              <w:right w:w="108" w:type="dxa"/>
            </w:tcMar>
            <w:vAlign w:val="center"/>
          </w:tcPr>
          <w:p w14:paraId="476354BA">
            <w:pPr>
              <w:rPr>
                <w:rFonts w:hint="eastAsia" w:ascii="宋体" w:hAnsi="宋体" w:eastAsia="宋体" w:cs="宋体"/>
                <w:kern w:val="0"/>
                <w:sz w:val="21"/>
                <w:szCs w:val="21"/>
                <w:lang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1FF57C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3BC078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417AA1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9DC17B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DF5490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7559B2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A65057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C2FC0A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20AB492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A171E53">
            <w:pPr>
              <w:rPr>
                <w:rFonts w:hint="eastAsia" w:ascii="宋体" w:hAnsi="宋体" w:eastAsia="宋体" w:cs="宋体"/>
                <w:sz w:val="21"/>
                <w:szCs w:val="21"/>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14:paraId="19176DF9">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9782465">
            <w:pPr>
              <w:widowControl/>
              <w:spacing w:line="3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0D7E57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9EC4C7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FAE8A2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F7A625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9BBEC9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353CDF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FCD2D0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52B99DF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72675E6">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1C925AA6">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AC87993">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2</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69E94A4">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942BC3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54E6E6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C85DB0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A992B93">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5C06E13">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2</w:t>
            </w:r>
          </w:p>
        </w:tc>
      </w:tr>
      <w:tr w14:paraId="37DAC58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607FF1BB">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C9B959A">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D55FD9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59BEEC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893A1C2">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9F8E8A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159BC2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0CF48A8">
            <w:pPr>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bl>
    <w:p w14:paraId="5E03F50B">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jc w:val="both"/>
        <w:textAlignment w:val="auto"/>
        <w:rPr>
          <w:rFonts w:hint="eastAsia" w:ascii="黑体" w:hAnsi="黑体" w:eastAsia="黑体" w:cs="黑体"/>
          <w:b w:val="0"/>
          <w:bCs/>
          <w:i w:val="0"/>
          <w:iCs w:val="0"/>
          <w:caps w:val="0"/>
          <w:color w:val="333333"/>
          <w:spacing w:val="0"/>
          <w:sz w:val="32"/>
          <w:szCs w:val="32"/>
          <w:shd w:val="clear" w:color="auto" w:fill="FFFFFF"/>
        </w:rPr>
      </w:pPr>
      <w:r>
        <w:rPr>
          <w:rFonts w:hint="eastAsia" w:ascii="黑体" w:hAnsi="黑体" w:eastAsia="黑体" w:cs="黑体"/>
          <w:b w:val="0"/>
          <w:bCs/>
          <w:i w:val="0"/>
          <w:iCs w:val="0"/>
          <w:caps w:val="0"/>
          <w:color w:val="333333"/>
          <w:spacing w:val="0"/>
          <w:sz w:val="32"/>
          <w:szCs w:val="32"/>
          <w:shd w:val="clear" w:color="auto" w:fill="FFFFFF"/>
          <w:lang w:eastAsia="zh-CN"/>
        </w:rPr>
        <w:t>四、</w:t>
      </w:r>
      <w:r>
        <w:rPr>
          <w:rFonts w:hint="eastAsia" w:ascii="黑体" w:hAnsi="黑体" w:eastAsia="黑体" w:cs="黑体"/>
          <w:b w:val="0"/>
          <w:bCs/>
          <w:i w:val="0"/>
          <w:iCs w:val="0"/>
          <w:caps w:val="0"/>
          <w:color w:val="333333"/>
          <w:spacing w:val="0"/>
          <w:sz w:val="32"/>
          <w:szCs w:val="32"/>
          <w:shd w:val="clear" w:color="auto" w:fill="FFFFFF"/>
        </w:rPr>
        <w:t>政府信息公开行政复议、行政诉讼情况</w:t>
      </w:r>
    </w:p>
    <w:tbl>
      <w:tblPr>
        <w:tblStyle w:val="14"/>
        <w:tblpPr w:leftFromText="180" w:rightFromText="180" w:vertAnchor="text" w:horzAnchor="page" w:tblpX="1080" w:tblpY="438"/>
        <w:tblOverlap w:val="never"/>
        <w:tblW w:w="10083"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14:paraId="2FE2F59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0011248">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14:paraId="3A00E44D">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行政诉讼</w:t>
            </w:r>
          </w:p>
        </w:tc>
      </w:tr>
      <w:tr w14:paraId="3E4EA44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0F519A2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14:paraId="6B6BCC6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66F8399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0339A17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7F7C189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74C3A10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477F52F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复议后起诉</w:t>
            </w:r>
          </w:p>
        </w:tc>
      </w:tr>
      <w:tr w14:paraId="6F626B0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7B1DD6A">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14:paraId="602B5CE3">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48599AC7">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3E011A25">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52E26F21">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78791D7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353E709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F2B39F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1EF456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FFE9A6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249ED4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1F6553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9E3C99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347D4F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D2D7ED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r>
      <w:tr w14:paraId="78BD0EB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D879D67">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6868B893">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0EF853E8">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0963F076">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14:paraId="3EF28265">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1CFFC1BA">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5A2D7155">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18523580">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28AFDCD5">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14:paraId="528AEE48">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5776CAB">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118D1304">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14:paraId="54E65DD3">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1E2A6BEA">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619449C">
            <w:pPr>
              <w:keepNext w:val="0"/>
              <w:keepLines w:val="0"/>
              <w:pageBreakBefore w:val="0"/>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bl>
    <w:p w14:paraId="3B77CD6D">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b w:val="0"/>
          <w:bCs/>
          <w:sz w:val="32"/>
          <w:szCs w:val="32"/>
          <w:lang w:bidi="ar-SA"/>
        </w:rPr>
      </w:pPr>
    </w:p>
    <w:p w14:paraId="6FBCB07F">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宋体" w:cs="宋体"/>
          <w:lang w:bidi="ar-SA"/>
        </w:rPr>
      </w:pPr>
      <w:r>
        <w:rPr>
          <w:rFonts w:hint="eastAsia" w:ascii="黑体" w:hAnsi="黑体" w:eastAsia="黑体" w:cs="黑体"/>
          <w:b w:val="0"/>
          <w:bCs/>
          <w:sz w:val="32"/>
          <w:szCs w:val="32"/>
          <w:lang w:bidi="ar-SA"/>
        </w:rPr>
        <w:t>五、存在的主要问题及改进情况</w:t>
      </w:r>
    </w:p>
    <w:p w14:paraId="4D9565CE">
      <w:pPr>
        <w:keepNext w:val="0"/>
        <w:keepLines w:val="0"/>
        <w:pageBreakBefore w:val="0"/>
        <w:widowControl/>
        <w:kinsoku/>
        <w:wordWrap/>
        <w:overflowPunct/>
        <w:topLinePunct w:val="0"/>
        <w:autoSpaceDE/>
        <w:autoSpaceDN/>
        <w:bidi w:val="0"/>
        <w:adjustRightInd/>
        <w:snapToGrid/>
        <w:spacing w:before="100" w:beforeAutospacing="1" w:after="100" w:afterAutospacing="1" w:line="560" w:lineRule="exact"/>
        <w:ind w:firstLine="640" w:firstLineChars="200"/>
        <w:textAlignment w:val="auto"/>
        <w:rPr>
          <w:rFonts w:hint="eastAsia" w:ascii="方正仿宋_GB2312" w:hAnsi="方正仿宋_GB2312" w:eastAsia="方正仿宋_GB2312" w:cs="方正仿宋_GB2312"/>
          <w:sz w:val="32"/>
          <w:szCs w:val="32"/>
          <w:lang w:val="en-US" w:eastAsia="zh-CN" w:bidi="ar-SA"/>
        </w:rPr>
      </w:pPr>
      <w:r>
        <w:rPr>
          <w:rFonts w:hint="eastAsia" w:ascii="方正仿宋_GB2312" w:hAnsi="方正仿宋_GB2312" w:eastAsia="方正仿宋_GB2312" w:cs="方正仿宋_GB2312"/>
          <w:sz w:val="32"/>
          <w:szCs w:val="32"/>
          <w:lang w:val="en-US" w:eastAsia="zh-CN" w:bidi="ar-SA"/>
        </w:rPr>
        <w:t>我局政府信息公开工作虽取得了一定成效，但仍存在一些不足，如对政府信息公开的宣传力度还不够，信息公开的形式不够丰富、信息公开内容不够全面等。针对存在问题，我局将按照县委、县政府的要求，进一步做好2024年政府信息公开工作。一是按照“及时、准确、便民”的原则，充实和完善政府信息公开目录内容，并不断更新，确保实现网上高效动态运行；二是加大宣传培训工作，增强干部职工信息公开的意识，扩大政府信息公开的范围，引导群众关心、支持和参与政府信息公开，方便群众办事；三是收集和整理各类农业信息，提高为农服务水平。</w:t>
      </w:r>
    </w:p>
    <w:p w14:paraId="6939D4AA">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p>
    <w:p w14:paraId="3F0D64CF">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六、其他需要报告的事项</w:t>
      </w:r>
    </w:p>
    <w:p w14:paraId="236EA584">
      <w:pPr>
        <w:widowControl/>
        <w:spacing w:before="0" w:beforeAutospacing="0" w:after="0" w:afterAutospacing="0" w:line="576" w:lineRule="exact"/>
        <w:ind w:firstLine="640" w:firstLineChars="200"/>
        <w:jc w:val="both"/>
        <w:rPr>
          <w:rFonts w:ascii="Times New Roman" w:hAnsi="Times New Roman" w:eastAsia="仿宋_GB2312" w:cs="Times New Roman"/>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信息处理费收费情况：本年度未收取信息处理费。</w:t>
      </w:r>
    </w:p>
    <w:p w14:paraId="0932CF87">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CESI宋体-GB2312" w:hAnsi="CESI宋体-GB2312" w:eastAsia="方正仿宋_GBK" w:cs="方正仿宋_GBK"/>
          <w:sz w:val="32"/>
          <w:szCs w:val="32"/>
          <w:lang w:bidi="ar-SA"/>
        </w:rPr>
      </w:pPr>
    </w:p>
    <w:p w14:paraId="721854E8">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20"/>
        <w:jc w:val="center"/>
        <w:textAlignment w:val="auto"/>
        <w:rPr>
          <w:rFonts w:hint="eastAsia" w:ascii="方正仿宋_GBK" w:hAnsi="方正仿宋_GBK" w:eastAsia="方正仿宋_GBK" w:cs="方正仿宋_GBK"/>
          <w:sz w:val="32"/>
          <w:szCs w:val="32"/>
          <w:lang w:eastAsia="zh-CN" w:bidi="ar-SA"/>
        </w:rPr>
      </w:pPr>
      <w:r>
        <w:rPr>
          <w:rFonts w:hint="eastAsia" w:ascii="方正仿宋_GBK" w:hAnsi="方正仿宋_GBK" w:eastAsia="方正仿宋_GBK" w:cs="方正仿宋_GBK"/>
          <w:sz w:val="32"/>
          <w:szCs w:val="32"/>
          <w:lang w:bidi="ar-SA"/>
        </w:rPr>
        <w:br w:type="page"/>
      </w:r>
      <w:r>
        <w:rPr>
          <w:rFonts w:hint="eastAsia" w:ascii="方正小标宋_GBK" w:hAnsi="方正小标宋_GBK" w:eastAsia="方正小标宋_GBK" w:cs="方正小标宋_GBK"/>
          <w:sz w:val="44"/>
          <w:szCs w:val="44"/>
          <w:lang w:eastAsia="zh-CN" w:bidi="ar-SA"/>
        </w:rPr>
        <w:t>填报说明</w:t>
      </w:r>
    </w:p>
    <w:p w14:paraId="253FA5EC">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jc w:val="both"/>
        <w:textAlignment w:val="auto"/>
        <w:rPr>
          <w:rFonts w:hint="eastAsia" w:ascii="方正仿宋_GBK" w:hAnsi="方正仿宋_GBK" w:eastAsia="方正仿宋_GBK" w:cs="方正仿宋_GBK"/>
          <w:sz w:val="32"/>
          <w:szCs w:val="32"/>
          <w:lang w:val="en-US" w:eastAsia="zh-CN" w:bidi="ar-SA"/>
        </w:rPr>
      </w:pPr>
    </w:p>
    <w:p w14:paraId="3F4F6BE2">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方正仿宋_GBK" w:hAnsi="方正仿宋_GBK" w:eastAsia="方正仿宋_GBK" w:cs="方正仿宋_GBK"/>
          <w:sz w:val="32"/>
          <w:szCs w:val="32"/>
          <w:lang w:eastAsia="zh-CN" w:bidi="ar-SA"/>
        </w:rPr>
      </w:pPr>
      <w:r>
        <w:rPr>
          <w:rFonts w:hint="eastAsia" w:ascii="方正仿宋_GBK" w:hAnsi="方正仿宋_GBK" w:eastAsia="方正仿宋_GBK" w:cs="方正仿宋_GBK"/>
          <w:sz w:val="32"/>
          <w:szCs w:val="32"/>
          <w:lang w:val="en-US" w:eastAsia="zh-CN" w:bidi="ar-SA"/>
        </w:rPr>
        <w:t>1、</w:t>
      </w:r>
      <w:r>
        <w:rPr>
          <w:rFonts w:hint="eastAsia" w:ascii="方正仿宋_GBK" w:hAnsi="方正仿宋_GBK" w:eastAsia="方正仿宋_GBK" w:cs="方正仿宋_GBK"/>
          <w:sz w:val="32"/>
          <w:szCs w:val="32"/>
          <w:lang w:eastAsia="zh-CN" w:bidi="ar-SA"/>
        </w:rPr>
        <w:t>总体情况主要包括</w:t>
      </w:r>
      <w:r>
        <w:rPr>
          <w:rFonts w:hint="eastAsia" w:ascii="方正仿宋_GBK" w:hAnsi="方正仿宋_GBK" w:eastAsia="方正仿宋_GBK" w:cs="方正仿宋_GBK"/>
          <w:color w:val="FF0000"/>
          <w:sz w:val="32"/>
          <w:szCs w:val="32"/>
          <w:lang w:eastAsia="zh-CN" w:bidi="ar-SA"/>
        </w:rPr>
        <w:t>主动公开、依申请公开、政府信息管理、政府信息公开平台建设、监督保障</w:t>
      </w:r>
      <w:r>
        <w:rPr>
          <w:rFonts w:hint="eastAsia" w:ascii="方正仿宋_GBK" w:hAnsi="方正仿宋_GBK" w:eastAsia="方正仿宋_GBK" w:cs="方正仿宋_GBK"/>
          <w:sz w:val="32"/>
          <w:szCs w:val="32"/>
          <w:lang w:eastAsia="zh-CN" w:bidi="ar-SA"/>
        </w:rPr>
        <w:t>等方面，湖南</w:t>
      </w:r>
      <w:r>
        <w:rPr>
          <w:rFonts w:hint="eastAsia" w:ascii="方正仿宋_GBK" w:hAnsi="方正仿宋_GBK" w:eastAsia="方正仿宋_GBK" w:cs="方正仿宋_GBK"/>
          <w:color w:val="auto"/>
          <w:sz w:val="32"/>
          <w:szCs w:val="32"/>
          <w:lang w:eastAsia="zh-CN" w:bidi="ar-SA"/>
        </w:rPr>
        <w:t>省政务公开第三方评估指标中，</w:t>
      </w:r>
      <w:r>
        <w:rPr>
          <w:rFonts w:hint="eastAsia" w:ascii="方正仿宋_GBK" w:hAnsi="方正仿宋_GBK" w:eastAsia="方正仿宋_GBK" w:cs="方正仿宋_GBK"/>
          <w:color w:val="FF0000"/>
          <w:sz w:val="32"/>
          <w:szCs w:val="32"/>
          <w:lang w:eastAsia="zh-CN" w:bidi="ar-SA"/>
        </w:rPr>
        <w:t>牵头责任单位</w:t>
      </w:r>
      <w:r>
        <w:rPr>
          <w:rFonts w:hint="eastAsia" w:ascii="方正仿宋_GBK" w:hAnsi="方正仿宋_GBK" w:eastAsia="方正仿宋_GBK" w:cs="方正仿宋_GBK"/>
          <w:color w:val="auto"/>
          <w:sz w:val="32"/>
          <w:szCs w:val="32"/>
          <w:lang w:eastAsia="zh-CN" w:bidi="ar-SA"/>
        </w:rPr>
        <w:t>需概述工作落实情况（杜绝部门</w:t>
      </w:r>
      <w:r>
        <w:rPr>
          <w:rFonts w:hint="eastAsia" w:ascii="方正仿宋_GBK" w:hAnsi="方正仿宋_GBK" w:eastAsia="方正仿宋_GBK" w:cs="方正仿宋_GBK"/>
          <w:color w:val="auto"/>
          <w:sz w:val="32"/>
          <w:szCs w:val="32"/>
          <w:lang w:val="en-US" w:eastAsia="zh-CN" w:bidi="ar-SA"/>
        </w:rPr>
        <w:t>/</w:t>
      </w:r>
      <w:r>
        <w:rPr>
          <w:rFonts w:hint="eastAsia" w:ascii="方正仿宋_GBK" w:hAnsi="方正仿宋_GBK" w:eastAsia="方正仿宋_GBK" w:cs="方正仿宋_GBK"/>
          <w:color w:val="auto"/>
          <w:sz w:val="32"/>
          <w:szCs w:val="32"/>
          <w:lang w:eastAsia="zh-CN" w:bidi="ar-SA"/>
        </w:rPr>
        <w:t>年份之间存在内容雷同的情况）</w:t>
      </w:r>
      <w:r>
        <w:rPr>
          <w:rFonts w:hint="eastAsia" w:ascii="方正仿宋_GBK" w:hAnsi="方正仿宋_GBK" w:eastAsia="方正仿宋_GBK" w:cs="方正仿宋_GBK"/>
          <w:sz w:val="32"/>
          <w:szCs w:val="32"/>
          <w:lang w:eastAsia="zh-CN" w:bidi="ar-SA"/>
        </w:rPr>
        <w:t>；</w:t>
      </w:r>
    </w:p>
    <w:p w14:paraId="0126108A">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2、规章及行政规范性文件“现行有效件数”是指</w:t>
      </w:r>
      <w:r>
        <w:rPr>
          <w:rFonts w:hint="eastAsia" w:ascii="方正仿宋_GBK" w:hAnsi="方正仿宋_GBK" w:eastAsia="方正仿宋_GBK" w:cs="方正仿宋_GBK"/>
          <w:color w:val="FF0000"/>
          <w:sz w:val="32"/>
          <w:szCs w:val="32"/>
          <w:lang w:val="en-US" w:eastAsia="zh-CN" w:bidi="ar-SA"/>
        </w:rPr>
        <w:t>累计往年有效</w:t>
      </w:r>
      <w:r>
        <w:rPr>
          <w:rFonts w:hint="eastAsia" w:ascii="方正仿宋_GBK" w:hAnsi="方正仿宋_GBK" w:eastAsia="方正仿宋_GBK" w:cs="方正仿宋_GBK"/>
          <w:sz w:val="32"/>
          <w:szCs w:val="32"/>
          <w:lang w:val="en-US" w:eastAsia="zh-CN" w:bidi="ar-SA"/>
        </w:rPr>
        <w:t>文件数量；</w:t>
      </w:r>
    </w:p>
    <w:p w14:paraId="6DCAEF53">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3、行政许可、行政处罚、行政强制“本年处理决定数量”包括已公开和依法未公开的全部处理决定，指</w:t>
      </w:r>
      <w:r>
        <w:rPr>
          <w:rFonts w:hint="eastAsia" w:ascii="方正仿宋_GBK" w:hAnsi="方正仿宋_GBK" w:eastAsia="方正仿宋_GBK" w:cs="方正仿宋_GBK"/>
          <w:color w:val="FF0000"/>
          <w:sz w:val="32"/>
          <w:szCs w:val="32"/>
          <w:lang w:val="en-US" w:eastAsia="zh-CN" w:bidi="ar-SA"/>
        </w:rPr>
        <w:t>办件量</w:t>
      </w:r>
      <w:r>
        <w:rPr>
          <w:rFonts w:hint="eastAsia" w:ascii="方正仿宋_GBK" w:hAnsi="方正仿宋_GBK" w:eastAsia="方正仿宋_GBK" w:cs="方正仿宋_GBK"/>
          <w:sz w:val="32"/>
          <w:szCs w:val="32"/>
          <w:lang w:val="en-US" w:eastAsia="zh-CN" w:bidi="ar-SA"/>
        </w:rPr>
        <w:t>，即一年总计办了多少件；</w:t>
      </w:r>
    </w:p>
    <w:p w14:paraId="0E55E712">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default"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4、政府信息公开申请情况表中</w:t>
      </w:r>
      <w:r>
        <w:rPr>
          <w:rFonts w:hint="eastAsia" w:ascii="方正仿宋_GBK" w:hAnsi="方正仿宋_GBK" w:eastAsia="方正仿宋_GBK" w:cs="方正仿宋_GBK"/>
          <w:color w:val="FF0000"/>
          <w:sz w:val="32"/>
          <w:szCs w:val="32"/>
          <w:lang w:val="en-US" w:eastAsia="zh-CN" w:bidi="ar-SA"/>
        </w:rPr>
        <w:t>数据勾稽关系</w:t>
      </w:r>
      <w:r>
        <w:rPr>
          <w:rFonts w:hint="eastAsia" w:ascii="方正仿宋_GBK" w:hAnsi="方正仿宋_GBK" w:eastAsia="方正仿宋_GBK" w:cs="方正仿宋_GBK"/>
          <w:sz w:val="32"/>
          <w:szCs w:val="32"/>
          <w:lang w:val="en-US" w:eastAsia="zh-CN" w:bidi="ar-SA"/>
        </w:rPr>
        <w:t>：第一项加第二项之和，等于第三项加第四项之和，表中空白全部用数字“0”表示；2023年度年报中有“结转下年度继续办理”数时，2024年“上年结转政府信息公开申请数量”同时添加；</w:t>
      </w:r>
    </w:p>
    <w:p w14:paraId="6EF654B3">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default"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5、“行政复议”及“行政诉讼”是指因</w:t>
      </w:r>
      <w:r>
        <w:rPr>
          <w:rFonts w:hint="eastAsia" w:ascii="方正仿宋_GBK" w:hAnsi="方正仿宋_GBK" w:eastAsia="方正仿宋_GBK" w:cs="方正仿宋_GBK"/>
          <w:color w:val="FF0000"/>
          <w:sz w:val="32"/>
          <w:szCs w:val="32"/>
          <w:lang w:val="en-US" w:eastAsia="zh-CN" w:bidi="ar-SA"/>
        </w:rPr>
        <w:t>政府信息公开工作</w:t>
      </w:r>
      <w:r>
        <w:rPr>
          <w:rFonts w:hint="eastAsia" w:ascii="方正仿宋_GBK" w:hAnsi="方正仿宋_GBK" w:eastAsia="方正仿宋_GBK" w:cs="方正仿宋_GBK"/>
          <w:sz w:val="32"/>
          <w:szCs w:val="32"/>
          <w:lang w:val="en-US" w:eastAsia="zh-CN" w:bidi="ar-SA"/>
        </w:rPr>
        <w:t>被申请行政复议、提起行政诉讼情况；</w:t>
      </w:r>
    </w:p>
    <w:p w14:paraId="361678FE">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方正仿宋_GBK" w:hAnsi="方正仿宋_GBK" w:eastAsia="方正仿宋_GBK" w:cs="方正仿宋_GBK"/>
          <w:color w:val="auto"/>
          <w:sz w:val="32"/>
          <w:szCs w:val="32"/>
          <w:lang w:eastAsia="zh-CN" w:bidi="ar-SA"/>
        </w:rPr>
      </w:pPr>
      <w:r>
        <w:rPr>
          <w:rFonts w:hint="eastAsia" w:ascii="方正仿宋_GBK" w:hAnsi="方正仿宋_GBK" w:eastAsia="方正仿宋_GBK" w:cs="方正仿宋_GBK"/>
          <w:sz w:val="32"/>
          <w:szCs w:val="32"/>
          <w:lang w:val="en-US" w:eastAsia="zh-CN" w:bidi="ar-SA"/>
        </w:rPr>
        <w:t>6、“其他需要报告</w:t>
      </w:r>
      <w:r>
        <w:rPr>
          <w:rFonts w:hint="eastAsia" w:ascii="方正仿宋_GBK" w:hAnsi="方正仿宋_GBK" w:eastAsia="方正仿宋_GBK" w:cs="方正仿宋_GBK"/>
          <w:color w:val="auto"/>
          <w:sz w:val="32"/>
          <w:szCs w:val="32"/>
          <w:lang w:val="en-US" w:eastAsia="zh-CN" w:bidi="ar-SA"/>
        </w:rPr>
        <w:t>的事项”</w:t>
      </w:r>
      <w:r>
        <w:rPr>
          <w:rFonts w:hint="eastAsia" w:ascii="方正仿宋_GBK" w:hAnsi="方正仿宋_GBK" w:eastAsia="方正仿宋_GBK" w:cs="方正仿宋_GBK"/>
          <w:color w:val="auto"/>
          <w:sz w:val="32"/>
          <w:szCs w:val="32"/>
          <w:lang w:eastAsia="zh-CN" w:bidi="ar-SA"/>
        </w:rPr>
        <w:t>中，需包含信息处理费收费情况，未收取费用仍需说明。</w:t>
      </w:r>
    </w:p>
    <w:p w14:paraId="66B6D05A">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方正仿宋_GBK" w:hAnsi="方正仿宋_GBK" w:eastAsia="方正仿宋_GBK" w:cs="方正仿宋_GBK"/>
          <w:color w:val="auto"/>
          <w:sz w:val="32"/>
          <w:szCs w:val="32"/>
          <w:lang w:eastAsia="zh-CN" w:bidi="ar-SA"/>
        </w:rPr>
      </w:pPr>
    </w:p>
    <w:p w14:paraId="329D0C13">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方正仿宋_GBK" w:hAnsi="方正仿宋_GBK" w:eastAsia="方正仿宋_GBK" w:cs="方正仿宋_GBK"/>
          <w:sz w:val="32"/>
          <w:szCs w:val="32"/>
          <w:lang w:eastAsia="zh-CN" w:bidi="ar-SA"/>
        </w:rPr>
      </w:pPr>
      <w:r>
        <w:rPr>
          <w:rFonts w:hint="eastAsia" w:ascii="方正仿宋_GBK" w:hAnsi="方正仿宋_GBK" w:eastAsia="方正仿宋_GBK" w:cs="方正仿宋_GBK"/>
          <w:sz w:val="32"/>
          <w:szCs w:val="32"/>
          <w:lang w:eastAsia="zh-CN" w:bidi="ar-SA"/>
        </w:rPr>
        <w:t>详见《国务院办公厅政府信息与政务公开办公室关于印发</w:t>
      </w:r>
      <w:r>
        <w:rPr>
          <w:rFonts w:hint="eastAsia" w:ascii="方正仿宋_GBK" w:hAnsi="方正仿宋_GBK" w:eastAsia="方正仿宋_GBK" w:cs="方正仿宋_GBK"/>
          <w:sz w:val="32"/>
          <w:szCs w:val="32"/>
          <w:lang w:val="en-US" w:eastAsia="zh-CN" w:bidi="ar-SA"/>
        </w:rPr>
        <w:t>&lt;</w:t>
      </w:r>
      <w:r>
        <w:rPr>
          <w:rFonts w:hint="eastAsia" w:ascii="方正仿宋_GBK" w:hAnsi="方正仿宋_GBK" w:eastAsia="方正仿宋_GBK" w:cs="方正仿宋_GBK"/>
          <w:sz w:val="32"/>
          <w:szCs w:val="32"/>
          <w:lang w:eastAsia="zh-CN" w:bidi="ar-SA"/>
        </w:rPr>
        <w:t>中华人民共和国政府信息公开工作年度报告格式</w:t>
      </w:r>
      <w:r>
        <w:rPr>
          <w:rFonts w:hint="eastAsia" w:ascii="方正仿宋_GBK" w:hAnsi="方正仿宋_GBK" w:eastAsia="方正仿宋_GBK" w:cs="方正仿宋_GBK"/>
          <w:sz w:val="32"/>
          <w:szCs w:val="32"/>
          <w:lang w:val="en-US" w:eastAsia="zh-CN" w:bidi="ar-SA"/>
        </w:rPr>
        <w:t>&gt;</w:t>
      </w:r>
      <w:r>
        <w:rPr>
          <w:rFonts w:hint="eastAsia" w:ascii="方正仿宋_GBK" w:hAnsi="方正仿宋_GBK" w:eastAsia="方正仿宋_GBK" w:cs="方正仿宋_GBK"/>
          <w:sz w:val="32"/>
          <w:szCs w:val="32"/>
          <w:lang w:eastAsia="zh-CN" w:bidi="ar-SA"/>
        </w:rPr>
        <w:t>的通知》（国办公开办函〔2021〕30号）</w:t>
      </w:r>
    </w:p>
    <w:p w14:paraId="538AFE88">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方正仿宋_GBK" w:hAnsi="方正仿宋_GBK" w:eastAsia="方正仿宋_GBK" w:cs="方正仿宋_GBK"/>
          <w:sz w:val="32"/>
          <w:szCs w:val="32"/>
          <w:lang w:eastAsia="zh-CN" w:bidi="ar-SA"/>
        </w:rPr>
      </w:pPr>
      <w:r>
        <w:rPr>
          <w:rFonts w:hint="eastAsia" w:ascii="方正仿宋_GBK" w:hAnsi="方正仿宋_GBK" w:eastAsia="方正仿宋_GBK" w:cs="方正仿宋_GBK"/>
          <w:sz w:val="32"/>
          <w:szCs w:val="32"/>
          <w:lang w:eastAsia="zh-CN" w:bidi="ar-SA"/>
        </w:rPr>
        <w:t>网址：</w:t>
      </w:r>
    </w:p>
    <w:p w14:paraId="46B85F56">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jc w:val="both"/>
        <w:textAlignment w:val="auto"/>
        <w:rPr>
          <w:rFonts w:hint="eastAsia" w:ascii="方正仿宋_GBK" w:hAnsi="方正仿宋_GBK" w:eastAsia="方正仿宋_GBK" w:cs="方正仿宋_GBK"/>
          <w:sz w:val="32"/>
          <w:szCs w:val="32"/>
          <w:lang w:eastAsia="zh-CN" w:bidi="ar-SA"/>
        </w:rPr>
      </w:pPr>
      <w:r>
        <w:rPr>
          <w:rFonts w:hint="eastAsia" w:ascii="方正仿宋_GBK" w:hAnsi="方正仿宋_GBK" w:eastAsia="方正仿宋_GBK" w:cs="方正仿宋_GBK"/>
          <w:sz w:val="32"/>
          <w:szCs w:val="32"/>
          <w:lang w:eastAsia="zh-CN" w:bidi="ar-SA"/>
        </w:rPr>
        <w:fldChar w:fldCharType="begin"/>
      </w:r>
      <w:r>
        <w:rPr>
          <w:rFonts w:hint="eastAsia" w:ascii="方正仿宋_GBK" w:hAnsi="方正仿宋_GBK" w:eastAsia="方正仿宋_GBK" w:cs="方正仿宋_GBK"/>
          <w:sz w:val="32"/>
          <w:szCs w:val="32"/>
          <w:lang w:eastAsia="zh-CN" w:bidi="ar-SA"/>
        </w:rPr>
        <w:instrText xml:space="preserve"> HYPERLINK "http://www.gov.cn/zhengce/content/2021-09/29/content_5639620.htm" </w:instrText>
      </w:r>
      <w:r>
        <w:rPr>
          <w:rFonts w:hint="eastAsia" w:ascii="方正仿宋_GBK" w:hAnsi="方正仿宋_GBK" w:eastAsia="方正仿宋_GBK" w:cs="方正仿宋_GBK"/>
          <w:sz w:val="32"/>
          <w:szCs w:val="32"/>
          <w:lang w:eastAsia="zh-CN" w:bidi="ar-SA"/>
        </w:rPr>
        <w:fldChar w:fldCharType="separate"/>
      </w:r>
      <w:r>
        <w:rPr>
          <w:rStyle w:val="19"/>
          <w:rFonts w:hint="eastAsia" w:ascii="方正仿宋_GBK" w:hAnsi="方正仿宋_GBK" w:eastAsia="方正仿宋_GBK" w:cs="方正仿宋_GBK"/>
          <w:sz w:val="32"/>
          <w:szCs w:val="32"/>
          <w:lang w:eastAsia="zh-CN" w:bidi="ar-SA"/>
        </w:rPr>
        <w:t>http://www.gov.cn/zhengce/content/2021-09/29/content_5639620.htm</w:t>
      </w:r>
      <w:r>
        <w:rPr>
          <w:rFonts w:hint="eastAsia" w:ascii="方正仿宋_GBK" w:hAnsi="方正仿宋_GBK" w:eastAsia="方正仿宋_GBK" w:cs="方正仿宋_GBK"/>
          <w:sz w:val="32"/>
          <w:szCs w:val="32"/>
          <w:lang w:eastAsia="zh-CN" w:bidi="ar-SA"/>
        </w:rPr>
        <w:fldChar w:fldCharType="end"/>
      </w:r>
    </w:p>
    <w:p w14:paraId="5476558D">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方正仿宋_GBK" w:hAnsi="方正仿宋_GBK" w:eastAsia="方正仿宋_GBK" w:cs="方正仿宋_GBK"/>
          <w:sz w:val="32"/>
          <w:szCs w:val="32"/>
          <w:lang w:eastAsia="zh-CN" w:bidi="ar-SA"/>
        </w:rPr>
      </w:pPr>
      <w:r>
        <w:rPr>
          <w:rFonts w:hint="eastAsia" w:ascii="方正仿宋_GBK" w:hAnsi="方正仿宋_GBK" w:eastAsia="方正仿宋_GBK" w:cs="方正仿宋_GBK"/>
          <w:sz w:val="32"/>
          <w:szCs w:val="32"/>
          <w:lang w:eastAsia="zh-CN" w:bidi="ar-SA"/>
        </w:rPr>
        <w:br w:type="page"/>
      </w:r>
      <w:r>
        <w:rPr>
          <w:rFonts w:hint="eastAsia" w:ascii="方正仿宋_GBK" w:hAnsi="方正仿宋_GBK" w:eastAsia="方正仿宋_GBK" w:cs="方正仿宋_GBK"/>
          <w:sz w:val="32"/>
          <w:szCs w:val="32"/>
          <w:lang w:eastAsia="zh-CN" w:bidi="ar-SA"/>
        </w:rPr>
        <w:drawing>
          <wp:inline distT="0" distB="0" distL="114300" distR="114300">
            <wp:extent cx="5918200" cy="7689215"/>
            <wp:effectExtent l="0" t="0" r="6350" b="6985"/>
            <wp:docPr id="1" name="图片 4" descr="2023-01-04_15-2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2023-01-04_15-23-32"/>
                    <pic:cNvPicPr>
                      <a:picLocks noChangeAspect="1"/>
                    </pic:cNvPicPr>
                  </pic:nvPicPr>
                  <pic:blipFill>
                    <a:blip r:embed="rId6"/>
                    <a:stretch>
                      <a:fillRect/>
                    </a:stretch>
                  </pic:blipFill>
                  <pic:spPr>
                    <a:xfrm>
                      <a:off x="0" y="0"/>
                      <a:ext cx="5918200" cy="7689215"/>
                    </a:xfrm>
                    <a:prstGeom prst="rect">
                      <a:avLst/>
                    </a:prstGeom>
                    <a:noFill/>
                    <a:ln>
                      <a:noFill/>
                    </a:ln>
                  </pic:spPr>
                </pic:pic>
              </a:graphicData>
            </a:graphic>
          </wp:inline>
        </w:drawing>
      </w:r>
    </w:p>
    <w:sectPr>
      <w:headerReference r:id="rId3" w:type="default"/>
      <w:footerReference r:id="rId4" w:type="default"/>
      <w:pgSz w:w="11906" w:h="16838"/>
      <w:pgMar w:top="2098" w:right="1474" w:bottom="1984" w:left="1587" w:header="851" w:footer="850" w:gutter="0"/>
      <w:paperSrc/>
      <w:pgNumType w:fmt="decimal"/>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4A478D8-79EB-487B-95C6-341C3D47485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8BABEF5C-B4F8-4B9D-AF9E-C112C8A26A7E}"/>
  </w:font>
  <w:font w:name="Tahoma">
    <w:panose1 w:val="020B0604030504040204"/>
    <w:charset w:val="00"/>
    <w:family w:val="swiss"/>
    <w:pitch w:val="default"/>
    <w:sig w:usb0="E1002EFF" w:usb1="C000605B" w:usb2="00000029" w:usb3="00000000" w:csb0="200101FF" w:csb1="20280000"/>
  </w:font>
  <w:font w:name="方正小标宋_GBK">
    <w:panose1 w:val="02000000000000000000"/>
    <w:charset w:val="86"/>
    <w:family w:val="script"/>
    <w:pitch w:val="default"/>
    <w:sig w:usb0="A00002BF" w:usb1="38CF7CFA" w:usb2="00082016" w:usb3="00000000" w:csb0="00040001" w:csb1="00000000"/>
    <w:embedRegular r:id="rId3" w:fontKey="{74D9B664-401C-4A89-9DCB-6FD48E6A6B66}"/>
  </w:font>
  <w:font w:name="方正仿宋_GBK">
    <w:altName w:val="微软雅黑"/>
    <w:panose1 w:val="02000000000000000000"/>
    <w:charset w:val="86"/>
    <w:family w:val="auto"/>
    <w:pitch w:val="default"/>
    <w:sig w:usb0="00000001" w:usb1="08000000" w:usb2="00000000" w:usb3="00000000" w:csb0="00040000" w:csb1="00000000"/>
    <w:embedRegular r:id="rId4" w:fontKey="{3FA9FA84-1DCE-4B74-9EBD-BE4B085078D3}"/>
  </w:font>
  <w:font w:name="CESI宋体-GB2312">
    <w:altName w:val="宋体"/>
    <w:panose1 w:val="02000500000000000000"/>
    <w:charset w:val="86"/>
    <w:family w:val="auto"/>
    <w:pitch w:val="default"/>
    <w:sig w:usb0="800002AF" w:usb1="08476CF8" w:usb2="00000010" w:usb3="00000000" w:csb0="0004000F" w:csb1="00000000"/>
    <w:embedRegular r:id="rId5" w:fontKey="{61EB72F4-D650-461E-8B77-F2F4500C2391}"/>
  </w:font>
  <w:font w:name="楷体">
    <w:panose1 w:val="02010609060101010101"/>
    <w:charset w:val="86"/>
    <w:family w:val="auto"/>
    <w:pitch w:val="default"/>
    <w:sig w:usb0="800002BF" w:usb1="38CF7CFA" w:usb2="00000016" w:usb3="00000000" w:csb0="00040001" w:csb1="00000000"/>
    <w:embedRegular r:id="rId6" w:fontKey="{CA5C4E00-DCE4-443D-9EB9-C78EF8796B25}"/>
  </w:font>
  <w:font w:name="微软雅黑">
    <w:panose1 w:val="020B0503020204020204"/>
    <w:charset w:val="86"/>
    <w:family w:val="auto"/>
    <w:pitch w:val="default"/>
    <w:sig w:usb0="80000287" w:usb1="280F3C52" w:usb2="00000016" w:usb3="00000000" w:csb0="0004001F" w:csb1="00000000"/>
  </w:font>
  <w:font w:name="方正仿宋_GB2312">
    <w:panose1 w:val="02000000000000000000"/>
    <w:charset w:val="86"/>
    <w:family w:val="auto"/>
    <w:pitch w:val="default"/>
    <w:sig w:usb0="A00002BF" w:usb1="184F6CFA" w:usb2="00000012" w:usb3="00000000" w:csb0="00040001" w:csb1="00000000"/>
    <w:embedRegular r:id="rId7" w:fontKey="{A3EF43C4-B7B8-4986-90FE-9484278D3AFB}"/>
  </w:font>
  <w:font w:name="方正小标宋简体">
    <w:panose1 w:val="02000000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4A46B1">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6290D02">
                          <w:pPr>
                            <w:pStyle w:val="10"/>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Jom5dHdAQAAvgMAAA4AAAAAAAAA&#10;AQAgAAAAHgEAAGRycy9lMm9Eb2MueG1sUEsFBgAAAAAGAAYAWQEAAG0FAAAAAA==&#10;">
              <v:fill on="f" focussize="0,0"/>
              <v:stroke on="f"/>
              <v:imagedata o:title=""/>
              <o:lock v:ext="edit" aspectratio="f"/>
              <v:textbox inset="0mm,0mm,0mm,0mm" style="mso-fit-shape-to-text:t;">
                <w:txbxContent>
                  <w:p w14:paraId="26290D02">
                    <w:pPr>
                      <w:pStyle w:val="10"/>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7E23A9">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201"/>
  <w:drawingGridVerticalSpacing w:val="579"/>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xYjUxNzdlZTcyMzRhYmY1OTQ3Yzg5ZDAxMTE3NTQifQ=="/>
  </w:docVars>
  <w:rsids>
    <w:rsidRoot w:val="00AC72C5"/>
    <w:rsid w:val="1BE223E9"/>
    <w:rsid w:val="1BFF40D6"/>
    <w:rsid w:val="283F4A21"/>
    <w:rsid w:val="302241EA"/>
    <w:rsid w:val="3A0E734D"/>
    <w:rsid w:val="3C7C24FE"/>
    <w:rsid w:val="3CE215A4"/>
    <w:rsid w:val="40A4032B"/>
    <w:rsid w:val="414941D9"/>
    <w:rsid w:val="4A827DE0"/>
    <w:rsid w:val="4E572B7A"/>
    <w:rsid w:val="4ECB50AA"/>
    <w:rsid w:val="506F199B"/>
    <w:rsid w:val="639C6AA2"/>
    <w:rsid w:val="679ED16D"/>
    <w:rsid w:val="6CFD9E27"/>
    <w:rsid w:val="6EA66F84"/>
    <w:rsid w:val="7FD7ACA6"/>
    <w:rsid w:val="9DE2F130"/>
    <w:rsid w:val="D376CA30"/>
    <w:rsid w:val="FFFA7ED5"/>
    <w:rsid w:val="FFFB3FB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uiPriority w:val="0"/>
  </w:style>
  <w:style w:type="table" w:default="1" w:styleId="14">
    <w:name w:val="Normal Table"/>
    <w:semiHidden/>
    <w:uiPriority w:val="0"/>
    <w:tblPr>
      <w:tblStyle w:val="14"/>
      <w:tblCellMar>
        <w:top w:w="0" w:type="dxa"/>
        <w:left w:w="108" w:type="dxa"/>
        <w:bottom w:w="0" w:type="dxa"/>
        <w:right w:w="108" w:type="dxa"/>
      </w:tblCellMar>
    </w:tblPr>
  </w:style>
  <w:style w:type="paragraph" w:styleId="2">
    <w:name w:val="endnote text"/>
    <w:qFormat/>
    <w:uiPriority w:val="0"/>
    <w:pPr>
      <w:keepNext w:val="0"/>
      <w:keepLines w:val="0"/>
      <w:widowControl/>
      <w:suppressLineNumbers w:val="0"/>
      <w:adjustRightInd w:val="0"/>
      <w:snapToGrid w:val="0"/>
      <w:spacing w:before="0" w:beforeAutospacing="0" w:after="200" w:afterAutospacing="0"/>
      <w:ind w:left="0" w:right="0"/>
      <w:jc w:val="left"/>
    </w:pPr>
    <w:rPr>
      <w:rFonts w:hint="default" w:ascii="Tahoma" w:hAnsi="Tahoma" w:eastAsia="微软雅黑" w:cs="Times New Roman"/>
      <w:snapToGrid/>
      <w:kern w:val="0"/>
      <w:sz w:val="22"/>
      <w:szCs w:val="22"/>
      <w:lang w:val="en-US" w:eastAsia="zh-CN" w:bidi="ar"/>
    </w:rPr>
  </w:style>
  <w:style w:type="paragraph" w:styleId="3">
    <w:name w:val="Document Map"/>
    <w:basedOn w:val="1"/>
    <w:uiPriority w:val="0"/>
    <w:pPr>
      <w:shd w:val="clear" w:color="auto" w:fill="000080"/>
    </w:pPr>
  </w:style>
  <w:style w:type="paragraph" w:styleId="4">
    <w:name w:val="Body Text 3"/>
    <w:basedOn w:val="1"/>
    <w:uiPriority w:val="0"/>
    <w:pPr>
      <w:spacing w:after="120"/>
    </w:pPr>
    <w:rPr>
      <w:sz w:val="16"/>
      <w:szCs w:val="16"/>
    </w:rPr>
  </w:style>
  <w:style w:type="paragraph" w:styleId="5">
    <w:name w:val="Body Text"/>
    <w:basedOn w:val="1"/>
    <w:uiPriority w:val="0"/>
    <w:pPr>
      <w:spacing w:line="480" w:lineRule="atLeast"/>
    </w:pPr>
    <w:rPr>
      <w:rFonts w:ascii="宋体"/>
      <w:sz w:val="30"/>
    </w:rPr>
  </w:style>
  <w:style w:type="paragraph" w:styleId="6">
    <w:name w:val="Body Text Indent"/>
    <w:basedOn w:val="1"/>
    <w:uiPriority w:val="0"/>
    <w:pPr>
      <w:spacing w:after="120"/>
      <w:ind w:left="200" w:leftChars="200"/>
    </w:pPr>
  </w:style>
  <w:style w:type="paragraph" w:styleId="7">
    <w:name w:val="Plain Text"/>
    <w:basedOn w:val="1"/>
    <w:uiPriority w:val="0"/>
    <w:rPr>
      <w:rFonts w:ascii="宋体"/>
      <w:szCs w:val="20"/>
    </w:rPr>
  </w:style>
  <w:style w:type="paragraph" w:styleId="8">
    <w:name w:val="Date"/>
    <w:basedOn w:val="1"/>
    <w:next w:val="1"/>
    <w:uiPriority w:val="0"/>
    <w:pPr>
      <w:ind w:left="2500" w:leftChars="2500"/>
    </w:pPr>
    <w:rPr>
      <w:rFonts w:ascii="宋体"/>
      <w:sz w:val="30"/>
    </w:rPr>
  </w:style>
  <w:style w:type="paragraph" w:styleId="9">
    <w:name w:val="Balloon Text"/>
    <w:basedOn w:val="1"/>
    <w:uiPriority w:val="0"/>
    <w:rPr>
      <w:sz w:val="18"/>
      <w:szCs w:val="18"/>
    </w:rPr>
  </w:style>
  <w:style w:type="paragraph" w:styleId="10">
    <w:name w:val="footer"/>
    <w:basedOn w:val="1"/>
    <w:uiPriority w:val="0"/>
    <w:pPr>
      <w:tabs>
        <w:tab w:val="center" w:pos="4153"/>
        <w:tab w:val="right" w:pos="8306"/>
      </w:tabs>
      <w:snapToGrid w:val="0"/>
      <w:jc w:val="left"/>
    </w:pPr>
    <w:rPr>
      <w:sz w:val="18"/>
      <w:szCs w:val="18"/>
    </w:rPr>
  </w:style>
  <w:style w:type="paragraph" w:styleId="11">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2">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3">
    <w:name w:val="Normal (Web)"/>
    <w:next w:val="11"/>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SA"/>
    </w:rPr>
  </w:style>
  <w:style w:type="character" w:styleId="16">
    <w:name w:val="Strong"/>
    <w:basedOn w:val="15"/>
    <w:uiPriority w:val="0"/>
    <w:rPr>
      <w:b/>
      <w:bCs/>
    </w:rPr>
  </w:style>
  <w:style w:type="character" w:styleId="17">
    <w:name w:val="page number"/>
    <w:basedOn w:val="15"/>
    <w:uiPriority w:val="0"/>
  </w:style>
  <w:style w:type="character" w:styleId="18">
    <w:name w:val="FollowedHyperlink"/>
    <w:basedOn w:val="15"/>
    <w:uiPriority w:val="0"/>
    <w:rPr>
      <w:color w:val="000080"/>
      <w:u w:val="single"/>
    </w:rPr>
  </w:style>
  <w:style w:type="character" w:styleId="19">
    <w:name w:val="Hyperlink"/>
    <w:basedOn w:val="15"/>
    <w:uiPriority w:val="0"/>
    <w:rPr>
      <w:color w:val="0000FF"/>
      <w:u w:val="single"/>
    </w:rPr>
  </w:style>
  <w:style w:type="character" w:customStyle="1" w:styleId="20">
    <w:name w:val="ca-31"/>
    <w:basedOn w:val="15"/>
    <w:uiPriority w:val="0"/>
    <w:rPr>
      <w:rFonts w:ascii="仿宋_GB2312" w:eastAsia="仿宋_GB2312"/>
      <w:sz w:val="32"/>
      <w:szCs w:val="32"/>
    </w:rPr>
  </w:style>
  <w:style w:type="character" w:customStyle="1" w:styleId="21">
    <w:name w:val="ca-61"/>
    <w:basedOn w:val="15"/>
    <w:uiPriority w:val="0"/>
    <w:rPr>
      <w:rFonts w:ascii="Times New Roman" w:hAnsi="Times New Roman" w:cs="Times New Roman"/>
      <w:sz w:val="32"/>
      <w:szCs w:val="32"/>
      <w:lang w:bidi="ar-SA"/>
    </w:rPr>
  </w:style>
  <w:style w:type="paragraph" w:customStyle="1" w:styleId="22">
    <w:name w:val="Char1 Char Char Char Char Char Char Char Char Char Char Char Char Char Char Char Char Char Char Char Char Char Char Char Char Char Char Char Char Char Char"/>
    <w:basedOn w:val="1"/>
    <w:uiPriority w:val="0"/>
  </w:style>
  <w:style w:type="paragraph" w:customStyle="1" w:styleId="23">
    <w:name w:val="pa-2"/>
    <w:basedOn w:val="1"/>
    <w:uiPriority w:val="0"/>
    <w:pPr>
      <w:widowControl/>
      <w:spacing w:line="360" w:lineRule="atLeast"/>
      <w:ind w:firstLine="200"/>
    </w:pPr>
    <w:rPr>
      <w:rFonts w:ascii="宋体" w:cs="宋体"/>
      <w:kern w:val="0"/>
      <w:sz w:val="24"/>
      <w:lang w:bidi="ar-SA"/>
    </w:rPr>
  </w:style>
  <w:style w:type="paragraph" w:customStyle="1" w:styleId="24">
    <w:name w:val="Char Char Char Char Char Char1 Char"/>
    <w:basedOn w:val="1"/>
    <w:uiPriority w:val="0"/>
    <w:pPr>
      <w:widowControl/>
      <w:spacing w:after="160" w:line="240" w:lineRule="exact"/>
      <w:jc w:val="left"/>
    </w:pPr>
    <w:rPr>
      <w:rFonts w:ascii="Calibri" w:hAnsi="Calibri"/>
      <w:szCs w:val="22"/>
    </w:rPr>
  </w:style>
  <w:style w:type="paragraph" w:customStyle="1" w:styleId="25">
    <w:name w:val="List Paragraph"/>
    <w:basedOn w:val="1"/>
    <w:uiPriority w:val="0"/>
    <w:pPr>
      <w:ind w:firstLine="200" w:firstLineChars="200"/>
    </w:pPr>
    <w:rPr>
      <w:rFonts w:ascii="Calibri" w:hAnsi="Calibri"/>
      <w:szCs w:val="22"/>
    </w:rPr>
  </w:style>
  <w:style w:type="paragraph" w:customStyle="1" w:styleId="26">
    <w:name w:val=" Char1 Char Char Char Char Char Char Char Char Char Char Char Char Char Char Char Char Char Char1"/>
    <w:basedOn w:val="1"/>
    <w:uiPriority w:val="0"/>
  </w:style>
  <w:style w:type="paragraph" w:customStyle="1" w:styleId="27">
    <w:name w:val="p0"/>
    <w:next w:val="1"/>
    <w:uiPriority w:val="0"/>
    <w:pPr>
      <w:widowControl/>
      <w:jc w:val="both"/>
    </w:pPr>
    <w:rPr>
      <w:rFonts w:ascii="Times New Roman" w:hAnsi="Times New Roman" w:eastAsia="宋体" w:cs="宋体"/>
      <w:kern w:val="0"/>
      <w:sz w:val="21"/>
      <w:szCs w:val="21"/>
      <w:lang w:val="en-US" w:eastAsia="zh-CN" w:bidi="ar-SA"/>
    </w:rPr>
  </w:style>
  <w:style w:type="paragraph" w:customStyle="1" w:styleId="28">
    <w:name w:val="_Style 3"/>
    <w:basedOn w:val="1"/>
    <w:uiPriority w:val="0"/>
    <w:rPr>
      <w:szCs w:val="20"/>
    </w:rPr>
  </w:style>
  <w:style w:type="paragraph" w:customStyle="1" w:styleId="29">
    <w:name w:val=" Char Char Char Char Char Char Char"/>
    <w:basedOn w:val="1"/>
    <w:uiPriority w:val="0"/>
    <w:pPr>
      <w:widowControl/>
      <w:spacing w:before="100" w:beforeLines="100" w:after="160" w:line="240" w:lineRule="exact"/>
      <w:jc w:val="left"/>
    </w:pPr>
  </w:style>
  <w:style w:type="paragraph" w:customStyle="1" w:styleId="30">
    <w:name w:val="Normal (Web)"/>
    <w:basedOn w:val="1"/>
    <w:uiPriority w:val="0"/>
    <w:pPr>
      <w:widowControl/>
      <w:spacing w:before="100" w:beforeAutospacing="1" w:after="100" w:afterAutospacing="1"/>
      <w:jc w:val="left"/>
    </w:pPr>
    <w:rPr>
      <w:rFonts w:ascii="宋体" w:cs="宋体"/>
      <w:kern w:val="0"/>
      <w:sz w:val="24"/>
      <w:lang w:bidi="ar-SA"/>
    </w:rPr>
  </w:style>
  <w:style w:type="paragraph" w:customStyle="1" w:styleId="31">
    <w:name w:val="wenzi031"/>
    <w:basedOn w:val="1"/>
    <w:uiPriority w:val="0"/>
    <w:pPr>
      <w:widowControl/>
      <w:spacing w:line="368" w:lineRule="atLeast"/>
      <w:jc w:val="left"/>
    </w:pPr>
    <w:rPr>
      <w:rFonts w:ascii="宋体" w:cs="宋体"/>
      <w:color w:val="0071C0"/>
      <w:kern w:val="0"/>
      <w:sz w:val="23"/>
      <w:szCs w:val="23"/>
      <w:lang w:bidi="ar-SA"/>
    </w:rPr>
  </w:style>
  <w:style w:type="paragraph" w:customStyle="1" w:styleId="32">
    <w:name w:val=" Char"/>
    <w:basedOn w:val="1"/>
    <w:uiPriority w:val="0"/>
  </w:style>
  <w:style w:type="paragraph" w:customStyle="1" w:styleId="33">
    <w:name w:val="样式4"/>
    <w:basedOn w:val="1"/>
    <w:uiPriority w:val="0"/>
    <w:pPr>
      <w:ind w:left="200" w:leftChars="200"/>
    </w:pPr>
    <w:rPr>
      <w:rFonts w:eastAsia="仿宋_GB2312"/>
      <w:sz w:val="32"/>
    </w:rPr>
  </w:style>
  <w:style w:type="paragraph" w:customStyle="1" w:styleId="34">
    <w:name w:val="正文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Char Char1 Char Char Char Char Char Char1 Char Char Char Char"/>
    <w:basedOn w:val="1"/>
    <w:uiPriority w:val="0"/>
  </w:style>
  <w:style w:type="paragraph" w:customStyle="1" w:styleId="36">
    <w:name w:val="段落文字样式正文首行缩进 + 首行缩进:  1 字符 + 首行缩进:  1.16 字符 + 首行缩进:  2 字符 Char"/>
    <w:basedOn w:val="1"/>
    <w:uiPriority w:val="0"/>
    <w:pPr>
      <w:spacing w:after="120" w:line="360" w:lineRule="auto"/>
      <w:ind w:firstLine="200" w:firstLineChars="200"/>
    </w:pPr>
    <w:rPr>
      <w:rFonts w:cs="宋体"/>
      <w:sz w:val="24"/>
      <w:szCs w:val="20"/>
      <w:lang w:bidi="ar-SA"/>
    </w:rPr>
  </w:style>
  <w:style w:type="paragraph" w:customStyle="1" w:styleId="37">
    <w:name w:val="Char"/>
    <w:basedOn w:val="3"/>
    <w:next w:val="1"/>
    <w:uiPriority w:val="0"/>
    <w:pPr>
      <w:adjustRightInd w:val="0"/>
      <w:spacing w:line="436" w:lineRule="exact"/>
      <w:ind w:left="357"/>
      <w:jc w:val="left"/>
      <w:outlineLvl w:val="3"/>
    </w:pPr>
    <w:rPr>
      <w:rFonts w:ascii="Tahoma" w:hAnsi="Tahoma"/>
      <w:b/>
      <w:sz w:val="24"/>
    </w:rPr>
  </w:style>
  <w:style w:type="paragraph" w:customStyle="1" w:styleId="38">
    <w:name w:val="0"/>
    <w:basedOn w:val="1"/>
    <w:uiPriority w:val="0"/>
    <w:pPr>
      <w:widowControl/>
      <w:snapToGrid w:val="0"/>
      <w:spacing w:line="365" w:lineRule="atLeast"/>
      <w:ind w:left="1"/>
      <w:textAlignment w:val="bottom"/>
    </w:pPr>
    <w:rPr>
      <w:kern w:val="0"/>
      <w:sz w:val="20"/>
      <w:szCs w:val="20"/>
    </w:rPr>
  </w:style>
  <w:style w:type="paragraph" w:customStyle="1" w:styleId="39">
    <w:name w:val="Char Char Char Char Char Char Char Char Char Char Char Char Char Char Char Char Char Char Char Char Char Char"/>
    <w:basedOn w:val="1"/>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微软中国</Company>
  <Pages>7</Pages>
  <Words>2295</Words>
  <Characters>2417</Characters>
  <TotalTime>12</TotalTime>
  <ScaleCrop>false</ScaleCrop>
  <LinksUpToDate>false</LinksUpToDate>
  <CharactersWithSpaces>2417</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2018-04-22T19:15:00Z</dcterms:created>
  <dc:creator>湖南省公文传输系统</dc:creator>
  <cp:lastModifiedBy>为于思周</cp:lastModifiedBy>
  <cp:lastPrinted>2023-01-06T15:25:21Z</cp:lastPrinted>
  <dcterms:modified xsi:type="dcterms:W3CDTF">2025-01-10T01:14:47Z</dcterms:modified>
  <dc:title>湘潭市人民政府文件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SaveFontToCloudKey">
    <vt:lpwstr>377667330_embed</vt:lpwstr>
  </property>
  <property fmtid="{D5CDD505-2E9C-101B-9397-08002B2CF9AE}" pid="4" name="ICV">
    <vt:lpwstr>9D1C3F4BCB5F4467986ECF59612A6F58_13</vt:lpwstr>
  </property>
  <property fmtid="{D5CDD505-2E9C-101B-9397-08002B2CF9AE}" pid="5" name="KSOTemplateDocerSaveRecord">
    <vt:lpwstr>eyJoZGlkIjoiYmUxMjNkZjM5N2QzMWM2ZTc5M2Y0ZTI3MWQ2NmUzMWEiLCJ1c2VySWQiOiI0Njc3Njc2NDIifQ==</vt:lpwstr>
  </property>
</Properties>
</file>