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5A6319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(2024年第19批）</w:t>
      </w:r>
    </w:p>
    <w:bookmarkEnd w:id="0"/>
    <w:p w14:paraId="6AEEB121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2076"/>
        <w:gridCol w:w="2279"/>
        <w:gridCol w:w="1350"/>
        <w:gridCol w:w="1650"/>
        <w:gridCol w:w="600"/>
      </w:tblGrid>
      <w:tr w14:paraId="622F50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C06596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1138243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68C6A5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3638D18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DE3E8B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3BC87C2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545ABE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5C37CFC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AD8A19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CC40AE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5881CEB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20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C5E838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12773ED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2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8A3493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2AC94F5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6BDE79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30354B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0E7076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F554FE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4A706D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7B97DDC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2C3255D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）罚〔2024〕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42BF3F31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7A0C037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李伟违反水生生物保护区禁止垂钓案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FE6993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李伟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3E550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C461080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李伟</w:t>
            </w:r>
          </w:p>
        </w:tc>
        <w:tc>
          <w:tcPr>
            <w:tcW w:w="2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E12E88D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当事人违反《湖南省人民代表大会常务委员会关于促进和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保障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长江流域禁捕工作的决定》第四条“水生生物保护区、饮用水水源一级保护区禁止垂钓”之规定</w:t>
            </w:r>
          </w:p>
        </w:tc>
        <w:tc>
          <w:tcPr>
            <w:tcW w:w="2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8BDA14C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依据《湖南省人民代表大会常务委员会关于促进和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保障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长江流域禁捕工作的决定》第四条规定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《长江水生生物保护管理规定》第三十条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C2FF0ED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059EB5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73253C26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417175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45CDB5B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3145F0"/>
    <w:rsid w:val="1A314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2024-11-14T09:23:00Z</dcterms:created>
  <dc:creator>为于思周</dc:creator>
  <cp:lastModifiedBy>为于思周</cp:lastModifiedBy>
  <dcterms:modified xsi:type="dcterms:W3CDTF">2024-11-14T09:23:32Z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44CF92C138D6405F926A4BDD9B500291_11</vt:lpwstr>
  </property>
</Properties>
</file>