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D5597">
      <w:pPr>
        <w:pStyle w:val="12"/>
        <w:ind w:firstLine="883" w:firstLineChars="200"/>
        <w:jc w:val="both"/>
        <w:rPr>
          <w:rFonts w:hint="eastAsia" w:ascii="黑体" w:hAnsi="黑体" w:eastAsia="黑体" w:cs="黑体"/>
          <w:b/>
          <w:bCs w:val="0"/>
          <w:color w:val="auto"/>
          <w:kern w:val="0"/>
          <w:sz w:val="44"/>
          <w:szCs w:val="44"/>
          <w:lang w:val="en-US" w:eastAsia="zh-CN" w:bidi="ar-SA"/>
        </w:rPr>
      </w:pPr>
      <w:r>
        <w:rPr>
          <w:rFonts w:hint="eastAsia" w:hAnsi="黑体" w:cs="黑体"/>
          <w:b/>
          <w:bCs w:val="0"/>
          <w:color w:val="auto"/>
          <w:kern w:val="0"/>
          <w:sz w:val="44"/>
          <w:szCs w:val="44"/>
          <w:lang w:val="en-US" w:eastAsia="zh-CN" w:bidi="ar-SA"/>
        </w:rPr>
        <w:t>2022</w:t>
      </w:r>
      <w:r>
        <w:rPr>
          <w:rFonts w:hint="eastAsia" w:ascii="黑体" w:hAnsi="黑体" w:eastAsia="黑体" w:cs="黑体"/>
          <w:b/>
          <w:bCs w:val="0"/>
          <w:color w:val="auto"/>
          <w:kern w:val="0"/>
          <w:sz w:val="44"/>
          <w:szCs w:val="44"/>
          <w:lang w:val="en-US" w:eastAsia="zh-CN" w:bidi="ar-SA"/>
        </w:rPr>
        <w:t>年度</w:t>
      </w:r>
      <w:r>
        <w:rPr>
          <w:rFonts w:hint="eastAsia" w:hAnsi="黑体" w:cs="黑体"/>
          <w:b/>
          <w:bCs w:val="0"/>
          <w:color w:val="auto"/>
          <w:kern w:val="0"/>
          <w:sz w:val="44"/>
          <w:szCs w:val="44"/>
          <w:lang w:val="en-US" w:eastAsia="zh-CN" w:bidi="ar-SA"/>
        </w:rPr>
        <w:t xml:space="preserve"> </w:t>
      </w:r>
      <w:r>
        <w:rPr>
          <w:rFonts w:hint="eastAsia" w:ascii="黑体" w:hAnsi="黑体" w:eastAsia="黑体" w:cs="黑体"/>
          <w:b/>
          <w:bCs w:val="0"/>
          <w:color w:val="auto"/>
          <w:kern w:val="0"/>
          <w:sz w:val="44"/>
          <w:szCs w:val="44"/>
          <w:lang w:val="en-US" w:eastAsia="zh-CN" w:bidi="ar-SA"/>
        </w:rPr>
        <w:t>湘潭县看守所部门决算</w:t>
      </w:r>
    </w:p>
    <w:p w14:paraId="0761B2ED">
      <w:pPr>
        <w:pStyle w:val="12"/>
        <w:spacing w:line="500" w:lineRule="exact"/>
        <w:jc w:val="center"/>
        <w:rPr>
          <w:rFonts w:hint="eastAsia"/>
          <w:b/>
          <w:bCs/>
          <w:sz w:val="36"/>
          <w:szCs w:val="36"/>
        </w:rPr>
      </w:pPr>
    </w:p>
    <w:p w14:paraId="3E30E2C9">
      <w:pPr>
        <w:pStyle w:val="12"/>
        <w:spacing w:line="500" w:lineRule="exact"/>
        <w:jc w:val="center"/>
        <w:rPr>
          <w:rFonts w:cs="Times New Roman"/>
          <w:b/>
          <w:bCs/>
          <w:sz w:val="36"/>
          <w:szCs w:val="36"/>
        </w:rPr>
      </w:pPr>
      <w:r>
        <w:rPr>
          <w:rFonts w:hint="eastAsia"/>
          <w:b/>
          <w:bCs/>
          <w:sz w:val="36"/>
          <w:szCs w:val="36"/>
        </w:rPr>
        <w:t>目录</w:t>
      </w:r>
    </w:p>
    <w:p w14:paraId="58D1F49E">
      <w:pPr>
        <w:pStyle w:val="12"/>
        <w:keepNext w:val="0"/>
        <w:keepLines w:val="0"/>
        <w:pageBreakBefore w:val="0"/>
        <w:widowControl w:val="0"/>
        <w:kinsoku/>
        <w:wordWrap/>
        <w:overflowPunct/>
        <w:topLinePunct w:val="0"/>
        <w:bidi w:val="0"/>
        <w:snapToGrid/>
        <w:spacing w:line="460" w:lineRule="exact"/>
        <w:ind w:firstLine="643" w:firstLineChars="200"/>
        <w:textAlignment w:val="auto"/>
        <w:rPr>
          <w:rFonts w:hint="eastAsia" w:ascii="黑体" w:hAnsi="黑体" w:eastAsia="黑体" w:cs="黑体"/>
          <w:b/>
          <w:bCs/>
          <w:color w:val="auto"/>
          <w:kern w:val="0"/>
          <w:sz w:val="32"/>
          <w:szCs w:val="32"/>
          <w:lang w:val="en-US" w:eastAsia="zh-CN" w:bidi="ar-SA"/>
        </w:rPr>
      </w:pPr>
      <w:r>
        <w:rPr>
          <w:rFonts w:hint="eastAsia" w:ascii="黑体" w:hAnsi="黑体" w:eastAsia="黑体" w:cs="黑体"/>
          <w:b/>
          <w:bCs/>
          <w:color w:val="auto"/>
          <w:kern w:val="0"/>
          <w:sz w:val="32"/>
          <w:szCs w:val="32"/>
          <w:lang w:val="en-US" w:eastAsia="zh-CN" w:bidi="ar-SA"/>
        </w:rPr>
        <w:t>第一部分</w:t>
      </w:r>
      <w:r>
        <w:rPr>
          <w:rFonts w:hint="eastAsia" w:hAnsi="黑体" w:cs="黑体"/>
          <w:b/>
          <w:bCs/>
          <w:color w:val="auto"/>
          <w:kern w:val="0"/>
          <w:sz w:val="32"/>
          <w:szCs w:val="32"/>
          <w:lang w:val="en-US" w:eastAsia="zh-CN" w:bidi="ar-SA"/>
        </w:rPr>
        <w:t xml:space="preserve"> </w:t>
      </w:r>
      <w:r>
        <w:rPr>
          <w:rFonts w:hint="eastAsia" w:ascii="黑体" w:hAnsi="黑体" w:eastAsia="黑体" w:cs="黑体"/>
          <w:b/>
          <w:bCs/>
          <w:color w:val="auto"/>
          <w:kern w:val="0"/>
          <w:sz w:val="32"/>
          <w:szCs w:val="32"/>
          <w:lang w:val="en-US" w:eastAsia="zh-CN" w:bidi="ar-SA"/>
        </w:rPr>
        <w:t>湘潭县看守所概况</w:t>
      </w:r>
    </w:p>
    <w:p w14:paraId="15FCB1B3">
      <w:pPr>
        <w:pStyle w:val="12"/>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14:paraId="4A70051E">
      <w:pPr>
        <w:pStyle w:val="12"/>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14:paraId="41F57112">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第二部分</w:t>
      </w:r>
      <w:r>
        <w:rPr>
          <w:rFonts w:hint="eastAsia" w:ascii="黑体" w:hAnsi="黑体" w:eastAsia="黑体" w:cs="黑体"/>
          <w:b/>
          <w:bCs/>
          <w:kern w:val="0"/>
          <w:sz w:val="32"/>
          <w:szCs w:val="32"/>
          <w:lang w:eastAsia="zh-CN"/>
        </w:rPr>
        <w:t>2022</w:t>
      </w:r>
      <w:r>
        <w:rPr>
          <w:rFonts w:hint="eastAsia" w:ascii="黑体" w:hAnsi="黑体" w:eastAsia="黑体" w:cs="黑体"/>
          <w:b/>
          <w:bCs/>
          <w:kern w:val="0"/>
          <w:sz w:val="32"/>
          <w:szCs w:val="32"/>
        </w:rPr>
        <w:t>年度部门决算表</w:t>
      </w:r>
    </w:p>
    <w:p w14:paraId="109D45BB">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一、收入支出决算总表</w:t>
      </w:r>
    </w:p>
    <w:p w14:paraId="60AE4920">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二、收入决算表</w:t>
      </w:r>
    </w:p>
    <w:p w14:paraId="042C08C3">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三、支出决算表</w:t>
      </w:r>
    </w:p>
    <w:p w14:paraId="12C1F1F6">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四、财政拨款收入支出决算总表</w:t>
      </w:r>
    </w:p>
    <w:p w14:paraId="0BCDCBA3">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五、一般公共预算财政拨款支出决算表</w:t>
      </w:r>
    </w:p>
    <w:p w14:paraId="0C394912">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六、一般公共预算财政拨款基本支出决算表</w:t>
      </w:r>
    </w:p>
    <w:p w14:paraId="5448D244">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七、一般公共预算财政拨款“三公”经费支出决算表</w:t>
      </w:r>
    </w:p>
    <w:p w14:paraId="61061624">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八、政府性基金预算财政拨款收入支出决算表</w:t>
      </w:r>
    </w:p>
    <w:p w14:paraId="64C5D248">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14:paraId="5C0AE657">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第三部分</w:t>
      </w:r>
      <w:r>
        <w:rPr>
          <w:rFonts w:hint="eastAsia" w:ascii="黑体" w:hAnsi="黑体" w:eastAsia="黑体" w:cs="黑体"/>
          <w:b/>
          <w:bCs/>
          <w:kern w:val="0"/>
          <w:sz w:val="32"/>
          <w:szCs w:val="32"/>
          <w:lang w:eastAsia="zh-CN"/>
        </w:rPr>
        <w:t>2022</w:t>
      </w:r>
      <w:r>
        <w:rPr>
          <w:rFonts w:hint="eastAsia" w:ascii="黑体" w:hAnsi="黑体" w:eastAsia="黑体" w:cs="黑体"/>
          <w:b/>
          <w:bCs/>
          <w:kern w:val="0"/>
          <w:sz w:val="32"/>
          <w:szCs w:val="32"/>
        </w:rPr>
        <w:t>年度部门决算情况说明</w:t>
      </w:r>
    </w:p>
    <w:p w14:paraId="0450174E">
      <w:pPr>
        <w:pStyle w:val="12"/>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14:paraId="1C137A9C">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14:paraId="6CB0C37C">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14:paraId="523DBB33">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14:paraId="40BDBAD2">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14:paraId="0BE318F7">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14:paraId="0302E84C">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14:paraId="73B7B7B5">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14:paraId="571312B4">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14:paraId="73CD5120">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14:paraId="1465EFB5">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14:paraId="12F59733">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名词解释</w:t>
      </w:r>
    </w:p>
    <w:p w14:paraId="57A5CE8F">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附件</w:t>
      </w:r>
    </w:p>
    <w:p w14:paraId="4AC89B73">
      <w:pPr>
        <w:pStyle w:val="12"/>
        <w:jc w:val="center"/>
        <w:rPr>
          <w:rFonts w:hint="eastAsia" w:ascii="宋体" w:hAnsi="宋体" w:eastAsia="宋体" w:cs="宋体"/>
          <w:sz w:val="72"/>
          <w:szCs w:val="72"/>
        </w:rPr>
      </w:pPr>
    </w:p>
    <w:p w14:paraId="66166873">
      <w:pPr>
        <w:pStyle w:val="12"/>
        <w:jc w:val="center"/>
        <w:rPr>
          <w:rFonts w:hint="eastAsia" w:ascii="宋体" w:hAnsi="宋体" w:eastAsia="宋体" w:cs="宋体"/>
          <w:sz w:val="72"/>
          <w:szCs w:val="72"/>
        </w:rPr>
      </w:pPr>
    </w:p>
    <w:p w14:paraId="21D4914A">
      <w:pPr>
        <w:pStyle w:val="12"/>
        <w:jc w:val="center"/>
        <w:rPr>
          <w:rFonts w:hint="eastAsia" w:ascii="宋体" w:hAnsi="宋体" w:eastAsia="宋体" w:cs="宋体"/>
          <w:sz w:val="72"/>
          <w:szCs w:val="72"/>
        </w:rPr>
      </w:pPr>
    </w:p>
    <w:p w14:paraId="7176A605">
      <w:pPr>
        <w:pStyle w:val="12"/>
        <w:jc w:val="center"/>
        <w:rPr>
          <w:rFonts w:hint="eastAsia" w:ascii="宋体" w:hAnsi="宋体" w:eastAsia="宋体" w:cs="宋体"/>
          <w:sz w:val="72"/>
          <w:szCs w:val="72"/>
        </w:rPr>
      </w:pPr>
    </w:p>
    <w:p w14:paraId="6ADFB020">
      <w:pPr>
        <w:pStyle w:val="12"/>
        <w:jc w:val="center"/>
        <w:rPr>
          <w:rFonts w:hint="eastAsia" w:ascii="宋体" w:hAnsi="宋体" w:eastAsia="宋体" w:cs="宋体"/>
          <w:sz w:val="72"/>
          <w:szCs w:val="72"/>
        </w:rPr>
      </w:pPr>
    </w:p>
    <w:p w14:paraId="696DD000">
      <w:pPr>
        <w:pStyle w:val="12"/>
        <w:jc w:val="center"/>
        <w:rPr>
          <w:rFonts w:hint="eastAsia" w:ascii="宋体" w:hAnsi="宋体" w:eastAsia="宋体" w:cs="宋体"/>
          <w:sz w:val="72"/>
          <w:szCs w:val="72"/>
        </w:rPr>
      </w:pPr>
    </w:p>
    <w:p w14:paraId="59FAC4EA">
      <w:pPr>
        <w:pStyle w:val="12"/>
        <w:jc w:val="center"/>
        <w:rPr>
          <w:rFonts w:hint="eastAsia" w:ascii="宋体" w:hAnsi="宋体" w:eastAsia="宋体" w:cs="宋体"/>
          <w:sz w:val="72"/>
          <w:szCs w:val="72"/>
        </w:rPr>
      </w:pPr>
    </w:p>
    <w:p w14:paraId="5467BDBD">
      <w:pPr>
        <w:pStyle w:val="12"/>
        <w:jc w:val="center"/>
        <w:rPr>
          <w:rFonts w:hint="eastAsia" w:ascii="宋体" w:hAnsi="宋体" w:eastAsia="宋体" w:cs="宋体"/>
          <w:sz w:val="72"/>
          <w:szCs w:val="72"/>
        </w:rPr>
      </w:pPr>
    </w:p>
    <w:p w14:paraId="0907BA31">
      <w:pPr>
        <w:pStyle w:val="12"/>
        <w:jc w:val="center"/>
        <w:rPr>
          <w:rFonts w:hint="eastAsia" w:ascii="宋体" w:hAnsi="宋体" w:eastAsia="宋体" w:cs="宋体"/>
          <w:sz w:val="72"/>
          <w:szCs w:val="72"/>
        </w:rPr>
      </w:pPr>
    </w:p>
    <w:p w14:paraId="34732762">
      <w:pPr>
        <w:widowControl/>
        <w:spacing w:line="600" w:lineRule="exact"/>
        <w:jc w:val="center"/>
        <w:outlineLvl w:val="0"/>
        <w:rPr>
          <w:rFonts w:hint="eastAsia" w:ascii="黑体" w:hAnsi="黑体" w:eastAsia="黑体" w:cs="黑体"/>
          <w:b/>
          <w:bCs w:val="0"/>
          <w:kern w:val="0"/>
          <w:sz w:val="44"/>
          <w:szCs w:val="44"/>
        </w:rPr>
      </w:pPr>
    </w:p>
    <w:p w14:paraId="48BDE485">
      <w:pPr>
        <w:widowControl/>
        <w:spacing w:line="600" w:lineRule="exact"/>
        <w:jc w:val="center"/>
        <w:outlineLvl w:val="0"/>
        <w:rPr>
          <w:rFonts w:cs="Times New Roman"/>
          <w:sz w:val="72"/>
          <w:szCs w:val="72"/>
        </w:rPr>
      </w:pPr>
      <w:r>
        <w:rPr>
          <w:rFonts w:hint="eastAsia" w:ascii="黑体" w:hAnsi="黑体" w:eastAsia="黑体" w:cs="黑体"/>
          <w:b/>
          <w:bCs w:val="0"/>
          <w:kern w:val="0"/>
          <w:sz w:val="44"/>
          <w:szCs w:val="44"/>
        </w:rPr>
        <w:t>第一部分</w:t>
      </w:r>
      <w:r>
        <w:rPr>
          <w:rFonts w:hint="eastAsia" w:ascii="黑体" w:hAnsi="黑体" w:eastAsia="黑体" w:cs="黑体"/>
          <w:b/>
          <w:bCs w:val="0"/>
          <w:kern w:val="0"/>
          <w:sz w:val="44"/>
          <w:szCs w:val="44"/>
          <w:lang w:val="en-US" w:eastAsia="zh-CN"/>
        </w:rPr>
        <w:t xml:space="preserve"> 湘潭县看守所</w:t>
      </w:r>
      <w:r>
        <w:rPr>
          <w:rFonts w:hint="eastAsia" w:ascii="黑体" w:hAnsi="黑体" w:eastAsia="黑体" w:cs="黑体"/>
          <w:b/>
          <w:bCs w:val="0"/>
          <w:kern w:val="0"/>
          <w:sz w:val="44"/>
          <w:szCs w:val="44"/>
        </w:rPr>
        <w:t>单位概况</w:t>
      </w:r>
    </w:p>
    <w:p w14:paraId="0A942788">
      <w:pPr>
        <w:pStyle w:val="13"/>
        <w:numPr>
          <w:ilvl w:val="0"/>
          <w:numId w:val="0"/>
        </w:numPr>
        <w:ind w:leftChars="0"/>
        <w:jc w:val="left"/>
        <w:rPr>
          <w:rFonts w:ascii="黑体" w:hAnsi="黑体" w:eastAsia="黑体" w:cs="Times New Roman"/>
          <w:sz w:val="32"/>
          <w:szCs w:val="32"/>
        </w:rPr>
      </w:pPr>
    </w:p>
    <w:p w14:paraId="3AAA56A7">
      <w:pPr>
        <w:pStyle w:val="13"/>
        <w:numPr>
          <w:ilvl w:val="0"/>
          <w:numId w:val="1"/>
        </w:numPr>
        <w:ind w:firstLineChars="0"/>
        <w:jc w:val="left"/>
        <w:rPr>
          <w:rFonts w:hint="eastAsia" w:ascii="黑体" w:hAnsi="黑体" w:eastAsia="黑体" w:cs="Times New Roman"/>
          <w:bCs/>
          <w:kern w:val="0"/>
          <w:sz w:val="32"/>
          <w:szCs w:val="32"/>
          <w:lang w:val="en-US" w:eastAsia="zh-CN" w:bidi="ar-SA"/>
        </w:rPr>
      </w:pPr>
      <w:r>
        <w:rPr>
          <w:rFonts w:hint="eastAsia" w:ascii="黑体" w:hAnsi="黑体" w:eastAsia="黑体" w:cs="Times New Roman"/>
          <w:bCs/>
          <w:kern w:val="0"/>
          <w:sz w:val="32"/>
          <w:szCs w:val="32"/>
          <w:lang w:val="en-US" w:eastAsia="zh-CN" w:bidi="ar-SA"/>
        </w:rPr>
        <w:t>部门职责</w:t>
      </w:r>
    </w:p>
    <w:p w14:paraId="6C132C6E">
      <w:pPr>
        <w:autoSpaceDE w:val="0"/>
        <w:autoSpaceDN w:val="0"/>
        <w:adjustRightInd w:val="0"/>
        <w:spacing w:line="600" w:lineRule="exact"/>
        <w:jc w:val="left"/>
        <w:rPr>
          <w:rFonts w:hint="eastAsia" w:eastAsia="仿宋_GB2312"/>
          <w:color w:val="000000"/>
          <w:kern w:val="0"/>
          <w:sz w:val="32"/>
          <w:szCs w:val="32"/>
        </w:rPr>
      </w:pPr>
      <w:r>
        <w:rPr>
          <w:rFonts w:hint="eastAsia" w:eastAsia="仿宋_GB2312"/>
          <w:color w:val="000000"/>
          <w:kern w:val="0"/>
          <w:sz w:val="32"/>
          <w:szCs w:val="32"/>
          <w:lang w:val="en-US" w:eastAsia="zh-CN"/>
        </w:rPr>
        <w:t>（一）</w:t>
      </w:r>
      <w:r>
        <w:rPr>
          <w:rFonts w:hint="eastAsia" w:eastAsia="仿宋_GB2312"/>
          <w:color w:val="000000"/>
          <w:kern w:val="0"/>
          <w:sz w:val="32"/>
          <w:szCs w:val="32"/>
        </w:rPr>
        <w:t>对被羁押的犯罪嫌疑人、被告人实行警戒看守，管理教育；</w:t>
      </w:r>
    </w:p>
    <w:p w14:paraId="2D6A5E76">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（二）</w:t>
      </w:r>
      <w:r>
        <w:rPr>
          <w:rFonts w:hint="eastAsia" w:eastAsia="仿宋_GB2312"/>
          <w:color w:val="000000"/>
          <w:kern w:val="0"/>
          <w:sz w:val="32"/>
          <w:szCs w:val="32"/>
        </w:rPr>
        <w:t>保障侦查机关、检察机关、审判机关、辩护人等诉讼参与人依法进行诉讼活动；</w:t>
      </w:r>
    </w:p>
    <w:p w14:paraId="59D1863C">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（三）</w:t>
      </w:r>
      <w:r>
        <w:rPr>
          <w:rFonts w:hint="eastAsia" w:eastAsia="仿宋_GB2312"/>
          <w:color w:val="000000"/>
          <w:kern w:val="0"/>
          <w:sz w:val="32"/>
          <w:szCs w:val="32"/>
        </w:rPr>
        <w:t>保障犯罪嫌疑人、被告人的诉讼权利和其他合法权益；</w:t>
      </w:r>
    </w:p>
    <w:p w14:paraId="2C82ECFC">
      <w:pPr>
        <w:autoSpaceDE w:val="0"/>
        <w:autoSpaceDN w:val="0"/>
        <w:adjustRightInd w:val="0"/>
        <w:spacing w:line="600" w:lineRule="exact"/>
        <w:jc w:val="left"/>
        <w:rPr>
          <w:rFonts w:eastAsia="仿宋_GB2312"/>
          <w:color w:val="000000"/>
          <w:kern w:val="0"/>
          <w:sz w:val="32"/>
          <w:szCs w:val="32"/>
        </w:rPr>
      </w:pPr>
      <w:r>
        <w:rPr>
          <w:rFonts w:hint="eastAsia" w:eastAsia="仿宋_GB2312"/>
          <w:color w:val="000000"/>
          <w:kern w:val="0"/>
          <w:sz w:val="32"/>
          <w:szCs w:val="32"/>
          <w:lang w:val="en-US" w:eastAsia="zh-CN"/>
        </w:rPr>
        <w:t>（四）</w:t>
      </w:r>
      <w:r>
        <w:rPr>
          <w:rFonts w:hint="eastAsia" w:eastAsia="仿宋_GB2312"/>
          <w:color w:val="000000"/>
          <w:kern w:val="0"/>
          <w:sz w:val="32"/>
          <w:szCs w:val="32"/>
        </w:rPr>
        <w:t>将罪犯交付执行刑罚；</w:t>
      </w:r>
    </w:p>
    <w:p w14:paraId="549E218A">
      <w:pPr>
        <w:autoSpaceDE w:val="0"/>
        <w:autoSpaceDN w:val="0"/>
        <w:adjustRightInd w:val="0"/>
        <w:spacing w:line="600" w:lineRule="exact"/>
        <w:jc w:val="left"/>
        <w:rPr>
          <w:rFonts w:ascii="宋体" w:cs="Times New Roman"/>
          <w:sz w:val="32"/>
          <w:szCs w:val="32"/>
        </w:rPr>
      </w:pPr>
      <w:r>
        <w:rPr>
          <w:rFonts w:hint="eastAsia" w:eastAsia="仿宋_GB2312"/>
          <w:color w:val="000000"/>
          <w:kern w:val="0"/>
          <w:sz w:val="32"/>
          <w:szCs w:val="32"/>
          <w:lang w:val="en-US" w:eastAsia="zh-CN"/>
        </w:rPr>
        <w:t>（五）</w:t>
      </w:r>
      <w:r>
        <w:rPr>
          <w:rFonts w:hint="eastAsia" w:eastAsia="仿宋_GB2312"/>
          <w:color w:val="000000"/>
          <w:kern w:val="0"/>
          <w:sz w:val="32"/>
          <w:szCs w:val="32"/>
        </w:rPr>
        <w:t>对依法由看守所执行刑罚的罪犯执行刑罚。</w:t>
      </w:r>
    </w:p>
    <w:p w14:paraId="3CACB822">
      <w:pPr>
        <w:widowControl/>
        <w:spacing w:line="600" w:lineRule="exact"/>
        <w:outlineLvl w:val="1"/>
        <w:rPr>
          <w:rFonts w:hint="eastAsia"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14:paraId="32D17EEA">
      <w:pPr>
        <w:widowControl/>
        <w:spacing w:line="600" w:lineRule="exact"/>
        <w:rPr>
          <w:rFonts w:hint="eastAsia" w:eastAsia="仿宋_GB2312"/>
          <w:color w:val="000000"/>
          <w:kern w:val="0"/>
          <w:sz w:val="32"/>
          <w:szCs w:val="32"/>
        </w:rPr>
      </w:pPr>
      <w:bookmarkStart w:id="3" w:name="_GoBack"/>
      <w:bookmarkEnd w:id="3"/>
      <w:r>
        <w:rPr>
          <w:rFonts w:hint="eastAsia" w:ascii="楷体_GB2312" w:hAnsi="宋体" w:eastAsia="楷体_GB2312" w:cs="Times New Roman"/>
          <w:b/>
          <w:bCs/>
          <w:kern w:val="0"/>
          <w:sz w:val="32"/>
          <w:szCs w:val="32"/>
        </w:rPr>
        <w:t>（一）内设机构设置。</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内设机构包括：</w:t>
      </w:r>
      <w:r>
        <w:rPr>
          <w:rFonts w:hint="eastAsia" w:eastAsia="仿宋_GB2312"/>
          <w:color w:val="000000"/>
          <w:kern w:val="0"/>
          <w:sz w:val="32"/>
          <w:szCs w:val="32"/>
          <w:lang w:eastAsia="zh-CN"/>
        </w:rPr>
        <w:t>2022</w:t>
      </w:r>
      <w:r>
        <w:rPr>
          <w:rFonts w:hint="eastAsia" w:eastAsia="仿宋_GB2312"/>
          <w:color w:val="000000"/>
          <w:kern w:val="0"/>
          <w:sz w:val="32"/>
          <w:szCs w:val="32"/>
        </w:rPr>
        <w:t>年本单位属湘潭县公安局二级机构，由0个下属机构组成。</w:t>
      </w:r>
      <w:r>
        <w:rPr>
          <w:rFonts w:hint="eastAsia" w:ascii="仿宋_GB2312" w:eastAsia="仿宋_GB2312"/>
          <w:sz w:val="32"/>
          <w:szCs w:val="32"/>
        </w:rPr>
        <w:t>核定政法专项编制 2</w:t>
      </w:r>
      <w:r>
        <w:rPr>
          <w:rFonts w:hint="eastAsia" w:ascii="仿宋_GB2312" w:eastAsia="仿宋_GB2312"/>
          <w:sz w:val="32"/>
          <w:szCs w:val="32"/>
          <w:lang w:val="en-US" w:eastAsia="zh-CN"/>
        </w:rPr>
        <w:t>7</w:t>
      </w:r>
      <w:r>
        <w:rPr>
          <w:rFonts w:hint="eastAsia" w:ascii="仿宋_GB2312" w:eastAsia="仿宋_GB2312"/>
          <w:sz w:val="32"/>
          <w:szCs w:val="32"/>
        </w:rPr>
        <w:t>名。</w:t>
      </w:r>
      <w:r>
        <w:rPr>
          <w:rFonts w:eastAsia="仿宋_GB2312"/>
          <w:sz w:val="32"/>
          <w:szCs w:val="32"/>
        </w:rPr>
        <w:t>现有编制人数</w:t>
      </w:r>
      <w:r>
        <w:rPr>
          <w:rFonts w:hint="eastAsia" w:eastAsia="仿宋_GB2312"/>
          <w:sz w:val="32"/>
          <w:szCs w:val="32"/>
          <w:lang w:val="en-US" w:eastAsia="zh-CN"/>
        </w:rPr>
        <w:t>27</w:t>
      </w:r>
      <w:r>
        <w:rPr>
          <w:rFonts w:eastAsia="仿宋_GB2312"/>
          <w:sz w:val="32"/>
          <w:szCs w:val="32"/>
        </w:rPr>
        <w:t>人，实有在职人员</w:t>
      </w:r>
      <w:r>
        <w:rPr>
          <w:rFonts w:hint="eastAsia" w:eastAsia="仿宋_GB2312"/>
          <w:sz w:val="32"/>
          <w:szCs w:val="32"/>
          <w:lang w:val="en-US" w:eastAsia="zh-CN"/>
        </w:rPr>
        <w:t>27</w:t>
      </w:r>
      <w:r>
        <w:rPr>
          <w:rFonts w:eastAsia="仿宋_GB2312"/>
          <w:sz w:val="32"/>
          <w:szCs w:val="32"/>
        </w:rPr>
        <w:t>人，公</w:t>
      </w:r>
      <w:r>
        <w:rPr>
          <w:rFonts w:hint="eastAsia" w:eastAsia="仿宋_GB2312"/>
          <w:sz w:val="32"/>
          <w:szCs w:val="32"/>
          <w:lang w:eastAsia="zh-CN"/>
        </w:rPr>
        <w:t>用</w:t>
      </w:r>
      <w:r>
        <w:rPr>
          <w:rFonts w:hint="eastAsia" w:ascii="仿宋" w:hAnsi="仿宋" w:eastAsia="仿宋"/>
          <w:sz w:val="32"/>
          <w:szCs w:val="32"/>
        </w:rPr>
        <w:t>运兵车</w:t>
      </w:r>
      <w:r>
        <w:rPr>
          <w:rFonts w:eastAsia="仿宋_GB2312"/>
          <w:sz w:val="32"/>
          <w:szCs w:val="32"/>
        </w:rPr>
        <w:t>车</w:t>
      </w:r>
      <w:r>
        <w:rPr>
          <w:rFonts w:hint="eastAsia" w:eastAsia="仿宋_GB2312"/>
          <w:sz w:val="32"/>
          <w:szCs w:val="32"/>
          <w:lang w:val="en-US" w:eastAsia="zh-CN"/>
        </w:rPr>
        <w:t>1台</w:t>
      </w:r>
      <w:r>
        <w:rPr>
          <w:rFonts w:eastAsia="仿宋_GB2312"/>
          <w:sz w:val="32"/>
          <w:szCs w:val="32"/>
        </w:rPr>
        <w:t>。</w:t>
      </w:r>
    </w:p>
    <w:p w14:paraId="61627272">
      <w:pPr>
        <w:widowControl/>
        <w:spacing w:line="600" w:lineRule="exact"/>
        <w:rPr>
          <w:rFonts w:hint="eastAsia" w:eastAsia="仿宋_GB2312"/>
          <w:color w:val="000000"/>
          <w:kern w:val="0"/>
          <w:sz w:val="32"/>
          <w:szCs w:val="32"/>
          <w:lang w:eastAsia="zh-CN"/>
        </w:rPr>
      </w:pPr>
      <w:r>
        <w:rPr>
          <w:rFonts w:hint="eastAsia" w:ascii="楷体_GB2312" w:hAnsi="宋体" w:eastAsia="楷体_GB2312" w:cs="Times New Roman"/>
          <w:b/>
          <w:bCs/>
          <w:kern w:val="0"/>
          <w:sz w:val="32"/>
          <w:szCs w:val="32"/>
        </w:rPr>
        <w:t>（二）决算单位构成。</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lang w:eastAsia="zh-CN"/>
        </w:rPr>
        <w:t>2022</w:t>
      </w:r>
      <w:r>
        <w:rPr>
          <w:rFonts w:hint="eastAsia" w:eastAsia="仿宋_GB2312"/>
          <w:color w:val="000000"/>
          <w:kern w:val="0"/>
          <w:sz w:val="32"/>
          <w:szCs w:val="32"/>
        </w:rPr>
        <w:t>年部门决算汇总公开单位构成包括：</w:t>
      </w:r>
      <w:r>
        <w:rPr>
          <w:rFonts w:hint="eastAsia" w:eastAsia="仿宋_GB2312"/>
          <w:color w:val="000000"/>
          <w:kern w:val="0"/>
          <w:sz w:val="32"/>
          <w:szCs w:val="32"/>
          <w:lang w:val="en-US" w:eastAsia="zh-CN"/>
        </w:rPr>
        <w:t>湘潭县看守所</w:t>
      </w:r>
      <w:r>
        <w:rPr>
          <w:rFonts w:hint="eastAsia" w:eastAsia="仿宋_GB2312"/>
          <w:color w:val="000000"/>
          <w:kern w:val="0"/>
          <w:sz w:val="32"/>
          <w:szCs w:val="32"/>
        </w:rPr>
        <w:t>单位本级</w:t>
      </w:r>
      <w:r>
        <w:rPr>
          <w:rFonts w:hint="eastAsia" w:eastAsia="仿宋_GB2312"/>
          <w:color w:val="000000"/>
          <w:kern w:val="0"/>
          <w:sz w:val="32"/>
          <w:szCs w:val="32"/>
          <w:lang w:eastAsia="zh-CN"/>
        </w:rPr>
        <w:t>。</w:t>
      </w:r>
    </w:p>
    <w:p w14:paraId="1406F3D9">
      <w:pPr>
        <w:jc w:val="left"/>
        <w:rPr>
          <w:rFonts w:ascii="仿宋_GB2312" w:hAnsi="宋体" w:eastAsia="仿宋_GB2312" w:cs="Times New Roman"/>
          <w:sz w:val="28"/>
          <w:szCs w:val="28"/>
        </w:rPr>
      </w:pPr>
    </w:p>
    <w:p w14:paraId="291E5908">
      <w:pPr>
        <w:jc w:val="center"/>
        <w:rPr>
          <w:rFonts w:ascii="黑体" w:hAnsi="黑体" w:eastAsia="黑体" w:cs="Times New Roman"/>
          <w:sz w:val="28"/>
          <w:szCs w:val="28"/>
        </w:rPr>
      </w:pPr>
    </w:p>
    <w:p w14:paraId="0DC6CC13">
      <w:pPr>
        <w:jc w:val="center"/>
        <w:rPr>
          <w:rFonts w:ascii="黑体" w:hAnsi="黑体" w:eastAsia="黑体" w:cs="Times New Roman"/>
          <w:sz w:val="28"/>
          <w:szCs w:val="28"/>
        </w:rPr>
      </w:pPr>
    </w:p>
    <w:p w14:paraId="654C3081">
      <w:pPr>
        <w:jc w:val="center"/>
        <w:rPr>
          <w:rFonts w:ascii="黑体" w:hAnsi="黑体" w:eastAsia="黑体" w:cs="Times New Roman"/>
          <w:sz w:val="28"/>
          <w:szCs w:val="28"/>
        </w:rPr>
      </w:pPr>
    </w:p>
    <w:p w14:paraId="048E5322">
      <w:pPr>
        <w:jc w:val="center"/>
        <w:rPr>
          <w:rFonts w:hint="eastAsia" w:cs="宋体"/>
          <w:sz w:val="72"/>
          <w:szCs w:val="72"/>
        </w:rPr>
      </w:pPr>
    </w:p>
    <w:p w14:paraId="7EFEC531">
      <w:pPr>
        <w:widowControl/>
        <w:spacing w:line="600" w:lineRule="exact"/>
        <w:jc w:val="center"/>
        <w:outlineLvl w:val="0"/>
        <w:rPr>
          <w:rFonts w:hint="eastAsia" w:ascii="黑体" w:hAnsi="黑体" w:eastAsia="黑体" w:cs="黑体"/>
          <w:bCs/>
          <w:kern w:val="0"/>
          <w:sz w:val="44"/>
          <w:szCs w:val="44"/>
        </w:rPr>
      </w:pPr>
    </w:p>
    <w:p w14:paraId="0408FC0B">
      <w:pPr>
        <w:widowControl/>
        <w:spacing w:line="600" w:lineRule="exact"/>
        <w:jc w:val="center"/>
        <w:outlineLvl w:val="0"/>
        <w:rPr>
          <w:rFonts w:hint="eastAsia" w:ascii="黑体" w:hAnsi="黑体" w:eastAsia="黑体" w:cs="黑体"/>
          <w:bCs/>
          <w:kern w:val="0"/>
          <w:sz w:val="44"/>
          <w:szCs w:val="44"/>
        </w:rPr>
      </w:pPr>
      <w:r>
        <w:rPr>
          <w:rFonts w:hint="eastAsia" w:ascii="黑体" w:hAnsi="黑体" w:eastAsia="黑体" w:cs="黑体"/>
          <w:bCs/>
          <w:kern w:val="0"/>
          <w:sz w:val="44"/>
          <w:szCs w:val="44"/>
        </w:rPr>
        <w:t>第二部分</w:t>
      </w:r>
      <w:r>
        <w:rPr>
          <w:rFonts w:hint="eastAsia" w:ascii="黑体" w:hAnsi="黑体" w:eastAsia="黑体" w:cs="黑体"/>
          <w:bCs/>
          <w:kern w:val="0"/>
          <w:sz w:val="44"/>
          <w:szCs w:val="44"/>
          <w:lang w:val="en-US" w:eastAsia="zh-CN"/>
        </w:rPr>
        <w:t xml:space="preserve"> </w:t>
      </w:r>
      <w:r>
        <w:rPr>
          <w:rFonts w:hint="eastAsia" w:ascii="黑体" w:hAnsi="黑体" w:eastAsia="黑体" w:cs="黑体"/>
          <w:bCs/>
          <w:kern w:val="0"/>
          <w:sz w:val="44"/>
          <w:szCs w:val="44"/>
        </w:rPr>
        <w:t>部门决算表</w:t>
      </w:r>
    </w:p>
    <w:p w14:paraId="12738859">
      <w:pPr>
        <w:jc w:val="center"/>
        <w:rPr>
          <w:rFonts w:hint="eastAsia" w:cs="宋体"/>
          <w:sz w:val="72"/>
          <w:szCs w:val="72"/>
        </w:rPr>
      </w:pPr>
    </w:p>
    <w:p w14:paraId="0B794F7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14:paraId="102805EF">
      <w:pPr>
        <w:jc w:val="left"/>
        <w:rPr>
          <w:rFonts w:ascii="宋体" w:cs="Times New Roman"/>
          <w:sz w:val="32"/>
          <w:szCs w:val="32"/>
        </w:rPr>
        <w:sectPr>
          <w:pgSz w:w="11906" w:h="16838"/>
          <w:pgMar w:top="1440" w:right="1797" w:bottom="1440" w:left="1797" w:header="851" w:footer="992" w:gutter="0"/>
          <w:cols w:space="0" w:num="1"/>
          <w:rtlGutter w:val="0"/>
          <w:docGrid w:type="lines" w:linePitch="312" w:charSpace="0"/>
        </w:sectPr>
      </w:pPr>
    </w:p>
    <w:tbl>
      <w:tblPr>
        <w:tblStyle w:val="7"/>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14:paraId="5055EFC2">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14:paraId="17177283">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63077315">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37684ECB">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027E0113">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4311FA32">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25FFC3A0">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3ED8801B">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41B49C8C">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715C14A4">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2830D10E">
            <w:pPr>
              <w:widowControl/>
              <w:jc w:val="left"/>
              <w:rPr>
                <w:rFonts w:ascii="宋体" w:hAnsi="宋体" w:cs="宋体"/>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rPr>
              <w:t>湘潭县看守所</w:t>
            </w:r>
          </w:p>
        </w:tc>
        <w:tc>
          <w:tcPr>
            <w:tcW w:w="697" w:type="dxa"/>
            <w:gridSpan w:val="2"/>
            <w:tcBorders>
              <w:top w:val="nil"/>
              <w:left w:val="nil"/>
              <w:bottom w:val="nil"/>
              <w:right w:val="nil"/>
            </w:tcBorders>
            <w:shd w:val="clear" w:color="000000" w:fill="FFFFFF"/>
            <w:noWrap/>
            <w:vAlign w:val="center"/>
          </w:tcPr>
          <w:p w14:paraId="5EC9D1D5">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58A7AAD1">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6F2870AB">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31D44F50">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7B4FB119">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C18EDBC">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50070E8">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5F2A736B">
            <w:pPr>
              <w:widowControl/>
              <w:jc w:val="center"/>
              <w:rPr>
                <w:rFonts w:ascii="宋体" w:cs="Times New Roman"/>
                <w:kern w:val="0"/>
                <w:sz w:val="24"/>
                <w:szCs w:val="24"/>
              </w:rPr>
            </w:pPr>
            <w:r>
              <w:rPr>
                <w:rFonts w:hint="eastAsia" w:ascii="宋体" w:hAnsi="宋体" w:cs="宋体"/>
                <w:kern w:val="0"/>
                <w:sz w:val="24"/>
                <w:szCs w:val="24"/>
              </w:rPr>
              <w:t>支出</w:t>
            </w:r>
          </w:p>
        </w:tc>
      </w:tr>
      <w:tr w14:paraId="52C6761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E804AA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3C63DBDC">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5798BDAD">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369F68AD">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14:paraId="4FD63482">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12733A63">
            <w:pPr>
              <w:widowControl/>
              <w:jc w:val="center"/>
              <w:rPr>
                <w:rFonts w:ascii="宋体" w:cs="Times New Roman"/>
                <w:kern w:val="0"/>
                <w:sz w:val="24"/>
                <w:szCs w:val="24"/>
              </w:rPr>
            </w:pPr>
            <w:r>
              <w:rPr>
                <w:rFonts w:hint="eastAsia" w:ascii="宋体" w:hAnsi="宋体" w:cs="宋体"/>
                <w:kern w:val="0"/>
                <w:sz w:val="24"/>
                <w:szCs w:val="24"/>
              </w:rPr>
              <w:t>决算数</w:t>
            </w:r>
          </w:p>
        </w:tc>
      </w:tr>
      <w:tr w14:paraId="0F102EA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528FEF4">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703106AD">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27DB8BD1">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B91ABC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14:paraId="68254AC3">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63D34036">
            <w:pPr>
              <w:widowControl/>
              <w:jc w:val="center"/>
              <w:rPr>
                <w:rFonts w:ascii="宋体" w:cs="Times New Roman"/>
                <w:kern w:val="0"/>
                <w:sz w:val="24"/>
                <w:szCs w:val="24"/>
              </w:rPr>
            </w:pPr>
            <w:r>
              <w:rPr>
                <w:rFonts w:ascii="宋体" w:hAnsi="宋体" w:cs="宋体"/>
                <w:kern w:val="0"/>
                <w:sz w:val="24"/>
                <w:szCs w:val="24"/>
              </w:rPr>
              <w:t>2</w:t>
            </w:r>
          </w:p>
        </w:tc>
      </w:tr>
      <w:tr w14:paraId="62BEBA0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0819A60">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06E15FD1">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14:paraId="76AC4A59">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366.19</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014A28B">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53FFDE56">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14:paraId="371B3D47">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r>
      <w:tr w14:paraId="293F5C5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21259CC">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F200560">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14:paraId="313FE3F9">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500CD0B">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31A3B3CF">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14:paraId="1EC40480">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1F6184C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55A3C24">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311490A6">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14:paraId="2DB218B3">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560094B4">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14487A04">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14:paraId="7D0F7144">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3DDE987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322D94D">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11879CCB">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14:paraId="6A5FBBD4">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FD759D0">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7EA288C7">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14:paraId="7C695085">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394.73</w:t>
            </w:r>
          </w:p>
        </w:tc>
      </w:tr>
      <w:tr w14:paraId="0791AE1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5CAED37">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3BC25897">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14:paraId="11CCD442">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09A0E167">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3C350BE6">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14:paraId="533D02A7">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2900504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9854C80">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783D424B">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14:paraId="35DE30E8">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2A3A6D8">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3633D819">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14:paraId="0B428902">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7F717E3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5169A6B">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50A3DF4F">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14:paraId="60622F05">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14:paraId="5851297B">
            <w:pPr>
              <w:widowControl/>
              <w:jc w:val="left"/>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14:paraId="67936670">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14:paraId="0CC70409">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5875B2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3A417B2">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4D390460">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14:paraId="71E24E87">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28.54</w:t>
            </w:r>
          </w:p>
        </w:tc>
        <w:tc>
          <w:tcPr>
            <w:tcW w:w="3798" w:type="dxa"/>
            <w:gridSpan w:val="3"/>
            <w:tcBorders>
              <w:top w:val="nil"/>
              <w:left w:val="nil"/>
              <w:bottom w:val="single" w:color="auto" w:sz="4" w:space="0"/>
              <w:right w:val="single" w:color="auto" w:sz="4" w:space="0"/>
            </w:tcBorders>
            <w:noWrap/>
            <w:vAlign w:val="center"/>
          </w:tcPr>
          <w:p w14:paraId="11B33532">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14:paraId="4C770522">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14:paraId="54A2A93F">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538E49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9357CA5">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6B0FD4E2">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14:paraId="1214F474">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14:paraId="3F784F70">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14:paraId="1CFF94AC">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14:paraId="2EEAEAC6">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14:paraId="526A112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8B94DED">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5A17F8E3">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14:paraId="56FE2081">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394.73</w:t>
            </w:r>
          </w:p>
        </w:tc>
        <w:tc>
          <w:tcPr>
            <w:tcW w:w="3798" w:type="dxa"/>
            <w:gridSpan w:val="3"/>
            <w:tcBorders>
              <w:top w:val="nil"/>
              <w:left w:val="nil"/>
              <w:bottom w:val="single" w:color="auto" w:sz="4" w:space="0"/>
              <w:right w:val="single" w:color="auto" w:sz="4" w:space="0"/>
            </w:tcBorders>
            <w:noWrap/>
            <w:vAlign w:val="center"/>
          </w:tcPr>
          <w:p w14:paraId="1194086D">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0F22BA30">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14:paraId="2577BBC3">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394.73</w:t>
            </w:r>
          </w:p>
        </w:tc>
      </w:tr>
      <w:tr w14:paraId="0061663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E95625F">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4696A7FE">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14:paraId="3B6F9527">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14:paraId="788347BD">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56F457B3">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14:paraId="75E2BDF6">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12D5AF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6BE3F353">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0EAC6E80">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14:paraId="1C57C24B">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14:paraId="4F8BDBF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4E8A99D6">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14:paraId="62A7BBC2">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4803C14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8655C7D">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0881FFA2">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14:paraId="0046D355">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394.73</w:t>
            </w:r>
          </w:p>
        </w:tc>
        <w:tc>
          <w:tcPr>
            <w:tcW w:w="3798" w:type="dxa"/>
            <w:gridSpan w:val="3"/>
            <w:tcBorders>
              <w:top w:val="nil"/>
              <w:left w:val="nil"/>
              <w:bottom w:val="single" w:color="auto" w:sz="4" w:space="0"/>
              <w:right w:val="single" w:color="auto" w:sz="4" w:space="0"/>
            </w:tcBorders>
            <w:shd w:val="clear" w:color="000000" w:fill="FFFFFF"/>
            <w:noWrap/>
            <w:vAlign w:val="center"/>
          </w:tcPr>
          <w:p w14:paraId="0BE058FA">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2E981C91">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14:paraId="22C845C4">
            <w:pPr>
              <w:widowControl/>
              <w:jc w:val="center"/>
              <w:rPr>
                <w:rFonts w:hint="default" w:ascii="宋体" w:eastAsia="宋体" w:cs="Times New Roman"/>
                <w:b/>
                <w:bCs/>
                <w:kern w:val="0"/>
                <w:sz w:val="22"/>
                <w:szCs w:val="22"/>
                <w:lang w:val="en-US" w:eastAsia="zh-CN"/>
              </w:rPr>
            </w:pPr>
            <w:r>
              <w:rPr>
                <w:rFonts w:hint="eastAsia" w:ascii="宋体" w:hAnsi="宋体" w:cs="宋体"/>
                <w:kern w:val="0"/>
                <w:sz w:val="22"/>
                <w:szCs w:val="22"/>
                <w:lang w:val="en-US" w:eastAsia="zh-CN"/>
              </w:rPr>
              <w:t>394.73</w:t>
            </w:r>
          </w:p>
        </w:tc>
      </w:tr>
      <w:tr w14:paraId="2E965ADF">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14:paraId="1F80EEE1">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14:paraId="68ADB50B">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5A2E1ADB">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154" w:type="dxa"/>
        <w:tblInd w:w="313"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14:paraId="0FB7DEA2">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14:paraId="4454B904">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EA992EE">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5E20E7F3">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F79F86D">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321AF7E">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6D5E764">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2B6AEB3">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3771923">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49918CA">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2408842">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0072D30">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566B234">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A8C9C0B">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EDA88FD">
            <w:pPr>
              <w:rPr>
                <w:rFonts w:ascii="宋体" w:cs="Times New Roman"/>
                <w:color w:val="000000"/>
                <w:sz w:val="20"/>
                <w:szCs w:val="20"/>
              </w:rPr>
            </w:pPr>
            <w:r>
              <w:rPr>
                <w:rFonts w:hint="eastAsia" w:cs="宋体"/>
                <w:color w:val="000000"/>
                <w:sz w:val="20"/>
                <w:szCs w:val="20"/>
              </w:rPr>
              <w:t>部门：湘潭县看守所</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85427E3">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AB62C06">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69DDB93">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37FA96E">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3583220">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B3C47C2">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88C668E">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036263C">
            <w:pPr>
              <w:jc w:val="right"/>
              <w:rPr>
                <w:rFonts w:ascii="宋体" w:cs="Times New Roman"/>
                <w:color w:val="000000"/>
                <w:sz w:val="20"/>
                <w:szCs w:val="20"/>
              </w:rPr>
            </w:pPr>
            <w:r>
              <w:rPr>
                <w:rFonts w:hint="eastAsia" w:cs="宋体"/>
                <w:color w:val="000000"/>
                <w:sz w:val="20"/>
                <w:szCs w:val="20"/>
              </w:rPr>
              <w:t>单位：万元</w:t>
            </w:r>
          </w:p>
        </w:tc>
      </w:tr>
      <w:tr w14:paraId="4683A369">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1B516D3">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4A45A5">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A72A19A">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AFE6CEA">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EA2445">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EE69154">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9791133">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E9B3AE">
            <w:pPr>
              <w:jc w:val="center"/>
              <w:rPr>
                <w:rFonts w:ascii="宋体" w:cs="Times New Roman"/>
                <w:sz w:val="24"/>
                <w:szCs w:val="24"/>
              </w:rPr>
            </w:pPr>
            <w:r>
              <w:rPr>
                <w:rFonts w:hint="eastAsia" w:cs="宋体"/>
              </w:rPr>
              <w:t>其他收入</w:t>
            </w:r>
          </w:p>
        </w:tc>
      </w:tr>
      <w:tr w14:paraId="6CCEBE9B">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727404">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9F7A31">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22938447">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14:paraId="46FF2F1D">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14:paraId="31F87917">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2E803B9B">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14:paraId="38DF6DB9">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35CDE27E">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22F1FCF3">
            <w:pPr>
              <w:rPr>
                <w:rFonts w:ascii="宋体" w:cs="Times New Roman"/>
                <w:sz w:val="24"/>
                <w:szCs w:val="24"/>
              </w:rPr>
            </w:pPr>
          </w:p>
        </w:tc>
      </w:tr>
      <w:tr w14:paraId="19A161FF">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14:paraId="2E5207BE">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14:paraId="0415B09B">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160B4601">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14:paraId="49C6CBC8">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14:paraId="529622F5">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0374F20C">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14:paraId="5789E46E">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0549678A">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785EEBFA">
            <w:pPr>
              <w:rPr>
                <w:rFonts w:ascii="宋体" w:cs="Times New Roman"/>
                <w:sz w:val="24"/>
                <w:szCs w:val="24"/>
              </w:rPr>
            </w:pPr>
          </w:p>
        </w:tc>
      </w:tr>
      <w:tr w14:paraId="2DCAE431">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3C468">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CC7924">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A7A80A">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77E7BC">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08E8D8">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D8CF12">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E801D3">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F36128">
            <w:pPr>
              <w:jc w:val="center"/>
              <w:rPr>
                <w:rFonts w:ascii="宋体" w:cs="Times New Roman"/>
                <w:sz w:val="24"/>
                <w:szCs w:val="24"/>
              </w:rPr>
            </w:pPr>
            <w:r>
              <w:t>7</w:t>
            </w:r>
          </w:p>
        </w:tc>
      </w:tr>
      <w:tr w14:paraId="643E854B">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388774">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283E8D">
            <w:pPr>
              <w:jc w:val="center"/>
              <w:rPr>
                <w:rFonts w:hint="default" w:ascii="宋体" w:cs="Times New Roman"/>
                <w:sz w:val="24"/>
                <w:szCs w:val="24"/>
                <w:lang w:val="en-US" w:eastAsia="zh-CN"/>
              </w:rPr>
            </w:pPr>
            <w:r>
              <w:rPr>
                <w:rFonts w:hint="eastAsia" w:ascii="宋体" w:cs="Times New Roman"/>
                <w:sz w:val="24"/>
                <w:szCs w:val="24"/>
                <w:lang w:val="en-US" w:eastAsia="zh-CN"/>
              </w:rPr>
              <w:t>394.73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CAA4F4">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366.19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D6EC87">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B75C13">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F687C0">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0C37E9">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CD341C">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28.54</w:t>
            </w:r>
          </w:p>
        </w:tc>
      </w:tr>
      <w:tr w14:paraId="1D1BE60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B6CE9D">
            <w:pPr>
              <w:ind w:firstLine="210" w:firstLineChars="100"/>
              <w:jc w:val="center"/>
              <w:rPr>
                <w:rFonts w:hint="default" w:ascii="宋体" w:eastAsia="宋体" w:cs="Times New Roman"/>
                <w:sz w:val="24"/>
                <w:szCs w:val="24"/>
                <w:lang w:val="en-US" w:eastAsia="zh-CN"/>
              </w:rPr>
            </w:pPr>
            <w:r>
              <w:rPr>
                <w:rFonts w:hint="eastAsia" w:cs="宋体"/>
                <w:lang w:val="en-US" w:eastAsia="zh-CN"/>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2AA4A8">
            <w:pPr>
              <w:jc w:val="center"/>
              <w:rPr>
                <w:rFonts w:hint="default" w:ascii="宋体" w:eastAsia="宋体" w:cs="Times New Roman"/>
                <w:sz w:val="24"/>
                <w:szCs w:val="24"/>
                <w:lang w:val="en-US" w:eastAsia="zh-CN"/>
              </w:rPr>
            </w:pPr>
            <w:r>
              <w:rPr>
                <w:rFonts w:hint="eastAsia" w:cs="宋体"/>
                <w:lang w:val="en-US" w:eastAsia="zh-CN"/>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A90372">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394.73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583235">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366.19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397490">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4839712">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CD3E5F">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609C31">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B2E521">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28.54</w:t>
            </w:r>
          </w:p>
        </w:tc>
      </w:tr>
      <w:tr w14:paraId="39998AB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F28C61">
            <w:pPr>
              <w:jc w:val="center"/>
              <w:rPr>
                <w:rFonts w:hint="default" w:ascii="宋体" w:cs="Times New Roman"/>
                <w:sz w:val="24"/>
                <w:szCs w:val="24"/>
                <w:lang w:val="en-US" w:eastAsia="zh-CN"/>
              </w:rPr>
            </w:pPr>
            <w:r>
              <w:rPr>
                <w:rFonts w:hint="eastAsia" w:ascii="宋体" w:cs="Times New Roman"/>
                <w:sz w:val="24"/>
                <w:szCs w:val="24"/>
                <w:lang w:val="en-US" w:eastAsia="zh-CN"/>
              </w:rPr>
              <w:t>20402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FCA671">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公安</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0050EB">
            <w:pPr>
              <w:jc w:val="center"/>
              <w:rPr>
                <w:rFonts w:hint="default" w:ascii="华文中宋" w:hAnsi="华文中宋" w:eastAsia="华文中宋" w:cs="Times New Roman"/>
                <w:sz w:val="24"/>
                <w:szCs w:val="24"/>
                <w:lang w:val="en-US" w:eastAsia="zh-CN"/>
              </w:rPr>
            </w:pPr>
            <w:r>
              <w:rPr>
                <w:rFonts w:hint="eastAsia" w:ascii="宋体" w:cs="Times New Roman"/>
                <w:sz w:val="24"/>
                <w:szCs w:val="24"/>
                <w:lang w:val="en-US" w:eastAsia="zh-CN"/>
              </w:rPr>
              <w:t>394.73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012A9D">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366.19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F7443F">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35AA39">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8FAC371">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CC45574">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B5EAA4">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28.54</w:t>
            </w:r>
          </w:p>
        </w:tc>
      </w:tr>
      <w:tr w14:paraId="64C06D0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4C4526">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2040299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23579B">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其他公安支出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8F2C4D">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394.73</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3205A5">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366.19</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1EF419">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BE6F65">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F27B51">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D58E19">
            <w:pPr>
              <w:jc w:val="center"/>
              <w:rPr>
                <w:rFonts w:hint="eastAsia" w:ascii="宋体" w:hAnsi="Calibri" w:eastAsia="宋体" w:cs="Times New Roman"/>
                <w:kern w:val="2"/>
                <w:sz w:val="24"/>
                <w:szCs w:val="24"/>
                <w:lang w:val="en-US" w:eastAsia="zh-CN" w:bidi="ar-SA"/>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772C3B">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28.54</w:t>
            </w:r>
          </w:p>
        </w:tc>
      </w:tr>
      <w:tr w14:paraId="1BD357D7">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576C2C">
            <w:pPr>
              <w:jc w:val="center"/>
              <w:rPr>
                <w:rFonts w:hint="default" w:ascii="宋体" w:eastAsia="宋体" w:cs="Times New Roman"/>
                <w:sz w:val="24"/>
                <w:szCs w:val="24"/>
                <w:lang w:val="en-US" w:eastAsia="zh-CN"/>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A2B1C4">
            <w:pPr>
              <w:jc w:val="center"/>
              <w:rPr>
                <w:rFonts w:hint="default" w:ascii="宋体" w:eastAsia="宋体" w:cs="Times New Roman"/>
                <w:sz w:val="24"/>
                <w:szCs w:val="24"/>
                <w:lang w:val="en-US" w:eastAsia="zh-CN"/>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FCCC10">
            <w:pPr>
              <w:jc w:val="center"/>
              <w:rPr>
                <w:rFonts w:hint="default" w:ascii="宋体" w:eastAsia="宋体" w:cs="Times New Roman"/>
                <w:sz w:val="24"/>
                <w:szCs w:val="24"/>
                <w:lang w:val="en-US" w:eastAsia="zh-CN"/>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E19787">
            <w:pPr>
              <w:jc w:val="center"/>
              <w:rPr>
                <w:rFonts w:hint="default" w:ascii="宋体" w:eastAsia="宋体" w:cs="Times New Roman"/>
                <w:sz w:val="24"/>
                <w:szCs w:val="24"/>
                <w:lang w:val="en-US" w:eastAsia="zh-CN"/>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D750DD">
            <w:pPr>
              <w:jc w:val="center"/>
              <w:rPr>
                <w:rFonts w:hint="eastAsia" w:ascii="宋体" w:eastAsia="宋体" w:cs="Times New Roman"/>
                <w:sz w:val="24"/>
                <w:szCs w:val="24"/>
                <w:lang w:val="en-US" w:eastAsia="zh-CN"/>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6F8ABE7">
            <w:pPr>
              <w:jc w:val="center"/>
              <w:rPr>
                <w:rFonts w:hint="eastAsia" w:ascii="宋体" w:eastAsia="宋体" w:cs="Times New Roman"/>
                <w:sz w:val="24"/>
                <w:szCs w:val="24"/>
                <w:lang w:val="en-US" w:eastAsia="zh-CN"/>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7213BD">
            <w:pPr>
              <w:jc w:val="center"/>
              <w:rPr>
                <w:rFonts w:hint="eastAsia" w:ascii="宋体" w:eastAsia="宋体" w:cs="Times New Roman"/>
                <w:sz w:val="24"/>
                <w:szCs w:val="24"/>
                <w:lang w:val="en-US" w:eastAsia="zh-CN"/>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F1DAA8">
            <w:pPr>
              <w:jc w:val="center"/>
              <w:rPr>
                <w:rFonts w:hint="eastAsia" w:ascii="宋体" w:eastAsia="宋体" w:cs="Times New Roman"/>
                <w:sz w:val="24"/>
                <w:szCs w:val="24"/>
                <w:lang w:val="en-US" w:eastAsia="zh-CN"/>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63BDABB">
            <w:pPr>
              <w:jc w:val="center"/>
              <w:rPr>
                <w:rFonts w:hint="default" w:ascii="宋体" w:eastAsia="宋体" w:cs="Times New Roman"/>
                <w:sz w:val="24"/>
                <w:szCs w:val="24"/>
                <w:lang w:val="en-US" w:eastAsia="zh-CN"/>
              </w:rPr>
            </w:pPr>
          </w:p>
        </w:tc>
      </w:tr>
      <w:tr w14:paraId="6F5F4DB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4D403B">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727645">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8D653D">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DB6A1D6">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095AD8A">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8A3153">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45810B">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2DEDD52">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5222F1">
            <w:pPr>
              <w:jc w:val="center"/>
              <w:rPr>
                <w:rFonts w:ascii="宋体" w:cs="Times New Roman"/>
                <w:sz w:val="24"/>
                <w:szCs w:val="24"/>
              </w:rPr>
            </w:pPr>
          </w:p>
        </w:tc>
      </w:tr>
      <w:tr w14:paraId="508CC28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AD7D1D">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EF1F8B">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510FED">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048FDB">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FC79D09">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A84B3E6">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9D2CBB">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116343">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F225A6">
            <w:pPr>
              <w:jc w:val="center"/>
              <w:rPr>
                <w:rFonts w:ascii="宋体" w:cs="Times New Roman"/>
                <w:sz w:val="24"/>
                <w:szCs w:val="24"/>
              </w:rPr>
            </w:pPr>
          </w:p>
        </w:tc>
      </w:tr>
      <w:tr w14:paraId="0AF9F2F1">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14:paraId="6A7152F1">
            <w:pPr>
              <w:rPr>
                <w:rFonts w:ascii="宋体" w:cs="Times New Roman"/>
                <w:sz w:val="24"/>
                <w:szCs w:val="24"/>
              </w:rPr>
            </w:pPr>
            <w:r>
              <w:rPr>
                <w:rFonts w:hint="eastAsia" w:cs="宋体"/>
              </w:rPr>
              <w:t>注：本表反映部门本年度取得的各项收入情况。</w:t>
            </w:r>
          </w:p>
        </w:tc>
      </w:tr>
    </w:tbl>
    <w:p w14:paraId="589F4C39">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14:paraId="3C29E0FD">
      <w:pPr>
        <w:widowControl/>
        <w:rPr>
          <w:rFonts w:ascii="Times New Roman" w:hAnsi="Times New Roman" w:eastAsia="方正小标宋_GBK" w:cs="Times New Roman"/>
          <w:color w:val="000000"/>
          <w:kern w:val="0"/>
          <w:sz w:val="36"/>
          <w:szCs w:val="36"/>
        </w:rPr>
      </w:pPr>
    </w:p>
    <w:tbl>
      <w:tblPr>
        <w:tblStyle w:val="7"/>
        <w:tblW w:w="13363" w:type="dxa"/>
        <w:tblInd w:w="418" w:type="dxa"/>
        <w:tblLayout w:type="fixed"/>
        <w:tblCellMar>
          <w:top w:w="0" w:type="dxa"/>
          <w:left w:w="108" w:type="dxa"/>
          <w:bottom w:w="0" w:type="dxa"/>
          <w:right w:w="108" w:type="dxa"/>
        </w:tblCellMar>
      </w:tblPr>
      <w:tblGrid>
        <w:gridCol w:w="616"/>
        <w:gridCol w:w="616"/>
        <w:gridCol w:w="1845"/>
        <w:gridCol w:w="1098"/>
        <w:gridCol w:w="1237"/>
        <w:gridCol w:w="1679"/>
        <w:gridCol w:w="1679"/>
        <w:gridCol w:w="1679"/>
        <w:gridCol w:w="2914"/>
      </w:tblGrid>
      <w:tr w14:paraId="4BBE652A">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14:paraId="6AFE722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4D3BBFE0">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2FEF7270">
            <w:pPr>
              <w:widowControl/>
              <w:jc w:val="right"/>
              <w:rPr>
                <w:rFonts w:ascii="宋体" w:cs="Times New Roman"/>
                <w:kern w:val="0"/>
                <w:sz w:val="24"/>
                <w:szCs w:val="24"/>
              </w:rPr>
            </w:pPr>
            <w:r>
              <w:rPr>
                <w:rFonts w:hint="eastAsia" w:ascii="宋体" w:hAnsi="宋体" w:cs="宋体"/>
                <w:kern w:val="0"/>
                <w:sz w:val="24"/>
                <w:szCs w:val="24"/>
              </w:rPr>
              <w:t>　</w:t>
            </w:r>
          </w:p>
        </w:tc>
        <w:tc>
          <w:tcPr>
            <w:tcW w:w="616" w:type="dxa"/>
            <w:tcBorders>
              <w:top w:val="nil"/>
              <w:left w:val="nil"/>
              <w:bottom w:val="nil"/>
              <w:right w:val="nil"/>
            </w:tcBorders>
            <w:shd w:val="clear" w:color="000000" w:fill="FFFFFF"/>
            <w:noWrap/>
            <w:vAlign w:val="center"/>
          </w:tcPr>
          <w:p w14:paraId="3453E884">
            <w:pPr>
              <w:widowControl/>
              <w:jc w:val="right"/>
              <w:rPr>
                <w:rFonts w:ascii="宋体" w:cs="Times New Roman"/>
                <w:kern w:val="0"/>
                <w:sz w:val="24"/>
                <w:szCs w:val="24"/>
              </w:rPr>
            </w:pPr>
            <w:r>
              <w:rPr>
                <w:rFonts w:hint="eastAsia" w:ascii="宋体" w:hAnsi="宋体" w:cs="宋体"/>
                <w:kern w:val="0"/>
                <w:sz w:val="24"/>
                <w:szCs w:val="24"/>
              </w:rPr>
              <w:t>　</w:t>
            </w:r>
          </w:p>
        </w:tc>
        <w:tc>
          <w:tcPr>
            <w:tcW w:w="1845" w:type="dxa"/>
            <w:tcBorders>
              <w:top w:val="nil"/>
              <w:left w:val="nil"/>
              <w:bottom w:val="nil"/>
              <w:right w:val="nil"/>
            </w:tcBorders>
            <w:shd w:val="clear" w:color="000000" w:fill="FFFFFF"/>
            <w:noWrap/>
            <w:vAlign w:val="center"/>
          </w:tcPr>
          <w:p w14:paraId="6D170B67">
            <w:pPr>
              <w:widowControl/>
              <w:jc w:val="right"/>
              <w:rPr>
                <w:rFonts w:ascii="宋体" w:cs="Times New Roman"/>
                <w:kern w:val="0"/>
                <w:sz w:val="24"/>
                <w:szCs w:val="24"/>
              </w:rPr>
            </w:pPr>
            <w:r>
              <w:rPr>
                <w:rFonts w:hint="eastAsia" w:ascii="宋体" w:hAnsi="宋体" w:cs="宋体"/>
                <w:kern w:val="0"/>
                <w:sz w:val="24"/>
                <w:szCs w:val="24"/>
              </w:rPr>
              <w:t>　</w:t>
            </w:r>
          </w:p>
        </w:tc>
        <w:tc>
          <w:tcPr>
            <w:tcW w:w="1098" w:type="dxa"/>
            <w:tcBorders>
              <w:top w:val="nil"/>
              <w:left w:val="nil"/>
              <w:bottom w:val="nil"/>
              <w:right w:val="nil"/>
            </w:tcBorders>
            <w:shd w:val="clear" w:color="000000" w:fill="FFFFFF"/>
            <w:noWrap/>
            <w:vAlign w:val="center"/>
          </w:tcPr>
          <w:p w14:paraId="6CF1D525">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14:paraId="18AC447E">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52D07CDA">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2E70DECA">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7A23BCFD">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3051CECB">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558AD9C5">
        <w:tblPrEx>
          <w:tblCellMar>
            <w:top w:w="0" w:type="dxa"/>
            <w:left w:w="108" w:type="dxa"/>
            <w:bottom w:w="0" w:type="dxa"/>
            <w:right w:w="108" w:type="dxa"/>
          </w:tblCellMar>
        </w:tblPrEx>
        <w:trPr>
          <w:trHeight w:val="285" w:hRule="atLeast"/>
        </w:trPr>
        <w:tc>
          <w:tcPr>
            <w:tcW w:w="4175" w:type="dxa"/>
            <w:gridSpan w:val="4"/>
            <w:tcBorders>
              <w:top w:val="nil"/>
              <w:left w:val="nil"/>
              <w:bottom w:val="nil"/>
              <w:right w:val="nil"/>
            </w:tcBorders>
            <w:shd w:val="clear" w:color="000000" w:fill="FFFFFF"/>
            <w:noWrap/>
            <w:vAlign w:val="center"/>
          </w:tcPr>
          <w:p w14:paraId="6B69D9F1">
            <w:pPr>
              <w:widowControl/>
              <w:jc w:val="left"/>
              <w:rPr>
                <w:rFonts w:ascii="宋体" w:cs="Times New Roman"/>
                <w:kern w:val="0"/>
                <w:sz w:val="24"/>
                <w:szCs w:val="24"/>
              </w:rPr>
            </w:pPr>
            <w:r>
              <w:rPr>
                <w:rFonts w:hint="eastAsia" w:ascii="宋体" w:hAnsi="宋体" w:cs="宋体"/>
                <w:color w:val="000000"/>
                <w:kern w:val="0"/>
                <w:sz w:val="20"/>
                <w:szCs w:val="20"/>
              </w:rPr>
              <w:t>部门：湘潭县看守所</w:t>
            </w: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14:paraId="488331FF">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786398FD">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14:paraId="55D0601A">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07D66367">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04F27B57">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EF1E8FC">
        <w:tblPrEx>
          <w:tblCellMar>
            <w:top w:w="0" w:type="dxa"/>
            <w:left w:w="108" w:type="dxa"/>
            <w:bottom w:w="0" w:type="dxa"/>
            <w:right w:w="108" w:type="dxa"/>
          </w:tblCellMar>
        </w:tblPrEx>
        <w:trPr>
          <w:trHeight w:val="450" w:hRule="atLeast"/>
        </w:trPr>
        <w:tc>
          <w:tcPr>
            <w:tcW w:w="307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1E2674A">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9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9F548E3">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D6D2708">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D73C4F">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8F3FC0A">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3AAEAC2">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E4128DF">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4C0DCE52">
        <w:tblPrEx>
          <w:tblCellMar>
            <w:top w:w="0" w:type="dxa"/>
            <w:left w:w="108" w:type="dxa"/>
            <w:bottom w:w="0" w:type="dxa"/>
            <w:right w:w="108" w:type="dxa"/>
          </w:tblCellMar>
        </w:tblPrEx>
        <w:trPr>
          <w:trHeight w:val="450" w:hRule="atLeast"/>
        </w:trPr>
        <w:tc>
          <w:tcPr>
            <w:tcW w:w="123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284832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845" w:type="dxa"/>
            <w:vMerge w:val="restart"/>
            <w:tcBorders>
              <w:top w:val="nil"/>
              <w:left w:val="single" w:color="auto" w:sz="4" w:space="0"/>
              <w:bottom w:val="single" w:color="auto" w:sz="4" w:space="0"/>
              <w:right w:val="single" w:color="auto" w:sz="4" w:space="0"/>
            </w:tcBorders>
            <w:shd w:val="clear" w:color="000000" w:fill="FFFFFF"/>
            <w:vAlign w:val="center"/>
          </w:tcPr>
          <w:p w14:paraId="3DB66442">
            <w:pPr>
              <w:widowControl/>
              <w:jc w:val="center"/>
              <w:rPr>
                <w:rFonts w:ascii="宋体" w:cs="Times New Roman"/>
                <w:kern w:val="0"/>
                <w:sz w:val="24"/>
                <w:szCs w:val="24"/>
              </w:rPr>
            </w:pPr>
            <w:r>
              <w:rPr>
                <w:rFonts w:hint="eastAsia" w:ascii="宋体" w:hAnsi="宋体" w:cs="宋体"/>
                <w:kern w:val="0"/>
                <w:sz w:val="24"/>
                <w:szCs w:val="24"/>
              </w:rPr>
              <w:t>科目名称</w:t>
            </w:r>
          </w:p>
        </w:tc>
        <w:tc>
          <w:tcPr>
            <w:tcW w:w="1098" w:type="dxa"/>
            <w:vMerge w:val="continue"/>
            <w:tcBorders>
              <w:top w:val="single" w:color="auto" w:sz="4" w:space="0"/>
              <w:left w:val="single" w:color="auto" w:sz="4" w:space="0"/>
              <w:bottom w:val="single" w:color="auto" w:sz="4" w:space="0"/>
              <w:right w:val="single" w:color="auto" w:sz="4" w:space="0"/>
            </w:tcBorders>
            <w:vAlign w:val="center"/>
          </w:tcPr>
          <w:p w14:paraId="25F75DC6">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14:paraId="2F5A0103">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39DE7060">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22C3F76A">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2C648D20">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4954CBB7">
            <w:pPr>
              <w:widowControl/>
              <w:jc w:val="left"/>
              <w:rPr>
                <w:rFonts w:ascii="宋体" w:cs="Times New Roman"/>
                <w:kern w:val="0"/>
                <w:sz w:val="24"/>
                <w:szCs w:val="24"/>
              </w:rPr>
            </w:pPr>
          </w:p>
        </w:tc>
      </w:tr>
      <w:tr w14:paraId="66A6D061">
        <w:tblPrEx>
          <w:tblCellMar>
            <w:top w:w="0" w:type="dxa"/>
            <w:left w:w="108" w:type="dxa"/>
            <w:bottom w:w="0" w:type="dxa"/>
            <w:right w:w="108" w:type="dxa"/>
          </w:tblCellMar>
        </w:tblPrEx>
        <w:trPr>
          <w:trHeight w:val="450" w:hRule="atLeast"/>
        </w:trPr>
        <w:tc>
          <w:tcPr>
            <w:tcW w:w="1232" w:type="dxa"/>
            <w:gridSpan w:val="2"/>
            <w:vMerge w:val="continue"/>
            <w:tcBorders>
              <w:top w:val="single" w:color="auto" w:sz="4" w:space="0"/>
              <w:left w:val="single" w:color="auto" w:sz="4" w:space="0"/>
              <w:bottom w:val="single" w:color="auto" w:sz="4" w:space="0"/>
              <w:right w:val="single" w:color="auto" w:sz="4" w:space="0"/>
            </w:tcBorders>
            <w:vAlign w:val="center"/>
          </w:tcPr>
          <w:p w14:paraId="39E3979A">
            <w:pPr>
              <w:widowControl/>
              <w:jc w:val="left"/>
              <w:rPr>
                <w:rFonts w:ascii="宋体" w:cs="Times New Roman"/>
                <w:kern w:val="0"/>
                <w:sz w:val="24"/>
                <w:szCs w:val="24"/>
              </w:rPr>
            </w:pPr>
          </w:p>
        </w:tc>
        <w:tc>
          <w:tcPr>
            <w:tcW w:w="1845" w:type="dxa"/>
            <w:vMerge w:val="continue"/>
            <w:tcBorders>
              <w:top w:val="nil"/>
              <w:left w:val="single" w:color="auto" w:sz="4" w:space="0"/>
              <w:bottom w:val="single" w:color="auto" w:sz="4" w:space="0"/>
              <w:right w:val="single" w:color="auto" w:sz="4" w:space="0"/>
            </w:tcBorders>
            <w:vAlign w:val="center"/>
          </w:tcPr>
          <w:p w14:paraId="00F95E65">
            <w:pPr>
              <w:widowControl/>
              <w:jc w:val="left"/>
              <w:rPr>
                <w:rFonts w:ascii="宋体" w:cs="Times New Roman"/>
                <w:kern w:val="0"/>
                <w:sz w:val="24"/>
                <w:szCs w:val="24"/>
              </w:rPr>
            </w:pPr>
          </w:p>
        </w:tc>
        <w:tc>
          <w:tcPr>
            <w:tcW w:w="1098" w:type="dxa"/>
            <w:vMerge w:val="continue"/>
            <w:tcBorders>
              <w:top w:val="single" w:color="auto" w:sz="4" w:space="0"/>
              <w:left w:val="single" w:color="auto" w:sz="4" w:space="0"/>
              <w:bottom w:val="single" w:color="auto" w:sz="4" w:space="0"/>
              <w:right w:val="single" w:color="auto" w:sz="4" w:space="0"/>
            </w:tcBorders>
            <w:vAlign w:val="center"/>
          </w:tcPr>
          <w:p w14:paraId="2963F0DE">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14:paraId="66AD3D68">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63180260">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0CF8990F">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3556A080">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617D9603">
            <w:pPr>
              <w:widowControl/>
              <w:jc w:val="left"/>
              <w:rPr>
                <w:rFonts w:ascii="宋体" w:cs="Times New Roman"/>
                <w:kern w:val="0"/>
                <w:sz w:val="24"/>
                <w:szCs w:val="24"/>
              </w:rPr>
            </w:pPr>
          </w:p>
        </w:tc>
      </w:tr>
      <w:tr w14:paraId="1E91A95B">
        <w:tblPrEx>
          <w:tblCellMar>
            <w:top w:w="0" w:type="dxa"/>
            <w:left w:w="108" w:type="dxa"/>
            <w:bottom w:w="0" w:type="dxa"/>
            <w:right w:w="108" w:type="dxa"/>
          </w:tblCellMar>
        </w:tblPrEx>
        <w:trPr>
          <w:trHeight w:val="450" w:hRule="atLeast"/>
        </w:trPr>
        <w:tc>
          <w:tcPr>
            <w:tcW w:w="307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416E12C">
            <w:pPr>
              <w:widowControl/>
              <w:jc w:val="center"/>
              <w:rPr>
                <w:rFonts w:ascii="宋体" w:cs="Times New Roman"/>
                <w:kern w:val="0"/>
                <w:sz w:val="24"/>
                <w:szCs w:val="24"/>
              </w:rPr>
            </w:pPr>
            <w:r>
              <w:rPr>
                <w:rFonts w:hint="eastAsia" w:ascii="宋体" w:hAnsi="宋体" w:cs="宋体"/>
                <w:kern w:val="0"/>
                <w:sz w:val="24"/>
                <w:szCs w:val="24"/>
              </w:rPr>
              <w:t>栏次</w:t>
            </w:r>
          </w:p>
        </w:tc>
        <w:tc>
          <w:tcPr>
            <w:tcW w:w="1098" w:type="dxa"/>
            <w:tcBorders>
              <w:top w:val="nil"/>
              <w:left w:val="nil"/>
              <w:bottom w:val="single" w:color="auto" w:sz="4" w:space="0"/>
              <w:right w:val="single" w:color="auto" w:sz="4" w:space="0"/>
            </w:tcBorders>
            <w:shd w:val="clear" w:color="000000" w:fill="FFFFFF"/>
            <w:noWrap/>
            <w:vAlign w:val="center"/>
          </w:tcPr>
          <w:p w14:paraId="7AB50211">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14:paraId="6C7635BF">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14:paraId="0B166ED9">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14:paraId="4A09905A">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14:paraId="236AB1CC">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14:paraId="7DECF6D9">
            <w:pPr>
              <w:widowControl/>
              <w:jc w:val="center"/>
              <w:rPr>
                <w:rFonts w:ascii="宋体" w:cs="Times New Roman"/>
                <w:kern w:val="0"/>
                <w:sz w:val="24"/>
                <w:szCs w:val="24"/>
              </w:rPr>
            </w:pPr>
            <w:r>
              <w:rPr>
                <w:rFonts w:ascii="宋体" w:hAnsi="宋体" w:cs="宋体"/>
                <w:kern w:val="0"/>
                <w:sz w:val="24"/>
                <w:szCs w:val="24"/>
              </w:rPr>
              <w:t>6</w:t>
            </w:r>
          </w:p>
        </w:tc>
      </w:tr>
      <w:tr w14:paraId="0CF5BCB1">
        <w:tblPrEx>
          <w:tblCellMar>
            <w:top w:w="0" w:type="dxa"/>
            <w:left w:w="108" w:type="dxa"/>
            <w:bottom w:w="0" w:type="dxa"/>
            <w:right w:w="108" w:type="dxa"/>
          </w:tblCellMar>
        </w:tblPrEx>
        <w:trPr>
          <w:trHeight w:val="450" w:hRule="atLeast"/>
        </w:trPr>
        <w:tc>
          <w:tcPr>
            <w:tcW w:w="307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C488283">
            <w:pPr>
              <w:widowControl/>
              <w:jc w:val="center"/>
              <w:rPr>
                <w:rFonts w:ascii="宋体" w:cs="Times New Roman"/>
                <w:kern w:val="0"/>
                <w:sz w:val="24"/>
                <w:szCs w:val="24"/>
              </w:rPr>
            </w:pPr>
            <w:r>
              <w:rPr>
                <w:rFonts w:hint="eastAsia" w:ascii="宋体" w:hAnsi="宋体" w:cs="宋体"/>
                <w:kern w:val="0"/>
                <w:sz w:val="24"/>
                <w:szCs w:val="24"/>
              </w:rPr>
              <w:t>合计</w:t>
            </w:r>
          </w:p>
        </w:tc>
        <w:tc>
          <w:tcPr>
            <w:tcW w:w="1098" w:type="dxa"/>
            <w:tcBorders>
              <w:top w:val="nil"/>
              <w:left w:val="nil"/>
              <w:bottom w:val="single" w:color="auto" w:sz="4" w:space="0"/>
              <w:right w:val="single" w:color="auto" w:sz="4" w:space="0"/>
            </w:tcBorders>
            <w:noWrap/>
            <w:vAlign w:val="center"/>
          </w:tcPr>
          <w:p w14:paraId="354D6F17">
            <w:pPr>
              <w:widowControl/>
              <w:jc w:val="center"/>
              <w:rPr>
                <w:rFonts w:ascii="宋体" w:cs="Times New Roman"/>
                <w:kern w:val="0"/>
                <w:sz w:val="24"/>
                <w:szCs w:val="24"/>
              </w:rPr>
            </w:pPr>
            <w:r>
              <w:rPr>
                <w:rFonts w:hint="eastAsia" w:ascii="宋体" w:cs="Times New Roman"/>
                <w:kern w:val="0"/>
                <w:sz w:val="24"/>
                <w:szCs w:val="24"/>
                <w:lang w:val="en-US" w:eastAsia="zh-CN"/>
              </w:rPr>
              <w:t>394.73</w:t>
            </w:r>
          </w:p>
        </w:tc>
        <w:tc>
          <w:tcPr>
            <w:tcW w:w="1237" w:type="dxa"/>
            <w:tcBorders>
              <w:top w:val="nil"/>
              <w:left w:val="nil"/>
              <w:bottom w:val="single" w:color="auto" w:sz="4" w:space="0"/>
              <w:right w:val="single" w:color="auto" w:sz="4" w:space="0"/>
            </w:tcBorders>
            <w:noWrap/>
            <w:vAlign w:val="center"/>
          </w:tcPr>
          <w:p w14:paraId="50309B7E">
            <w:pPr>
              <w:widowControl/>
              <w:jc w:val="center"/>
              <w:rPr>
                <w:rFonts w:ascii="宋体" w:cs="Times New Roman"/>
                <w:kern w:val="0"/>
                <w:sz w:val="24"/>
                <w:szCs w:val="24"/>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57DD1E42">
            <w:pPr>
              <w:widowControl/>
              <w:jc w:val="center"/>
              <w:rPr>
                <w:rFonts w:ascii="宋体" w:cs="Times New Roman"/>
                <w:kern w:val="0"/>
                <w:sz w:val="24"/>
                <w:szCs w:val="24"/>
              </w:rPr>
            </w:pPr>
            <w:r>
              <w:rPr>
                <w:rFonts w:hint="eastAsia" w:ascii="宋体" w:cs="Times New Roman"/>
                <w:kern w:val="0"/>
                <w:sz w:val="24"/>
                <w:szCs w:val="24"/>
                <w:lang w:val="en-US" w:eastAsia="zh-CN"/>
              </w:rPr>
              <w:t>394.73</w:t>
            </w:r>
          </w:p>
        </w:tc>
        <w:tc>
          <w:tcPr>
            <w:tcW w:w="1679" w:type="dxa"/>
            <w:tcBorders>
              <w:top w:val="nil"/>
              <w:left w:val="nil"/>
              <w:bottom w:val="single" w:color="auto" w:sz="4" w:space="0"/>
              <w:right w:val="single" w:color="auto" w:sz="4" w:space="0"/>
            </w:tcBorders>
            <w:noWrap/>
            <w:vAlign w:val="center"/>
          </w:tcPr>
          <w:p w14:paraId="16451378">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6DBE9E62">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14:paraId="040B2AB7">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r>
      <w:tr w14:paraId="4669A76B">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1C8DDA">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w:t>
            </w:r>
          </w:p>
        </w:tc>
        <w:tc>
          <w:tcPr>
            <w:tcW w:w="1845" w:type="dxa"/>
            <w:tcBorders>
              <w:top w:val="nil"/>
              <w:left w:val="nil"/>
              <w:bottom w:val="single" w:color="auto" w:sz="4" w:space="0"/>
              <w:right w:val="single" w:color="auto" w:sz="4" w:space="0"/>
            </w:tcBorders>
            <w:shd w:val="clear" w:color="000000" w:fill="FFFFFF"/>
            <w:noWrap/>
            <w:vAlign w:val="center"/>
          </w:tcPr>
          <w:p w14:paraId="7228B8EF">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公共安全支出</w:t>
            </w:r>
          </w:p>
        </w:tc>
        <w:tc>
          <w:tcPr>
            <w:tcW w:w="1098" w:type="dxa"/>
            <w:tcBorders>
              <w:top w:val="nil"/>
              <w:left w:val="nil"/>
              <w:bottom w:val="single" w:color="auto" w:sz="4" w:space="0"/>
              <w:right w:val="single" w:color="auto" w:sz="4" w:space="0"/>
            </w:tcBorders>
            <w:noWrap/>
            <w:vAlign w:val="center"/>
          </w:tcPr>
          <w:p w14:paraId="3282777D">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394.73</w:t>
            </w:r>
          </w:p>
        </w:tc>
        <w:tc>
          <w:tcPr>
            <w:tcW w:w="1237" w:type="dxa"/>
            <w:tcBorders>
              <w:top w:val="nil"/>
              <w:left w:val="nil"/>
              <w:bottom w:val="single" w:color="auto" w:sz="4" w:space="0"/>
              <w:right w:val="single" w:color="auto" w:sz="4" w:space="0"/>
            </w:tcBorders>
            <w:noWrap/>
            <w:vAlign w:val="center"/>
          </w:tcPr>
          <w:p w14:paraId="5372C6F2">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1F29FF6B">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394.73</w:t>
            </w:r>
          </w:p>
        </w:tc>
        <w:tc>
          <w:tcPr>
            <w:tcW w:w="1679" w:type="dxa"/>
            <w:tcBorders>
              <w:top w:val="nil"/>
              <w:left w:val="nil"/>
              <w:bottom w:val="single" w:color="auto" w:sz="4" w:space="0"/>
              <w:right w:val="single" w:color="auto" w:sz="4" w:space="0"/>
            </w:tcBorders>
            <w:noWrap/>
            <w:vAlign w:val="center"/>
          </w:tcPr>
          <w:p w14:paraId="389C2DB3">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7863A2C3">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14:paraId="31D3CD64">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14:paraId="08BD11E2">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AC5729">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w:t>
            </w:r>
          </w:p>
        </w:tc>
        <w:tc>
          <w:tcPr>
            <w:tcW w:w="1845" w:type="dxa"/>
            <w:tcBorders>
              <w:top w:val="nil"/>
              <w:left w:val="nil"/>
              <w:bottom w:val="single" w:color="auto" w:sz="4" w:space="0"/>
              <w:right w:val="single" w:color="auto" w:sz="4" w:space="0"/>
            </w:tcBorders>
            <w:shd w:val="clear" w:color="000000" w:fill="FFFFFF"/>
            <w:noWrap/>
            <w:vAlign w:val="center"/>
          </w:tcPr>
          <w:p w14:paraId="67646ACA">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公安</w:t>
            </w:r>
          </w:p>
        </w:tc>
        <w:tc>
          <w:tcPr>
            <w:tcW w:w="1098" w:type="dxa"/>
            <w:tcBorders>
              <w:top w:val="nil"/>
              <w:left w:val="nil"/>
              <w:bottom w:val="single" w:color="auto" w:sz="4" w:space="0"/>
              <w:right w:val="single" w:color="auto" w:sz="4" w:space="0"/>
            </w:tcBorders>
            <w:noWrap/>
            <w:vAlign w:val="center"/>
          </w:tcPr>
          <w:p w14:paraId="00111E6F">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394.73</w:t>
            </w:r>
          </w:p>
        </w:tc>
        <w:tc>
          <w:tcPr>
            <w:tcW w:w="1237" w:type="dxa"/>
            <w:tcBorders>
              <w:top w:val="nil"/>
              <w:left w:val="nil"/>
              <w:bottom w:val="single" w:color="auto" w:sz="4" w:space="0"/>
              <w:right w:val="single" w:color="auto" w:sz="4" w:space="0"/>
            </w:tcBorders>
            <w:noWrap/>
            <w:vAlign w:val="center"/>
          </w:tcPr>
          <w:p w14:paraId="2EEC3EA0">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5ECACBBB">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394.73</w:t>
            </w:r>
          </w:p>
        </w:tc>
        <w:tc>
          <w:tcPr>
            <w:tcW w:w="1679" w:type="dxa"/>
            <w:tcBorders>
              <w:top w:val="nil"/>
              <w:left w:val="nil"/>
              <w:bottom w:val="single" w:color="auto" w:sz="4" w:space="0"/>
              <w:right w:val="single" w:color="auto" w:sz="4" w:space="0"/>
            </w:tcBorders>
            <w:noWrap/>
            <w:vAlign w:val="center"/>
          </w:tcPr>
          <w:p w14:paraId="2B762C92">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1D7EAF72">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14:paraId="610FD244">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14:paraId="5E7D9CAC">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1192D9">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2040299</w:t>
            </w:r>
          </w:p>
        </w:tc>
        <w:tc>
          <w:tcPr>
            <w:tcW w:w="1845" w:type="dxa"/>
            <w:tcBorders>
              <w:top w:val="nil"/>
              <w:left w:val="nil"/>
              <w:bottom w:val="single" w:color="auto" w:sz="4" w:space="0"/>
              <w:right w:val="single" w:color="auto" w:sz="4" w:space="0"/>
            </w:tcBorders>
            <w:shd w:val="clear" w:color="000000" w:fill="FFFFFF"/>
            <w:noWrap/>
            <w:vAlign w:val="center"/>
          </w:tcPr>
          <w:p w14:paraId="549E6F04">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其他公安支出</w:t>
            </w:r>
          </w:p>
        </w:tc>
        <w:tc>
          <w:tcPr>
            <w:tcW w:w="1098" w:type="dxa"/>
            <w:tcBorders>
              <w:top w:val="nil"/>
              <w:left w:val="nil"/>
              <w:bottom w:val="single" w:color="auto" w:sz="4" w:space="0"/>
              <w:right w:val="single" w:color="auto" w:sz="4" w:space="0"/>
            </w:tcBorders>
            <w:noWrap/>
            <w:vAlign w:val="center"/>
          </w:tcPr>
          <w:p w14:paraId="6B104C4A">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394.73</w:t>
            </w:r>
          </w:p>
        </w:tc>
        <w:tc>
          <w:tcPr>
            <w:tcW w:w="1237" w:type="dxa"/>
            <w:tcBorders>
              <w:top w:val="nil"/>
              <w:left w:val="nil"/>
              <w:bottom w:val="single" w:color="auto" w:sz="4" w:space="0"/>
              <w:right w:val="single" w:color="auto" w:sz="4" w:space="0"/>
            </w:tcBorders>
            <w:noWrap/>
            <w:vAlign w:val="center"/>
          </w:tcPr>
          <w:p w14:paraId="56FDA913">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693A49E9">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394.73</w:t>
            </w:r>
          </w:p>
        </w:tc>
        <w:tc>
          <w:tcPr>
            <w:tcW w:w="1679" w:type="dxa"/>
            <w:tcBorders>
              <w:top w:val="nil"/>
              <w:left w:val="nil"/>
              <w:bottom w:val="single" w:color="auto" w:sz="4" w:space="0"/>
              <w:right w:val="single" w:color="auto" w:sz="4" w:space="0"/>
            </w:tcBorders>
            <w:noWrap/>
            <w:vAlign w:val="center"/>
          </w:tcPr>
          <w:p w14:paraId="214FD40A">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14:paraId="34B240F3">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14:paraId="4B697415">
            <w:pPr>
              <w:widowControl/>
              <w:jc w:val="center"/>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0</w:t>
            </w:r>
          </w:p>
        </w:tc>
      </w:tr>
      <w:tr w14:paraId="23D0B37D">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FE7583">
            <w:pPr>
              <w:widowControl/>
              <w:jc w:val="center"/>
              <w:rPr>
                <w:rFonts w:hint="default" w:ascii="宋体" w:eastAsia="宋体" w:cs="Times New Roman"/>
                <w:kern w:val="0"/>
                <w:sz w:val="24"/>
                <w:szCs w:val="24"/>
                <w:lang w:val="en-US" w:eastAsia="zh-CN"/>
              </w:rPr>
            </w:pPr>
          </w:p>
        </w:tc>
        <w:tc>
          <w:tcPr>
            <w:tcW w:w="1845" w:type="dxa"/>
            <w:tcBorders>
              <w:top w:val="nil"/>
              <w:left w:val="nil"/>
              <w:bottom w:val="single" w:color="auto" w:sz="4" w:space="0"/>
              <w:right w:val="single" w:color="auto" w:sz="4" w:space="0"/>
            </w:tcBorders>
            <w:shd w:val="clear" w:color="000000" w:fill="FFFFFF"/>
            <w:noWrap/>
            <w:vAlign w:val="center"/>
          </w:tcPr>
          <w:p w14:paraId="21510F90">
            <w:pPr>
              <w:widowControl/>
              <w:jc w:val="center"/>
              <w:rPr>
                <w:rFonts w:hint="default" w:ascii="宋体" w:eastAsia="宋体" w:cs="Times New Roman"/>
                <w:kern w:val="0"/>
                <w:sz w:val="24"/>
                <w:szCs w:val="24"/>
                <w:lang w:val="en-US" w:eastAsia="zh-CN"/>
              </w:rPr>
            </w:pPr>
          </w:p>
        </w:tc>
        <w:tc>
          <w:tcPr>
            <w:tcW w:w="1098" w:type="dxa"/>
            <w:tcBorders>
              <w:top w:val="nil"/>
              <w:left w:val="nil"/>
              <w:bottom w:val="single" w:color="auto" w:sz="4" w:space="0"/>
              <w:right w:val="single" w:color="auto" w:sz="4" w:space="0"/>
            </w:tcBorders>
            <w:noWrap/>
            <w:vAlign w:val="center"/>
          </w:tcPr>
          <w:p w14:paraId="648CEE65">
            <w:pPr>
              <w:widowControl/>
              <w:jc w:val="center"/>
              <w:rPr>
                <w:rFonts w:hint="default" w:ascii="宋体" w:eastAsia="宋体" w:cs="Times New Roman"/>
                <w:kern w:val="0"/>
                <w:sz w:val="24"/>
                <w:szCs w:val="24"/>
                <w:lang w:val="en-US" w:eastAsia="zh-CN"/>
              </w:rPr>
            </w:pPr>
          </w:p>
        </w:tc>
        <w:tc>
          <w:tcPr>
            <w:tcW w:w="1237" w:type="dxa"/>
            <w:tcBorders>
              <w:top w:val="nil"/>
              <w:left w:val="nil"/>
              <w:bottom w:val="single" w:color="auto" w:sz="4" w:space="0"/>
              <w:right w:val="single" w:color="auto" w:sz="4" w:space="0"/>
            </w:tcBorders>
            <w:noWrap/>
            <w:vAlign w:val="center"/>
          </w:tcPr>
          <w:p w14:paraId="7E98AA4B">
            <w:pPr>
              <w:widowControl/>
              <w:jc w:val="center"/>
              <w:rPr>
                <w:rFonts w:hint="eastAsia" w:ascii="宋体" w:eastAsia="宋体" w:cs="Times New Roman"/>
                <w:kern w:val="0"/>
                <w:sz w:val="24"/>
                <w:szCs w:val="24"/>
                <w:lang w:val="en-US" w:eastAsia="zh-CN"/>
              </w:rPr>
            </w:pPr>
          </w:p>
        </w:tc>
        <w:tc>
          <w:tcPr>
            <w:tcW w:w="1679" w:type="dxa"/>
            <w:tcBorders>
              <w:top w:val="nil"/>
              <w:left w:val="nil"/>
              <w:bottom w:val="single" w:color="auto" w:sz="4" w:space="0"/>
              <w:right w:val="single" w:color="auto" w:sz="4" w:space="0"/>
            </w:tcBorders>
            <w:noWrap/>
            <w:vAlign w:val="center"/>
          </w:tcPr>
          <w:p w14:paraId="70B4AAD9">
            <w:pPr>
              <w:widowControl/>
              <w:jc w:val="center"/>
              <w:rPr>
                <w:rFonts w:hint="default" w:ascii="宋体" w:eastAsia="宋体" w:cs="Times New Roman"/>
                <w:kern w:val="0"/>
                <w:sz w:val="24"/>
                <w:szCs w:val="24"/>
                <w:lang w:val="en-US" w:eastAsia="zh-CN"/>
              </w:rPr>
            </w:pPr>
          </w:p>
        </w:tc>
        <w:tc>
          <w:tcPr>
            <w:tcW w:w="1679" w:type="dxa"/>
            <w:tcBorders>
              <w:top w:val="nil"/>
              <w:left w:val="nil"/>
              <w:bottom w:val="single" w:color="auto" w:sz="4" w:space="0"/>
              <w:right w:val="single" w:color="auto" w:sz="4" w:space="0"/>
            </w:tcBorders>
            <w:noWrap/>
            <w:vAlign w:val="center"/>
          </w:tcPr>
          <w:p w14:paraId="20ED2268">
            <w:pPr>
              <w:widowControl/>
              <w:jc w:val="center"/>
              <w:rPr>
                <w:rFonts w:hint="eastAsia" w:ascii="宋体" w:eastAsia="宋体" w:cs="Times New Roman"/>
                <w:kern w:val="0"/>
                <w:sz w:val="24"/>
                <w:szCs w:val="24"/>
                <w:lang w:val="en-US" w:eastAsia="zh-CN"/>
              </w:rPr>
            </w:pPr>
          </w:p>
        </w:tc>
        <w:tc>
          <w:tcPr>
            <w:tcW w:w="1679" w:type="dxa"/>
            <w:tcBorders>
              <w:top w:val="nil"/>
              <w:left w:val="nil"/>
              <w:bottom w:val="single" w:color="auto" w:sz="4" w:space="0"/>
              <w:right w:val="single" w:color="auto" w:sz="4" w:space="0"/>
            </w:tcBorders>
            <w:noWrap/>
            <w:vAlign w:val="center"/>
          </w:tcPr>
          <w:p w14:paraId="57792B41">
            <w:pPr>
              <w:widowControl/>
              <w:jc w:val="center"/>
              <w:rPr>
                <w:rFonts w:hint="eastAsia" w:ascii="宋体" w:eastAsia="宋体" w:cs="Times New Roman"/>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BE78780">
            <w:pPr>
              <w:widowControl/>
              <w:jc w:val="center"/>
              <w:rPr>
                <w:rFonts w:hint="eastAsia" w:ascii="宋体" w:eastAsia="宋体" w:cs="Times New Roman"/>
                <w:kern w:val="0"/>
                <w:sz w:val="24"/>
                <w:szCs w:val="24"/>
                <w:lang w:val="en-US" w:eastAsia="zh-CN"/>
              </w:rPr>
            </w:pPr>
          </w:p>
        </w:tc>
      </w:tr>
      <w:tr w14:paraId="150D625A">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EDCE6E">
            <w:pPr>
              <w:widowControl/>
              <w:jc w:val="center"/>
              <w:rPr>
                <w:rFonts w:ascii="宋体" w:cs="Times New Roman"/>
                <w:kern w:val="0"/>
                <w:sz w:val="24"/>
                <w:szCs w:val="24"/>
              </w:rPr>
            </w:pPr>
          </w:p>
        </w:tc>
        <w:tc>
          <w:tcPr>
            <w:tcW w:w="1845" w:type="dxa"/>
            <w:tcBorders>
              <w:top w:val="nil"/>
              <w:left w:val="nil"/>
              <w:bottom w:val="single" w:color="auto" w:sz="4" w:space="0"/>
              <w:right w:val="single" w:color="auto" w:sz="4" w:space="0"/>
            </w:tcBorders>
            <w:shd w:val="clear" w:color="000000" w:fill="FFFFFF"/>
            <w:noWrap/>
            <w:vAlign w:val="center"/>
          </w:tcPr>
          <w:p w14:paraId="7574B926">
            <w:pPr>
              <w:widowControl/>
              <w:jc w:val="center"/>
              <w:rPr>
                <w:rFonts w:ascii="宋体" w:cs="Times New Roman"/>
                <w:kern w:val="0"/>
                <w:sz w:val="24"/>
                <w:szCs w:val="24"/>
              </w:rPr>
            </w:pPr>
          </w:p>
        </w:tc>
        <w:tc>
          <w:tcPr>
            <w:tcW w:w="1098" w:type="dxa"/>
            <w:tcBorders>
              <w:top w:val="nil"/>
              <w:left w:val="nil"/>
              <w:bottom w:val="single" w:color="auto" w:sz="4" w:space="0"/>
              <w:right w:val="single" w:color="auto" w:sz="4" w:space="0"/>
            </w:tcBorders>
            <w:noWrap/>
            <w:vAlign w:val="center"/>
          </w:tcPr>
          <w:p w14:paraId="7716E733">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14:paraId="1795125B">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62DF2892">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52162DDF">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3D9CEF8C">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4917FD65">
            <w:pPr>
              <w:widowControl/>
              <w:jc w:val="center"/>
              <w:rPr>
                <w:rFonts w:ascii="宋体" w:cs="Times New Roman"/>
                <w:kern w:val="0"/>
                <w:sz w:val="24"/>
                <w:szCs w:val="24"/>
              </w:rPr>
            </w:pPr>
          </w:p>
        </w:tc>
      </w:tr>
      <w:tr w14:paraId="1BEC50F2">
        <w:tblPrEx>
          <w:tblCellMar>
            <w:top w:w="0" w:type="dxa"/>
            <w:left w:w="108" w:type="dxa"/>
            <w:bottom w:w="0" w:type="dxa"/>
            <w:right w:w="108" w:type="dxa"/>
          </w:tblCellMar>
        </w:tblPrEx>
        <w:trPr>
          <w:trHeight w:val="450" w:hRule="atLeast"/>
        </w:trPr>
        <w:tc>
          <w:tcPr>
            <w:tcW w:w="123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DD7D2F">
            <w:pPr>
              <w:widowControl/>
              <w:jc w:val="center"/>
              <w:rPr>
                <w:rFonts w:ascii="宋体" w:cs="Times New Roman"/>
                <w:kern w:val="0"/>
                <w:sz w:val="24"/>
                <w:szCs w:val="24"/>
              </w:rPr>
            </w:pPr>
          </w:p>
        </w:tc>
        <w:tc>
          <w:tcPr>
            <w:tcW w:w="1845" w:type="dxa"/>
            <w:tcBorders>
              <w:top w:val="nil"/>
              <w:left w:val="nil"/>
              <w:bottom w:val="single" w:color="auto" w:sz="4" w:space="0"/>
              <w:right w:val="single" w:color="auto" w:sz="4" w:space="0"/>
            </w:tcBorders>
            <w:shd w:val="clear" w:color="000000" w:fill="FFFFFF"/>
            <w:noWrap/>
            <w:vAlign w:val="center"/>
          </w:tcPr>
          <w:p w14:paraId="01F50D7B">
            <w:pPr>
              <w:widowControl/>
              <w:jc w:val="center"/>
              <w:rPr>
                <w:rFonts w:ascii="宋体" w:cs="Times New Roman"/>
                <w:kern w:val="0"/>
                <w:sz w:val="24"/>
                <w:szCs w:val="24"/>
              </w:rPr>
            </w:pPr>
          </w:p>
        </w:tc>
        <w:tc>
          <w:tcPr>
            <w:tcW w:w="1098" w:type="dxa"/>
            <w:tcBorders>
              <w:top w:val="nil"/>
              <w:left w:val="nil"/>
              <w:bottom w:val="single" w:color="auto" w:sz="4" w:space="0"/>
              <w:right w:val="single" w:color="auto" w:sz="4" w:space="0"/>
            </w:tcBorders>
            <w:noWrap/>
            <w:vAlign w:val="center"/>
          </w:tcPr>
          <w:p w14:paraId="22676C17">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14:paraId="05B1B414">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5A5E9FB7">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743FC38E">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35294827">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652270FA">
            <w:pPr>
              <w:widowControl/>
              <w:jc w:val="center"/>
              <w:rPr>
                <w:rFonts w:ascii="宋体" w:cs="Times New Roman"/>
                <w:kern w:val="0"/>
                <w:sz w:val="24"/>
                <w:szCs w:val="24"/>
              </w:rPr>
            </w:pPr>
          </w:p>
        </w:tc>
      </w:tr>
      <w:tr w14:paraId="7A6AC617">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14:paraId="4A77B858">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03C5D88B">
      <w:pPr>
        <w:widowControl/>
        <w:ind w:left="93"/>
        <w:jc w:val="center"/>
        <w:rPr>
          <w:rFonts w:ascii="Times New Roman" w:hAnsi="Times New Roman" w:eastAsia="方正小标宋_GBK" w:cs="Times New Roman"/>
          <w:color w:val="000000"/>
          <w:kern w:val="0"/>
          <w:sz w:val="36"/>
          <w:szCs w:val="36"/>
        </w:rPr>
      </w:pPr>
    </w:p>
    <w:p w14:paraId="6B49DAE7">
      <w:pPr>
        <w:widowControl/>
        <w:ind w:left="93"/>
        <w:jc w:val="center"/>
        <w:rPr>
          <w:rFonts w:ascii="Times New Roman" w:hAnsi="Times New Roman" w:eastAsia="方正小标宋_GBK" w:cs="Times New Roman"/>
          <w:color w:val="000000"/>
          <w:kern w:val="0"/>
          <w:sz w:val="36"/>
          <w:szCs w:val="36"/>
        </w:rPr>
      </w:pPr>
    </w:p>
    <w:p w14:paraId="709441E1">
      <w:pPr>
        <w:widowControl/>
        <w:ind w:left="93"/>
        <w:jc w:val="center"/>
        <w:rPr>
          <w:rFonts w:ascii="Times New Roman" w:hAnsi="Times New Roman" w:eastAsia="方正小标宋_GBK" w:cs="Times New Roman"/>
          <w:color w:val="000000"/>
          <w:kern w:val="0"/>
          <w:sz w:val="36"/>
          <w:szCs w:val="36"/>
        </w:rPr>
      </w:pPr>
    </w:p>
    <w:p w14:paraId="6BCE92E5">
      <w:pPr>
        <w:widowControl/>
        <w:rPr>
          <w:rFonts w:ascii="Times New Roman" w:hAnsi="Times New Roman" w:eastAsia="方正小标宋_GBK" w:cs="Times New Roman"/>
          <w:color w:val="000000"/>
          <w:kern w:val="0"/>
          <w:sz w:val="36"/>
          <w:szCs w:val="36"/>
        </w:rPr>
      </w:pPr>
    </w:p>
    <w:tbl>
      <w:tblPr>
        <w:tblStyle w:val="7"/>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700AA7AB">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D2B73FA">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14:paraId="2189190F">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0090F1EC">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63F8164B">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3FA57105">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3382E7E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1E5A23D2">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B507CF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6FDD716C">
            <w:pPr>
              <w:widowControl/>
              <w:jc w:val="right"/>
              <w:rPr>
                <w:rFonts w:ascii="宋体" w:cs="Times New Roman"/>
                <w:kern w:val="0"/>
                <w:sz w:val="24"/>
                <w:szCs w:val="24"/>
              </w:rPr>
            </w:pPr>
          </w:p>
        </w:tc>
      </w:tr>
      <w:tr w14:paraId="400B6CD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14:paraId="68564696">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194F7F86">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1451D38F">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23786CC6">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7A9F8ECF">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998F406">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2877BCCD">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5462065">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40A8E722">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5BBB840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2BF6533">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4CCB254F">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FB1CC61">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部门：湘潭县看守所</w:t>
            </w:r>
          </w:p>
        </w:tc>
        <w:tc>
          <w:tcPr>
            <w:tcW w:w="435" w:type="dxa"/>
            <w:tcBorders>
              <w:top w:val="nil"/>
              <w:left w:val="nil"/>
              <w:bottom w:val="nil"/>
              <w:right w:val="nil"/>
            </w:tcBorders>
            <w:shd w:val="clear" w:color="000000" w:fill="FFFFFF"/>
            <w:noWrap/>
            <w:vAlign w:val="center"/>
          </w:tcPr>
          <w:p w14:paraId="7E4B7AFD">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57EB5B9D">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6BBBED4">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6AADD55A">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23422F68">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5A728A25">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48BB17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810A812">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5819965">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50254C6">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5E807607">
            <w:pPr>
              <w:widowControl/>
              <w:jc w:val="center"/>
              <w:rPr>
                <w:rFonts w:ascii="宋体" w:cs="Times New Roman"/>
                <w:kern w:val="0"/>
                <w:sz w:val="24"/>
                <w:szCs w:val="24"/>
              </w:rPr>
            </w:pPr>
            <w:r>
              <w:rPr>
                <w:rFonts w:hint="eastAsia" w:ascii="宋体" w:hAnsi="宋体" w:cs="宋体"/>
                <w:kern w:val="0"/>
                <w:sz w:val="24"/>
                <w:szCs w:val="24"/>
              </w:rPr>
              <w:t>支出</w:t>
            </w:r>
          </w:p>
        </w:tc>
      </w:tr>
      <w:tr w14:paraId="1F477944">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5E4BD62B">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14:paraId="2B9758C8">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037C96C4">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34E9C56B">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743A6604">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DEFDDDA">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016273AC">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5E355FD8">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4EBC6DDB">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3D321FA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11B3F8">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14:paraId="5902F193">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3B9A9E7D">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3DB1671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1DA1430C">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77A906D5">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3BE55B21">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2CB1C476">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6BF266D3">
            <w:pPr>
              <w:widowControl/>
              <w:jc w:val="center"/>
              <w:rPr>
                <w:rFonts w:ascii="宋体" w:cs="Times New Roman"/>
                <w:kern w:val="0"/>
                <w:sz w:val="24"/>
                <w:szCs w:val="24"/>
              </w:rPr>
            </w:pPr>
            <w:r>
              <w:rPr>
                <w:rFonts w:ascii="宋体" w:hAnsi="宋体" w:cs="宋体"/>
                <w:kern w:val="0"/>
                <w:sz w:val="24"/>
                <w:szCs w:val="24"/>
              </w:rPr>
              <w:t>5</w:t>
            </w:r>
          </w:p>
        </w:tc>
      </w:tr>
      <w:tr w14:paraId="482D787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BC66AD5">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14:paraId="660808EA">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59A6B45F">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366.19</w:t>
            </w:r>
          </w:p>
        </w:tc>
        <w:tc>
          <w:tcPr>
            <w:tcW w:w="3411" w:type="dxa"/>
            <w:gridSpan w:val="2"/>
            <w:tcBorders>
              <w:top w:val="nil"/>
              <w:left w:val="nil"/>
              <w:bottom w:val="single" w:color="auto" w:sz="4" w:space="0"/>
              <w:right w:val="single" w:color="auto" w:sz="4" w:space="0"/>
            </w:tcBorders>
            <w:noWrap/>
            <w:vAlign w:val="center"/>
          </w:tcPr>
          <w:p w14:paraId="4AB529D8">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60ACCF5F">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93AEFE5">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4557C16F">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7787C010">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260C2627">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846E81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60EDA9B">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14:paraId="7BA70D0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3F703FE6">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14:paraId="6157BE69">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53413CDC">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3D307398">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ED9191E">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7A7CE652">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34AB5DB9">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2972950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F6C20BC">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14:paraId="6EEDD8A7">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07BB9FB">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14:paraId="0FABF39F">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54188C9F">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06B9F211">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A0DC2BA">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EE64099">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66DC6B91">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E645A6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C0CFD3">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192E76CA">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7FFF73C8">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4B5ED81A">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7EF2C49F">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17307E3D">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366.19</w:t>
            </w:r>
          </w:p>
        </w:tc>
        <w:tc>
          <w:tcPr>
            <w:tcW w:w="1394" w:type="dxa"/>
            <w:tcBorders>
              <w:top w:val="nil"/>
              <w:left w:val="nil"/>
              <w:bottom w:val="single" w:color="auto" w:sz="4" w:space="0"/>
              <w:right w:val="single" w:color="auto" w:sz="4" w:space="0"/>
            </w:tcBorders>
            <w:noWrap/>
            <w:vAlign w:val="center"/>
          </w:tcPr>
          <w:p w14:paraId="60F53297">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366.19</w:t>
            </w:r>
          </w:p>
        </w:tc>
        <w:tc>
          <w:tcPr>
            <w:tcW w:w="1394" w:type="dxa"/>
            <w:tcBorders>
              <w:top w:val="nil"/>
              <w:left w:val="nil"/>
              <w:bottom w:val="single" w:color="auto" w:sz="4" w:space="0"/>
              <w:right w:val="single" w:color="auto" w:sz="4" w:space="0"/>
            </w:tcBorders>
            <w:noWrap/>
            <w:vAlign w:val="center"/>
          </w:tcPr>
          <w:p w14:paraId="4174C841">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0229FD16">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BB739A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732D3C6">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086C56D">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78FD10E4">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71D15F84">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0D0A143B">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0C96576E">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25D20D1">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99EC570">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30055E9D">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2AB6A82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DDC007C">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67691FE">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5F9F142A">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A635B05">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14:paraId="2336295E">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2D2C4795">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517E085">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F982908">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39EEC0F3">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0FB5564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1467F30">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17FA2C6E">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09C15A51">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45074DCE">
            <w:pPr>
              <w:widowControl/>
              <w:jc w:val="left"/>
              <w:rPr>
                <w:rFonts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14:paraId="7E6AF1E8">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59CDDF9E">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4E67B027">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74B209CA">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4675CB95">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30678C2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CEDB646">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280C1FA">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6DF1CAEC">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5C9B622C">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2786AB28">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48E2164C">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231EEF45">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3FEA33CC">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81EBF09">
            <w:pPr>
              <w:widowControl/>
              <w:jc w:val="center"/>
              <w:rPr>
                <w:rFonts w:ascii="宋体" w:cs="Times New Roman"/>
                <w:kern w:val="0"/>
                <w:sz w:val="22"/>
                <w:szCs w:val="22"/>
              </w:rPr>
            </w:pPr>
          </w:p>
        </w:tc>
      </w:tr>
      <w:tr w14:paraId="2EEE4A4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FF021A2">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14:paraId="7C78BB8E">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2202D192">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366.19</w:t>
            </w:r>
          </w:p>
        </w:tc>
        <w:tc>
          <w:tcPr>
            <w:tcW w:w="3411" w:type="dxa"/>
            <w:gridSpan w:val="2"/>
            <w:tcBorders>
              <w:top w:val="nil"/>
              <w:left w:val="nil"/>
              <w:bottom w:val="single" w:color="auto" w:sz="4" w:space="0"/>
              <w:right w:val="single" w:color="auto" w:sz="4" w:space="0"/>
            </w:tcBorders>
            <w:noWrap/>
            <w:vAlign w:val="center"/>
          </w:tcPr>
          <w:p w14:paraId="02203048">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8411AEB">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28289CAD">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366.19</w:t>
            </w:r>
          </w:p>
        </w:tc>
        <w:tc>
          <w:tcPr>
            <w:tcW w:w="1394" w:type="dxa"/>
            <w:tcBorders>
              <w:top w:val="nil"/>
              <w:left w:val="nil"/>
              <w:bottom w:val="single" w:color="auto" w:sz="4" w:space="0"/>
              <w:right w:val="single" w:color="auto" w:sz="4" w:space="0"/>
            </w:tcBorders>
            <w:noWrap/>
            <w:vAlign w:val="center"/>
          </w:tcPr>
          <w:p w14:paraId="6EE77CDE">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366.19</w:t>
            </w:r>
          </w:p>
        </w:tc>
        <w:tc>
          <w:tcPr>
            <w:tcW w:w="1394" w:type="dxa"/>
            <w:tcBorders>
              <w:top w:val="nil"/>
              <w:left w:val="nil"/>
              <w:bottom w:val="single" w:color="auto" w:sz="4" w:space="0"/>
              <w:right w:val="single" w:color="auto" w:sz="4" w:space="0"/>
            </w:tcBorders>
            <w:noWrap/>
            <w:vAlign w:val="center"/>
          </w:tcPr>
          <w:p w14:paraId="5CB4959A">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097D3E89">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14:paraId="1C2C7BE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D7A7D24">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14:paraId="593EB15A">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20D63D02">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14:paraId="63116D19">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6580B3CF">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14FD43DD">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42D1032">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14A9C40">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691043AA">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14:paraId="507EF41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96BFFA">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14:paraId="0E79D98C">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57B485FF">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14:paraId="767F1553">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B76DE0A">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C43C9DD">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14:paraId="12286115">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30DBC731">
            <w:pPr>
              <w:widowControl/>
              <w:jc w:val="center"/>
              <w:rPr>
                <w:rFonts w:hint="eastAsia" w:ascii="宋体" w:eastAsia="宋体" w:cs="Times New Roman"/>
                <w:kern w:val="0"/>
                <w:sz w:val="22"/>
                <w:szCs w:val="22"/>
                <w:lang w:val="en-US" w:eastAsia="zh-CN"/>
              </w:rPr>
            </w:pPr>
          </w:p>
        </w:tc>
        <w:tc>
          <w:tcPr>
            <w:tcW w:w="1573" w:type="dxa"/>
            <w:tcBorders>
              <w:top w:val="nil"/>
              <w:left w:val="nil"/>
              <w:bottom w:val="single" w:color="auto" w:sz="4" w:space="0"/>
              <w:right w:val="single" w:color="auto" w:sz="4" w:space="0"/>
            </w:tcBorders>
            <w:noWrap/>
            <w:vAlign w:val="center"/>
          </w:tcPr>
          <w:p w14:paraId="31B96363">
            <w:pPr>
              <w:widowControl/>
              <w:jc w:val="center"/>
              <w:rPr>
                <w:rFonts w:ascii="宋体" w:cs="Times New Roman"/>
                <w:kern w:val="0"/>
                <w:sz w:val="22"/>
                <w:szCs w:val="22"/>
              </w:rPr>
            </w:pPr>
          </w:p>
        </w:tc>
      </w:tr>
      <w:tr w14:paraId="27BEAF3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1B8C18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14:paraId="56D699F3">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2449E544">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14:paraId="6A7A6FF8">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5015E978">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2A6D85F3">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14:paraId="3228BF10">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06400645">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711E7FAE">
            <w:pPr>
              <w:widowControl/>
              <w:jc w:val="center"/>
              <w:rPr>
                <w:rFonts w:ascii="宋体" w:cs="Times New Roman"/>
                <w:kern w:val="0"/>
                <w:sz w:val="22"/>
                <w:szCs w:val="22"/>
              </w:rPr>
            </w:pPr>
          </w:p>
        </w:tc>
      </w:tr>
      <w:tr w14:paraId="03EEDF4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86E02DF">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14:paraId="1A278715">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1AFC6919">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14:paraId="122A10CC">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D6C7B29">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226CC46B">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14:paraId="48CFF614">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05E3E664">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E20A513">
            <w:pPr>
              <w:widowControl/>
              <w:jc w:val="center"/>
              <w:rPr>
                <w:rFonts w:ascii="宋体" w:cs="Times New Roman"/>
                <w:kern w:val="0"/>
                <w:sz w:val="22"/>
                <w:szCs w:val="22"/>
              </w:rPr>
            </w:pPr>
          </w:p>
        </w:tc>
      </w:tr>
      <w:tr w14:paraId="3F57456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23251BAB">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41CEDB1E">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45975D65">
            <w:pPr>
              <w:widowControl/>
              <w:jc w:val="center"/>
              <w:rPr>
                <w:rFonts w:ascii="宋体" w:cs="Times New Roman"/>
                <w:kern w:val="0"/>
                <w:sz w:val="22"/>
                <w:szCs w:val="22"/>
              </w:rPr>
            </w:pPr>
            <w:r>
              <w:rPr>
                <w:rFonts w:hint="eastAsia" w:ascii="宋体" w:hAnsi="宋体" w:cs="宋体"/>
                <w:kern w:val="0"/>
                <w:sz w:val="22"/>
                <w:szCs w:val="22"/>
                <w:lang w:val="en-US" w:eastAsia="zh-CN"/>
              </w:rPr>
              <w:t>366.19</w:t>
            </w:r>
          </w:p>
        </w:tc>
        <w:tc>
          <w:tcPr>
            <w:tcW w:w="3411" w:type="dxa"/>
            <w:gridSpan w:val="2"/>
            <w:tcBorders>
              <w:top w:val="nil"/>
              <w:left w:val="nil"/>
              <w:bottom w:val="single" w:color="auto" w:sz="4" w:space="0"/>
              <w:right w:val="single" w:color="auto" w:sz="4" w:space="0"/>
            </w:tcBorders>
            <w:shd w:val="clear" w:color="000000" w:fill="FFFFFF"/>
            <w:noWrap/>
            <w:vAlign w:val="center"/>
          </w:tcPr>
          <w:p w14:paraId="21E263ED">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C2A06B4">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4284CE7C">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366.19</w:t>
            </w:r>
          </w:p>
        </w:tc>
        <w:tc>
          <w:tcPr>
            <w:tcW w:w="1394" w:type="dxa"/>
            <w:tcBorders>
              <w:top w:val="nil"/>
              <w:left w:val="nil"/>
              <w:bottom w:val="single" w:color="auto" w:sz="4" w:space="0"/>
              <w:right w:val="single" w:color="auto" w:sz="4" w:space="0"/>
            </w:tcBorders>
            <w:shd w:val="clear" w:color="000000" w:fill="FFFFFF"/>
            <w:noWrap/>
            <w:vAlign w:val="center"/>
          </w:tcPr>
          <w:p w14:paraId="445359C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366.19</w:t>
            </w:r>
          </w:p>
        </w:tc>
        <w:tc>
          <w:tcPr>
            <w:tcW w:w="1394" w:type="dxa"/>
            <w:tcBorders>
              <w:top w:val="nil"/>
              <w:left w:val="nil"/>
              <w:bottom w:val="single" w:color="auto" w:sz="4" w:space="0"/>
              <w:right w:val="single" w:color="auto" w:sz="4" w:space="0"/>
            </w:tcBorders>
            <w:noWrap/>
            <w:vAlign w:val="center"/>
          </w:tcPr>
          <w:p w14:paraId="74401763">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119EE22F">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14:paraId="505D60F8">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14:paraId="30AD467D">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264CA5FC">
      <w:pPr>
        <w:widowControl/>
        <w:jc w:val="center"/>
        <w:rPr>
          <w:rFonts w:ascii="Times New Roman" w:hAnsi="Times New Roman" w:eastAsia="方正小标宋_GBK" w:cs="Times New Roman"/>
          <w:kern w:val="0"/>
          <w:sz w:val="36"/>
          <w:szCs w:val="36"/>
        </w:rPr>
      </w:pPr>
    </w:p>
    <w:p w14:paraId="4D97B76D">
      <w:pPr>
        <w:widowControl/>
        <w:jc w:val="center"/>
        <w:rPr>
          <w:rFonts w:ascii="Times New Roman" w:hAnsi="Times New Roman" w:eastAsia="方正小标宋_GBK" w:cs="Times New Roman"/>
          <w:kern w:val="0"/>
          <w:sz w:val="36"/>
          <w:szCs w:val="36"/>
        </w:rPr>
      </w:pPr>
    </w:p>
    <w:p w14:paraId="35BC49AD">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38656E08">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湘潭县看守所</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B730849">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AA302B6">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2143E52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0BC2C76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603EBF19">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538B5AB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73606F27">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261464F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759D49F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4C9DC05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4759924E">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B6464AE">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694BEED6">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5436754C">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B35845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7571614E">
            <w:pPr>
              <w:widowControl/>
              <w:jc w:val="left"/>
              <w:rPr>
                <w:rFonts w:ascii="Times New Roman" w:hAnsi="Times New Roman" w:eastAsia="仿宋_GB2312" w:cs="Times New Roman"/>
                <w:kern w:val="0"/>
              </w:rPr>
            </w:pPr>
          </w:p>
        </w:tc>
      </w:tr>
      <w:tr w14:paraId="1C38D23B">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60B999F">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4C90BB2C">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081B4C3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7846696B">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A7DE545">
            <w:pPr>
              <w:widowControl/>
              <w:jc w:val="left"/>
              <w:rPr>
                <w:rFonts w:ascii="Times New Roman" w:hAnsi="Times New Roman" w:eastAsia="仿宋_GB2312" w:cs="Times New Roman"/>
                <w:kern w:val="0"/>
              </w:rPr>
            </w:pPr>
          </w:p>
        </w:tc>
      </w:tr>
      <w:tr w14:paraId="3E9C4C14">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7C6F7CB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252C753B">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627BCAA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70E87D6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6645205D">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08BD55E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7F38019C">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366.19</w:t>
            </w:r>
          </w:p>
        </w:tc>
        <w:tc>
          <w:tcPr>
            <w:tcW w:w="3492" w:type="dxa"/>
            <w:tcBorders>
              <w:top w:val="nil"/>
              <w:left w:val="nil"/>
              <w:bottom w:val="single" w:color="auto" w:sz="4" w:space="0"/>
              <w:right w:val="single" w:color="auto" w:sz="4" w:space="0"/>
            </w:tcBorders>
            <w:vAlign w:val="center"/>
          </w:tcPr>
          <w:p w14:paraId="5DB3A5DD">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14:paraId="6D5842A8">
            <w:pPr>
              <w:widowControl/>
              <w:jc w:val="center"/>
              <w:rPr>
                <w:rFonts w:ascii="Times New Roman" w:hAnsi="Times New Roman" w:eastAsia="仿宋_GB2312" w:cs="Times New Roman"/>
                <w:kern w:val="0"/>
              </w:rPr>
            </w:pPr>
            <w:r>
              <w:rPr>
                <w:rFonts w:hint="eastAsia" w:ascii="宋体" w:hAnsi="宋体" w:cs="宋体"/>
                <w:kern w:val="0"/>
                <w:sz w:val="22"/>
                <w:szCs w:val="22"/>
                <w:lang w:val="en-US" w:eastAsia="zh-CN"/>
              </w:rPr>
              <w:t>366.19</w:t>
            </w:r>
          </w:p>
        </w:tc>
      </w:tr>
      <w:tr w14:paraId="01D92BB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A35D6A4">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w:t>
            </w:r>
          </w:p>
        </w:tc>
        <w:tc>
          <w:tcPr>
            <w:tcW w:w="3527" w:type="dxa"/>
            <w:tcBorders>
              <w:top w:val="nil"/>
              <w:left w:val="nil"/>
              <w:bottom w:val="single" w:color="auto" w:sz="4" w:space="0"/>
              <w:right w:val="single" w:color="auto" w:sz="4" w:space="0"/>
            </w:tcBorders>
            <w:vAlign w:val="center"/>
          </w:tcPr>
          <w:p w14:paraId="0A78BF25">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公共安全支出</w:t>
            </w:r>
          </w:p>
        </w:tc>
        <w:tc>
          <w:tcPr>
            <w:tcW w:w="3000" w:type="dxa"/>
            <w:tcBorders>
              <w:top w:val="nil"/>
              <w:left w:val="nil"/>
              <w:bottom w:val="single" w:color="auto" w:sz="4" w:space="0"/>
              <w:right w:val="single" w:color="auto" w:sz="4" w:space="0"/>
            </w:tcBorders>
            <w:vAlign w:val="center"/>
          </w:tcPr>
          <w:p w14:paraId="6D4BE1C1">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366.19</w:t>
            </w:r>
          </w:p>
        </w:tc>
        <w:tc>
          <w:tcPr>
            <w:tcW w:w="3492" w:type="dxa"/>
            <w:tcBorders>
              <w:top w:val="nil"/>
              <w:left w:val="nil"/>
              <w:bottom w:val="single" w:color="auto" w:sz="4" w:space="0"/>
              <w:right w:val="single" w:color="auto" w:sz="4" w:space="0"/>
            </w:tcBorders>
            <w:vAlign w:val="center"/>
          </w:tcPr>
          <w:p w14:paraId="23B0FD28">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14:paraId="74A334D3">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366.19</w:t>
            </w:r>
          </w:p>
        </w:tc>
      </w:tr>
      <w:tr w14:paraId="5A693B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2E6A5C">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w:t>
            </w:r>
          </w:p>
        </w:tc>
        <w:tc>
          <w:tcPr>
            <w:tcW w:w="3527" w:type="dxa"/>
            <w:tcBorders>
              <w:top w:val="nil"/>
              <w:left w:val="nil"/>
              <w:bottom w:val="single" w:color="auto" w:sz="4" w:space="0"/>
              <w:right w:val="single" w:color="auto" w:sz="4" w:space="0"/>
            </w:tcBorders>
            <w:vAlign w:val="center"/>
          </w:tcPr>
          <w:p w14:paraId="1A76723E">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公安</w:t>
            </w:r>
          </w:p>
        </w:tc>
        <w:tc>
          <w:tcPr>
            <w:tcW w:w="3000" w:type="dxa"/>
            <w:tcBorders>
              <w:top w:val="nil"/>
              <w:left w:val="nil"/>
              <w:bottom w:val="single" w:color="auto" w:sz="4" w:space="0"/>
              <w:right w:val="single" w:color="auto" w:sz="4" w:space="0"/>
            </w:tcBorders>
            <w:vAlign w:val="center"/>
          </w:tcPr>
          <w:p w14:paraId="645756FD">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366.19</w:t>
            </w:r>
          </w:p>
        </w:tc>
        <w:tc>
          <w:tcPr>
            <w:tcW w:w="3492" w:type="dxa"/>
            <w:tcBorders>
              <w:top w:val="nil"/>
              <w:left w:val="nil"/>
              <w:bottom w:val="single" w:color="auto" w:sz="4" w:space="0"/>
              <w:right w:val="single" w:color="auto" w:sz="4" w:space="0"/>
            </w:tcBorders>
            <w:vAlign w:val="center"/>
          </w:tcPr>
          <w:p w14:paraId="05E49C7A">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14:paraId="39A85241">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366.19</w:t>
            </w:r>
          </w:p>
        </w:tc>
      </w:tr>
      <w:tr w14:paraId="72441CC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A9AB596">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2040299</w:t>
            </w:r>
          </w:p>
        </w:tc>
        <w:tc>
          <w:tcPr>
            <w:tcW w:w="3527" w:type="dxa"/>
            <w:tcBorders>
              <w:top w:val="nil"/>
              <w:left w:val="nil"/>
              <w:bottom w:val="single" w:color="auto" w:sz="4" w:space="0"/>
              <w:right w:val="single" w:color="auto" w:sz="4" w:space="0"/>
            </w:tcBorders>
            <w:vAlign w:val="center"/>
          </w:tcPr>
          <w:p w14:paraId="1F6B1460">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其他公安支出</w:t>
            </w:r>
          </w:p>
        </w:tc>
        <w:tc>
          <w:tcPr>
            <w:tcW w:w="3000" w:type="dxa"/>
            <w:tcBorders>
              <w:top w:val="nil"/>
              <w:left w:val="nil"/>
              <w:bottom w:val="single" w:color="auto" w:sz="4" w:space="0"/>
              <w:right w:val="single" w:color="auto" w:sz="4" w:space="0"/>
            </w:tcBorders>
            <w:vAlign w:val="center"/>
          </w:tcPr>
          <w:p w14:paraId="178A1862">
            <w:pPr>
              <w:widowControl/>
              <w:jc w:val="center"/>
              <w:rPr>
                <w:rFonts w:hint="default" w:ascii="Times New Roman" w:hAnsi="Times New Roman" w:eastAsia="仿宋_GB2312" w:cs="Times New Roman"/>
                <w:kern w:val="0"/>
                <w:sz w:val="21"/>
                <w:szCs w:val="21"/>
                <w:lang w:val="en-US" w:eastAsia="zh-CN" w:bidi="ar-SA"/>
              </w:rPr>
            </w:pPr>
            <w:r>
              <w:rPr>
                <w:rFonts w:hint="eastAsia" w:ascii="宋体" w:hAnsi="宋体" w:cs="宋体"/>
                <w:kern w:val="0"/>
                <w:sz w:val="22"/>
                <w:szCs w:val="22"/>
                <w:lang w:val="en-US" w:eastAsia="zh-CN"/>
              </w:rPr>
              <w:t>366.19</w:t>
            </w:r>
          </w:p>
        </w:tc>
        <w:tc>
          <w:tcPr>
            <w:tcW w:w="3492" w:type="dxa"/>
            <w:tcBorders>
              <w:top w:val="nil"/>
              <w:left w:val="nil"/>
              <w:bottom w:val="single" w:color="auto" w:sz="4" w:space="0"/>
              <w:right w:val="single" w:color="auto" w:sz="4" w:space="0"/>
            </w:tcBorders>
            <w:vAlign w:val="center"/>
          </w:tcPr>
          <w:p w14:paraId="0341879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14:paraId="4465BC32">
            <w:pPr>
              <w:widowControl/>
              <w:jc w:val="center"/>
              <w:rPr>
                <w:rFonts w:hint="default" w:ascii="Times New Roman" w:hAnsi="Times New Roman" w:eastAsia="仿宋_GB2312" w:cs="Times New Roman"/>
                <w:kern w:val="0"/>
                <w:sz w:val="21"/>
                <w:szCs w:val="21"/>
                <w:lang w:val="en-US" w:eastAsia="zh-CN" w:bidi="ar-SA"/>
              </w:rPr>
            </w:pPr>
            <w:r>
              <w:rPr>
                <w:rFonts w:hint="eastAsia" w:ascii="宋体" w:hAnsi="宋体" w:cs="宋体"/>
                <w:kern w:val="0"/>
                <w:sz w:val="22"/>
                <w:szCs w:val="22"/>
                <w:lang w:val="en-US" w:eastAsia="zh-CN"/>
              </w:rPr>
              <w:t>366.19</w:t>
            </w:r>
          </w:p>
        </w:tc>
      </w:tr>
      <w:tr w14:paraId="39F2065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CE4A5D1">
            <w:pPr>
              <w:widowControl/>
              <w:jc w:val="center"/>
              <w:rPr>
                <w:rFonts w:hint="default" w:ascii="Times New Roman" w:hAnsi="Times New Roman" w:eastAsia="仿宋_GB2312" w:cs="Times New Roman"/>
                <w:kern w:val="0"/>
                <w:lang w:val="en-US" w:eastAsia="zh-CN"/>
              </w:rPr>
            </w:pPr>
          </w:p>
        </w:tc>
        <w:tc>
          <w:tcPr>
            <w:tcW w:w="3527" w:type="dxa"/>
            <w:tcBorders>
              <w:top w:val="nil"/>
              <w:left w:val="nil"/>
              <w:bottom w:val="single" w:color="auto" w:sz="4" w:space="0"/>
              <w:right w:val="single" w:color="auto" w:sz="4" w:space="0"/>
            </w:tcBorders>
            <w:vAlign w:val="center"/>
          </w:tcPr>
          <w:p w14:paraId="40AD4C9B">
            <w:pPr>
              <w:widowControl/>
              <w:jc w:val="left"/>
              <w:rPr>
                <w:rFonts w:hint="default" w:ascii="Times New Roman" w:hAnsi="Times New Roman" w:eastAsia="仿宋_GB2312" w:cs="Times New Roman"/>
                <w:kern w:val="0"/>
                <w:lang w:val="en-US" w:eastAsia="zh-CN"/>
              </w:rPr>
            </w:pPr>
          </w:p>
        </w:tc>
        <w:tc>
          <w:tcPr>
            <w:tcW w:w="3000" w:type="dxa"/>
            <w:tcBorders>
              <w:top w:val="nil"/>
              <w:left w:val="nil"/>
              <w:bottom w:val="single" w:color="auto" w:sz="4" w:space="0"/>
              <w:right w:val="single" w:color="auto" w:sz="4" w:space="0"/>
            </w:tcBorders>
            <w:vAlign w:val="center"/>
          </w:tcPr>
          <w:p w14:paraId="7F9A5F6C">
            <w:pPr>
              <w:widowControl/>
              <w:jc w:val="center"/>
              <w:rPr>
                <w:rFonts w:hint="default" w:ascii="Times New Roman" w:hAnsi="Times New Roman" w:eastAsia="仿宋_GB2312" w:cs="Times New Roman"/>
                <w:kern w:val="0"/>
                <w:lang w:val="en-US" w:eastAsia="zh-CN"/>
              </w:rPr>
            </w:pPr>
          </w:p>
        </w:tc>
        <w:tc>
          <w:tcPr>
            <w:tcW w:w="3492" w:type="dxa"/>
            <w:tcBorders>
              <w:top w:val="nil"/>
              <w:left w:val="nil"/>
              <w:bottom w:val="single" w:color="auto" w:sz="4" w:space="0"/>
              <w:right w:val="single" w:color="auto" w:sz="4" w:space="0"/>
            </w:tcBorders>
            <w:vAlign w:val="center"/>
          </w:tcPr>
          <w:p w14:paraId="77101141">
            <w:pPr>
              <w:widowControl/>
              <w:jc w:val="center"/>
              <w:rPr>
                <w:rFonts w:hint="eastAsia" w:ascii="Times New Roman" w:hAnsi="Times New Roman" w:eastAsia="仿宋_GB2312" w:cs="Times New Roman"/>
                <w:kern w:val="0"/>
                <w:lang w:val="en-US" w:eastAsia="zh-CN"/>
              </w:rPr>
            </w:pPr>
          </w:p>
        </w:tc>
        <w:tc>
          <w:tcPr>
            <w:tcW w:w="3000" w:type="dxa"/>
            <w:tcBorders>
              <w:top w:val="nil"/>
              <w:left w:val="nil"/>
              <w:bottom w:val="single" w:color="auto" w:sz="4" w:space="0"/>
              <w:right w:val="single" w:color="auto" w:sz="8" w:space="0"/>
            </w:tcBorders>
            <w:vAlign w:val="center"/>
          </w:tcPr>
          <w:p w14:paraId="7ADE49FB">
            <w:pPr>
              <w:widowControl/>
              <w:jc w:val="center"/>
              <w:rPr>
                <w:rFonts w:hint="default" w:ascii="Times New Roman" w:hAnsi="Times New Roman" w:eastAsia="仿宋_GB2312" w:cs="Times New Roman"/>
                <w:kern w:val="0"/>
                <w:lang w:val="en-US" w:eastAsia="zh-CN"/>
              </w:rPr>
            </w:pPr>
          </w:p>
        </w:tc>
      </w:tr>
      <w:tr w14:paraId="3E7DC79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0709C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14:paraId="5A3494A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4" w:space="0"/>
            </w:tcBorders>
            <w:vAlign w:val="center"/>
          </w:tcPr>
          <w:p w14:paraId="0A337D01">
            <w:pPr>
              <w:widowControl/>
              <w:jc w:val="center"/>
              <w:rPr>
                <w:rFonts w:ascii="Times New Roman" w:hAnsi="Times New Roman" w:eastAsia="仿宋_GB2312" w:cs="Times New Roman"/>
                <w:kern w:val="0"/>
              </w:rPr>
            </w:pPr>
          </w:p>
        </w:tc>
        <w:tc>
          <w:tcPr>
            <w:tcW w:w="3492" w:type="dxa"/>
            <w:tcBorders>
              <w:top w:val="nil"/>
              <w:left w:val="nil"/>
              <w:bottom w:val="single" w:color="auto" w:sz="4" w:space="0"/>
              <w:right w:val="single" w:color="auto" w:sz="4" w:space="0"/>
            </w:tcBorders>
            <w:vAlign w:val="center"/>
          </w:tcPr>
          <w:p w14:paraId="60D5B350">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14:paraId="6D1CD2E1">
            <w:pPr>
              <w:widowControl/>
              <w:jc w:val="center"/>
              <w:rPr>
                <w:rFonts w:ascii="Times New Roman" w:hAnsi="Times New Roman" w:eastAsia="仿宋_GB2312" w:cs="Times New Roman"/>
                <w:kern w:val="0"/>
              </w:rPr>
            </w:pPr>
          </w:p>
        </w:tc>
      </w:tr>
      <w:tr w14:paraId="1590389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8596BC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14:paraId="7B22311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14:paraId="03515495">
            <w:pPr>
              <w:widowControl/>
              <w:jc w:val="center"/>
              <w:rPr>
                <w:rFonts w:ascii="Times New Roman" w:hAnsi="Times New Roman" w:eastAsia="仿宋_GB2312" w:cs="Times New Roman"/>
                <w:kern w:val="0"/>
              </w:rPr>
            </w:pPr>
          </w:p>
        </w:tc>
        <w:tc>
          <w:tcPr>
            <w:tcW w:w="3492" w:type="dxa"/>
            <w:tcBorders>
              <w:top w:val="nil"/>
              <w:left w:val="nil"/>
              <w:bottom w:val="single" w:color="auto" w:sz="8" w:space="0"/>
              <w:right w:val="single" w:color="auto" w:sz="4" w:space="0"/>
            </w:tcBorders>
            <w:vAlign w:val="center"/>
          </w:tcPr>
          <w:p w14:paraId="1A8F4037">
            <w:pPr>
              <w:widowControl/>
              <w:jc w:val="center"/>
              <w:rPr>
                <w:rFonts w:ascii="Times New Roman" w:hAnsi="Times New Roman" w:eastAsia="仿宋_GB2312" w:cs="Times New Roman"/>
                <w:kern w:val="0"/>
              </w:rPr>
            </w:pPr>
          </w:p>
        </w:tc>
        <w:tc>
          <w:tcPr>
            <w:tcW w:w="3000" w:type="dxa"/>
            <w:tcBorders>
              <w:top w:val="nil"/>
              <w:left w:val="nil"/>
              <w:bottom w:val="single" w:color="auto" w:sz="8" w:space="0"/>
              <w:right w:val="single" w:color="auto" w:sz="8" w:space="0"/>
            </w:tcBorders>
            <w:vAlign w:val="center"/>
          </w:tcPr>
          <w:p w14:paraId="11681B71">
            <w:pPr>
              <w:widowControl/>
              <w:jc w:val="center"/>
              <w:rPr>
                <w:rFonts w:ascii="Times New Roman" w:hAnsi="Times New Roman" w:eastAsia="仿宋_GB2312" w:cs="Times New Roman"/>
                <w:kern w:val="0"/>
              </w:rPr>
            </w:pPr>
          </w:p>
        </w:tc>
      </w:tr>
      <w:tr w14:paraId="424C8218">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410D9D4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0A57913A">
      <w:pPr>
        <w:widowControl/>
        <w:jc w:val="left"/>
        <w:rPr>
          <w:rFonts w:ascii="Times New Roman" w:hAnsi="Times New Roman" w:eastAsia="仿宋_GB2312" w:cs="Times New Roman"/>
          <w:kern w:val="0"/>
        </w:rPr>
      </w:pPr>
    </w:p>
    <w:p w14:paraId="21A5CBEC">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7"/>
        <w:tblW w:w="0" w:type="auto"/>
        <w:tblInd w:w="-106" w:type="dxa"/>
        <w:tblLayout w:type="autofit"/>
        <w:tblCellMar>
          <w:top w:w="0" w:type="dxa"/>
          <w:left w:w="108" w:type="dxa"/>
          <w:bottom w:w="0" w:type="dxa"/>
          <w:right w:w="108" w:type="dxa"/>
        </w:tblCellMar>
      </w:tblPr>
      <w:tblGrid>
        <w:gridCol w:w="1338"/>
        <w:gridCol w:w="3367"/>
        <w:gridCol w:w="699"/>
        <w:gridCol w:w="1198"/>
        <w:gridCol w:w="2316"/>
        <w:gridCol w:w="699"/>
        <w:gridCol w:w="1198"/>
        <w:gridCol w:w="4206"/>
        <w:gridCol w:w="699"/>
      </w:tblGrid>
      <w:tr w14:paraId="5A51923B">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noWrap/>
            <w:vAlign w:val="center"/>
          </w:tcPr>
          <w:p w14:paraId="74F5FF19">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14:paraId="5E4DEB4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4583BB3D">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720B3CAC">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14:paraId="14B012B1">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vAlign w:val="center"/>
          </w:tcPr>
          <w:p w14:paraId="4D33420B">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14:paraId="231CBF85">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14:paraId="1570BF91">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14:paraId="26E22A70">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14:paraId="7C61A801">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14:paraId="6029CA86">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14:paraId="06E9A0BB">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14:paraId="40B76AF8">
            <w:pPr>
              <w:widowControl/>
              <w:jc w:val="center"/>
              <w:rPr>
                <w:rFonts w:ascii="宋体" w:cs="Times New Roman"/>
                <w:color w:val="000000"/>
                <w:kern w:val="0"/>
              </w:rPr>
            </w:pPr>
            <w:r>
              <w:rPr>
                <w:rFonts w:hint="eastAsia" w:ascii="宋体" w:hAnsi="宋体" w:cs="宋体"/>
                <w:color w:val="000000"/>
                <w:kern w:val="0"/>
              </w:rPr>
              <w:t>决算数</w:t>
            </w:r>
          </w:p>
        </w:tc>
      </w:tr>
      <w:tr w14:paraId="4445ACC0">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AA0A49F">
            <w:pPr>
              <w:widowControl/>
              <w:jc w:val="left"/>
              <w:rPr>
                <w:rFonts w:ascii="宋体" w:cs="Times New Roman"/>
                <w:color w:val="000000"/>
                <w:kern w:val="0"/>
              </w:rPr>
            </w:pPr>
            <w:r>
              <w:rPr>
                <w:rFonts w:ascii="宋体" w:hAnsi="宋体" w:cs="宋体"/>
                <w:color w:val="000000"/>
                <w:kern w:val="0"/>
              </w:rPr>
              <w:t>301</w:t>
            </w:r>
          </w:p>
        </w:tc>
        <w:tc>
          <w:tcPr>
            <w:tcW w:w="3366" w:type="dxa"/>
            <w:tcBorders>
              <w:top w:val="nil"/>
              <w:left w:val="nil"/>
              <w:bottom w:val="single" w:color="auto" w:sz="4" w:space="0"/>
              <w:right w:val="single" w:color="auto" w:sz="4" w:space="0"/>
            </w:tcBorders>
            <w:noWrap/>
            <w:vAlign w:val="center"/>
          </w:tcPr>
          <w:p w14:paraId="34C9BC5B">
            <w:pPr>
              <w:widowControl/>
              <w:jc w:val="left"/>
              <w:rPr>
                <w:rFonts w:ascii="宋体" w:cs="Times New Roman"/>
                <w:color w:val="000000"/>
                <w:kern w:val="0"/>
              </w:rPr>
            </w:pPr>
            <w:r>
              <w:rPr>
                <w:rFonts w:hint="eastAsia" w:ascii="宋体" w:hAnsi="宋体" w:cs="宋体"/>
                <w:color w:val="000000"/>
                <w:kern w:val="0"/>
              </w:rPr>
              <w:t>工资福利支出</w:t>
            </w:r>
          </w:p>
        </w:tc>
        <w:tc>
          <w:tcPr>
            <w:tcW w:w="0" w:type="auto"/>
            <w:tcBorders>
              <w:top w:val="nil"/>
              <w:left w:val="nil"/>
              <w:bottom w:val="single" w:color="auto" w:sz="4" w:space="0"/>
              <w:right w:val="single" w:color="auto" w:sz="4" w:space="0"/>
            </w:tcBorders>
            <w:noWrap/>
            <w:vAlign w:val="center"/>
          </w:tcPr>
          <w:p w14:paraId="5971F24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3E29DC4">
            <w:pPr>
              <w:widowControl/>
              <w:jc w:val="left"/>
              <w:rPr>
                <w:rFonts w:ascii="宋体" w:cs="Times New Roman"/>
                <w:color w:val="000000"/>
                <w:kern w:val="0"/>
              </w:rPr>
            </w:pPr>
            <w:r>
              <w:rPr>
                <w:rFonts w:ascii="宋体" w:hAnsi="宋体" w:cs="宋体"/>
                <w:color w:val="000000"/>
                <w:kern w:val="0"/>
              </w:rPr>
              <w:t>302</w:t>
            </w:r>
          </w:p>
        </w:tc>
        <w:tc>
          <w:tcPr>
            <w:tcW w:w="0" w:type="auto"/>
            <w:tcBorders>
              <w:top w:val="nil"/>
              <w:left w:val="nil"/>
              <w:bottom w:val="single" w:color="auto" w:sz="4" w:space="0"/>
              <w:right w:val="single" w:color="auto" w:sz="4" w:space="0"/>
            </w:tcBorders>
            <w:noWrap/>
            <w:vAlign w:val="center"/>
          </w:tcPr>
          <w:p w14:paraId="6D781B5B">
            <w:pPr>
              <w:widowControl/>
              <w:jc w:val="left"/>
              <w:rPr>
                <w:rFonts w:ascii="宋体" w:cs="Times New Roman"/>
                <w:color w:val="000000"/>
                <w:kern w:val="0"/>
              </w:rPr>
            </w:pPr>
            <w:r>
              <w:rPr>
                <w:rFonts w:hint="eastAsia" w:ascii="宋体" w:hAnsi="宋体" w:cs="宋体"/>
                <w:color w:val="000000"/>
                <w:kern w:val="0"/>
              </w:rPr>
              <w:t>商品和服务支出</w:t>
            </w:r>
          </w:p>
        </w:tc>
        <w:tc>
          <w:tcPr>
            <w:tcW w:w="0" w:type="auto"/>
            <w:tcBorders>
              <w:top w:val="nil"/>
              <w:left w:val="nil"/>
              <w:bottom w:val="single" w:color="auto" w:sz="4" w:space="0"/>
              <w:right w:val="single" w:color="auto" w:sz="4" w:space="0"/>
            </w:tcBorders>
            <w:noWrap/>
            <w:vAlign w:val="center"/>
          </w:tcPr>
          <w:p w14:paraId="05FC0444">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29E399A">
            <w:pPr>
              <w:widowControl/>
              <w:jc w:val="left"/>
              <w:rPr>
                <w:rFonts w:ascii="宋体" w:cs="Times New Roman"/>
                <w:color w:val="000000"/>
                <w:kern w:val="0"/>
              </w:rPr>
            </w:pPr>
            <w:r>
              <w:rPr>
                <w:rFonts w:ascii="宋体" w:hAnsi="宋体" w:cs="宋体"/>
                <w:color w:val="000000"/>
                <w:kern w:val="0"/>
              </w:rPr>
              <w:t>307</w:t>
            </w:r>
          </w:p>
        </w:tc>
        <w:tc>
          <w:tcPr>
            <w:tcW w:w="0" w:type="auto"/>
            <w:tcBorders>
              <w:top w:val="nil"/>
              <w:left w:val="nil"/>
              <w:bottom w:val="single" w:color="auto" w:sz="4" w:space="0"/>
              <w:right w:val="single" w:color="auto" w:sz="4" w:space="0"/>
            </w:tcBorders>
            <w:noWrap/>
            <w:vAlign w:val="center"/>
          </w:tcPr>
          <w:p w14:paraId="3E1932C6">
            <w:pPr>
              <w:widowControl/>
              <w:jc w:val="left"/>
              <w:rPr>
                <w:rFonts w:ascii="宋体" w:cs="Times New Roman"/>
                <w:color w:val="000000"/>
                <w:kern w:val="0"/>
              </w:rPr>
            </w:pPr>
            <w:r>
              <w:rPr>
                <w:rFonts w:hint="eastAsia" w:ascii="宋体" w:hAnsi="宋体" w:cs="宋体"/>
                <w:color w:val="000000"/>
                <w:kern w:val="0"/>
              </w:rPr>
              <w:t>债务利息及费用支出</w:t>
            </w:r>
          </w:p>
        </w:tc>
        <w:tc>
          <w:tcPr>
            <w:tcW w:w="0" w:type="auto"/>
            <w:tcBorders>
              <w:top w:val="nil"/>
              <w:left w:val="nil"/>
              <w:bottom w:val="single" w:color="auto" w:sz="4" w:space="0"/>
              <w:right w:val="single" w:color="auto" w:sz="4" w:space="0"/>
            </w:tcBorders>
            <w:noWrap/>
            <w:vAlign w:val="center"/>
          </w:tcPr>
          <w:p w14:paraId="6C3C6C1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CCB0A4B">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6D2D3BC">
            <w:pPr>
              <w:widowControl/>
              <w:jc w:val="left"/>
              <w:rPr>
                <w:rFonts w:ascii="宋体" w:cs="Times New Roman"/>
                <w:color w:val="000000"/>
                <w:kern w:val="0"/>
              </w:rPr>
            </w:pPr>
            <w:r>
              <w:rPr>
                <w:rFonts w:ascii="宋体" w:hAnsi="宋体" w:cs="宋体"/>
                <w:color w:val="000000"/>
                <w:kern w:val="0"/>
              </w:rPr>
              <w:t>30101</w:t>
            </w:r>
          </w:p>
        </w:tc>
        <w:tc>
          <w:tcPr>
            <w:tcW w:w="3366" w:type="dxa"/>
            <w:tcBorders>
              <w:top w:val="nil"/>
              <w:left w:val="nil"/>
              <w:bottom w:val="single" w:color="auto" w:sz="4" w:space="0"/>
              <w:right w:val="single" w:color="auto" w:sz="4" w:space="0"/>
            </w:tcBorders>
            <w:noWrap/>
            <w:vAlign w:val="center"/>
          </w:tcPr>
          <w:p w14:paraId="7AE309A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0" w:type="auto"/>
            <w:tcBorders>
              <w:top w:val="nil"/>
              <w:left w:val="nil"/>
              <w:bottom w:val="single" w:color="auto" w:sz="4" w:space="0"/>
              <w:right w:val="single" w:color="auto" w:sz="4" w:space="0"/>
            </w:tcBorders>
            <w:noWrap/>
            <w:vAlign w:val="center"/>
          </w:tcPr>
          <w:p w14:paraId="45C6EB5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A3947F3">
            <w:pPr>
              <w:widowControl/>
              <w:jc w:val="left"/>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color="auto" w:sz="4" w:space="0"/>
              <w:right w:val="single" w:color="auto" w:sz="4" w:space="0"/>
            </w:tcBorders>
            <w:noWrap/>
            <w:vAlign w:val="center"/>
          </w:tcPr>
          <w:p w14:paraId="03DE0B8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0" w:type="auto"/>
            <w:tcBorders>
              <w:top w:val="nil"/>
              <w:left w:val="nil"/>
              <w:bottom w:val="single" w:color="auto" w:sz="4" w:space="0"/>
              <w:right w:val="single" w:color="auto" w:sz="4" w:space="0"/>
            </w:tcBorders>
            <w:noWrap/>
            <w:vAlign w:val="center"/>
          </w:tcPr>
          <w:p w14:paraId="5881D9B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2930C76">
            <w:pPr>
              <w:widowControl/>
              <w:jc w:val="left"/>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color="auto" w:sz="4" w:space="0"/>
              <w:right w:val="single" w:color="auto" w:sz="4" w:space="0"/>
            </w:tcBorders>
            <w:noWrap/>
            <w:vAlign w:val="center"/>
          </w:tcPr>
          <w:p w14:paraId="733EC0D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0" w:type="auto"/>
            <w:tcBorders>
              <w:top w:val="nil"/>
              <w:left w:val="nil"/>
              <w:bottom w:val="single" w:color="auto" w:sz="4" w:space="0"/>
              <w:right w:val="single" w:color="auto" w:sz="4" w:space="0"/>
            </w:tcBorders>
            <w:noWrap/>
            <w:vAlign w:val="center"/>
          </w:tcPr>
          <w:p w14:paraId="2101BC0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F10181E">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05896043">
            <w:pPr>
              <w:widowControl/>
              <w:jc w:val="left"/>
              <w:rPr>
                <w:rFonts w:ascii="宋体" w:cs="Times New Roman"/>
                <w:color w:val="000000"/>
                <w:kern w:val="0"/>
              </w:rPr>
            </w:pPr>
            <w:r>
              <w:rPr>
                <w:rFonts w:ascii="宋体" w:hAnsi="宋体" w:cs="宋体"/>
                <w:color w:val="000000"/>
                <w:kern w:val="0"/>
              </w:rPr>
              <w:t>30102</w:t>
            </w:r>
          </w:p>
        </w:tc>
        <w:tc>
          <w:tcPr>
            <w:tcW w:w="3366" w:type="dxa"/>
            <w:tcBorders>
              <w:top w:val="nil"/>
              <w:left w:val="nil"/>
              <w:bottom w:val="single" w:color="auto" w:sz="4" w:space="0"/>
              <w:right w:val="single" w:color="auto" w:sz="4" w:space="0"/>
            </w:tcBorders>
            <w:noWrap/>
            <w:vAlign w:val="center"/>
          </w:tcPr>
          <w:p w14:paraId="76B4C7A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0" w:type="auto"/>
            <w:tcBorders>
              <w:top w:val="nil"/>
              <w:left w:val="nil"/>
              <w:bottom w:val="single" w:color="auto" w:sz="4" w:space="0"/>
              <w:right w:val="single" w:color="auto" w:sz="4" w:space="0"/>
            </w:tcBorders>
            <w:noWrap/>
            <w:vAlign w:val="center"/>
          </w:tcPr>
          <w:p w14:paraId="60BF004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415ADE2">
            <w:pPr>
              <w:widowControl/>
              <w:jc w:val="left"/>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color="auto" w:sz="4" w:space="0"/>
              <w:right w:val="single" w:color="auto" w:sz="4" w:space="0"/>
            </w:tcBorders>
            <w:noWrap/>
            <w:vAlign w:val="center"/>
          </w:tcPr>
          <w:p w14:paraId="5F4CB1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0" w:type="auto"/>
            <w:tcBorders>
              <w:top w:val="nil"/>
              <w:left w:val="nil"/>
              <w:bottom w:val="single" w:color="auto" w:sz="4" w:space="0"/>
              <w:right w:val="single" w:color="auto" w:sz="4" w:space="0"/>
            </w:tcBorders>
            <w:noWrap/>
            <w:vAlign w:val="center"/>
          </w:tcPr>
          <w:p w14:paraId="143418C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ACACFCD">
            <w:pPr>
              <w:widowControl/>
              <w:jc w:val="left"/>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color="auto" w:sz="4" w:space="0"/>
              <w:right w:val="single" w:color="auto" w:sz="4" w:space="0"/>
            </w:tcBorders>
            <w:noWrap/>
            <w:vAlign w:val="center"/>
          </w:tcPr>
          <w:p w14:paraId="71A645A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0" w:type="auto"/>
            <w:tcBorders>
              <w:top w:val="nil"/>
              <w:left w:val="nil"/>
              <w:bottom w:val="single" w:color="auto" w:sz="4" w:space="0"/>
              <w:right w:val="single" w:color="auto" w:sz="4" w:space="0"/>
            </w:tcBorders>
            <w:noWrap/>
            <w:vAlign w:val="center"/>
          </w:tcPr>
          <w:p w14:paraId="19C034A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74CDF2F">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11069BC">
            <w:pPr>
              <w:widowControl/>
              <w:jc w:val="left"/>
              <w:rPr>
                <w:rFonts w:ascii="宋体" w:cs="Times New Roman"/>
                <w:color w:val="000000"/>
                <w:kern w:val="0"/>
              </w:rPr>
            </w:pPr>
            <w:r>
              <w:rPr>
                <w:rFonts w:ascii="宋体" w:hAnsi="宋体" w:cs="宋体"/>
                <w:color w:val="000000"/>
                <w:kern w:val="0"/>
              </w:rPr>
              <w:t>30103</w:t>
            </w:r>
          </w:p>
        </w:tc>
        <w:tc>
          <w:tcPr>
            <w:tcW w:w="3366" w:type="dxa"/>
            <w:tcBorders>
              <w:top w:val="nil"/>
              <w:left w:val="nil"/>
              <w:bottom w:val="single" w:color="auto" w:sz="4" w:space="0"/>
              <w:right w:val="single" w:color="auto" w:sz="4" w:space="0"/>
            </w:tcBorders>
            <w:noWrap/>
            <w:vAlign w:val="center"/>
          </w:tcPr>
          <w:p w14:paraId="34CAAE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0" w:type="auto"/>
            <w:tcBorders>
              <w:top w:val="nil"/>
              <w:left w:val="nil"/>
              <w:bottom w:val="single" w:color="auto" w:sz="4" w:space="0"/>
              <w:right w:val="single" w:color="auto" w:sz="4" w:space="0"/>
            </w:tcBorders>
            <w:noWrap/>
            <w:vAlign w:val="center"/>
          </w:tcPr>
          <w:p w14:paraId="39458B6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7509C5A">
            <w:pPr>
              <w:widowControl/>
              <w:jc w:val="left"/>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color="auto" w:sz="4" w:space="0"/>
              <w:right w:val="single" w:color="auto" w:sz="4" w:space="0"/>
            </w:tcBorders>
            <w:noWrap/>
            <w:vAlign w:val="center"/>
          </w:tcPr>
          <w:p w14:paraId="151198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0" w:type="auto"/>
            <w:tcBorders>
              <w:top w:val="nil"/>
              <w:left w:val="nil"/>
              <w:bottom w:val="single" w:color="auto" w:sz="4" w:space="0"/>
              <w:right w:val="single" w:color="auto" w:sz="4" w:space="0"/>
            </w:tcBorders>
            <w:noWrap/>
            <w:vAlign w:val="center"/>
          </w:tcPr>
          <w:p w14:paraId="53B8351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E7CED9E">
            <w:pPr>
              <w:widowControl/>
              <w:jc w:val="left"/>
              <w:rPr>
                <w:rFonts w:ascii="宋体" w:cs="Times New Roman"/>
                <w:color w:val="000000"/>
                <w:kern w:val="0"/>
              </w:rPr>
            </w:pPr>
            <w:r>
              <w:rPr>
                <w:rFonts w:ascii="宋体" w:hAnsi="宋体" w:cs="宋体"/>
                <w:color w:val="000000"/>
                <w:kern w:val="0"/>
              </w:rPr>
              <w:t>310</w:t>
            </w:r>
          </w:p>
        </w:tc>
        <w:tc>
          <w:tcPr>
            <w:tcW w:w="0" w:type="auto"/>
            <w:tcBorders>
              <w:top w:val="nil"/>
              <w:left w:val="nil"/>
              <w:bottom w:val="single" w:color="auto" w:sz="4" w:space="0"/>
              <w:right w:val="single" w:color="auto" w:sz="4" w:space="0"/>
            </w:tcBorders>
            <w:noWrap/>
            <w:vAlign w:val="center"/>
          </w:tcPr>
          <w:p w14:paraId="2C06CB6E">
            <w:pPr>
              <w:widowControl/>
              <w:jc w:val="left"/>
              <w:rPr>
                <w:rFonts w:ascii="宋体" w:cs="Times New Roman"/>
                <w:color w:val="000000"/>
                <w:kern w:val="0"/>
              </w:rPr>
            </w:pPr>
            <w:r>
              <w:rPr>
                <w:rFonts w:hint="eastAsia" w:ascii="宋体" w:hAnsi="宋体" w:cs="宋体"/>
                <w:color w:val="000000"/>
                <w:kern w:val="0"/>
              </w:rPr>
              <w:t>资本性支出</w:t>
            </w:r>
          </w:p>
        </w:tc>
        <w:tc>
          <w:tcPr>
            <w:tcW w:w="0" w:type="auto"/>
            <w:tcBorders>
              <w:top w:val="nil"/>
              <w:left w:val="nil"/>
              <w:bottom w:val="single" w:color="auto" w:sz="4" w:space="0"/>
              <w:right w:val="single" w:color="auto" w:sz="4" w:space="0"/>
            </w:tcBorders>
            <w:noWrap/>
            <w:vAlign w:val="center"/>
          </w:tcPr>
          <w:p w14:paraId="4995BAE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6B3C6DB">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6AE8B2CA">
            <w:pPr>
              <w:widowControl/>
              <w:jc w:val="left"/>
              <w:rPr>
                <w:rFonts w:ascii="宋体" w:cs="Times New Roman"/>
                <w:color w:val="000000"/>
                <w:kern w:val="0"/>
              </w:rPr>
            </w:pPr>
            <w:r>
              <w:rPr>
                <w:rFonts w:ascii="宋体" w:hAnsi="宋体" w:cs="宋体"/>
                <w:color w:val="000000"/>
                <w:kern w:val="0"/>
              </w:rPr>
              <w:t>30106</w:t>
            </w:r>
          </w:p>
        </w:tc>
        <w:tc>
          <w:tcPr>
            <w:tcW w:w="3366" w:type="dxa"/>
            <w:tcBorders>
              <w:top w:val="nil"/>
              <w:left w:val="nil"/>
              <w:bottom w:val="single" w:color="auto" w:sz="4" w:space="0"/>
              <w:right w:val="single" w:color="auto" w:sz="4" w:space="0"/>
            </w:tcBorders>
            <w:noWrap/>
            <w:vAlign w:val="center"/>
          </w:tcPr>
          <w:p w14:paraId="30A80A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0" w:type="auto"/>
            <w:tcBorders>
              <w:top w:val="nil"/>
              <w:left w:val="nil"/>
              <w:bottom w:val="single" w:color="auto" w:sz="4" w:space="0"/>
              <w:right w:val="single" w:color="auto" w:sz="4" w:space="0"/>
            </w:tcBorders>
            <w:noWrap/>
            <w:vAlign w:val="center"/>
          </w:tcPr>
          <w:p w14:paraId="7E896B95">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p w14:paraId="0114DD21">
            <w:pPr>
              <w:widowControl/>
              <w:jc w:val="left"/>
              <w:rPr>
                <w:rFonts w:hint="eastAsia" w:ascii="宋体" w:hAnsi="宋体" w:cs="宋体"/>
                <w:color w:val="000000"/>
                <w:kern w:val="0"/>
                <w:lang w:val="en-US" w:eastAsia="zh-CN"/>
              </w:rPr>
            </w:pPr>
          </w:p>
        </w:tc>
        <w:tc>
          <w:tcPr>
            <w:tcW w:w="0" w:type="auto"/>
            <w:tcBorders>
              <w:top w:val="nil"/>
              <w:left w:val="nil"/>
              <w:bottom w:val="single" w:color="auto" w:sz="4" w:space="0"/>
              <w:right w:val="single" w:color="auto" w:sz="4" w:space="0"/>
            </w:tcBorders>
            <w:noWrap/>
            <w:vAlign w:val="center"/>
          </w:tcPr>
          <w:p w14:paraId="0E0F022B">
            <w:pPr>
              <w:widowControl/>
              <w:jc w:val="left"/>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color="auto" w:sz="4" w:space="0"/>
              <w:right w:val="single" w:color="auto" w:sz="4" w:space="0"/>
            </w:tcBorders>
            <w:noWrap/>
            <w:vAlign w:val="center"/>
          </w:tcPr>
          <w:p w14:paraId="7861901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0" w:type="auto"/>
            <w:tcBorders>
              <w:top w:val="nil"/>
              <w:left w:val="nil"/>
              <w:bottom w:val="single" w:color="auto" w:sz="4" w:space="0"/>
              <w:right w:val="single" w:color="auto" w:sz="4" w:space="0"/>
            </w:tcBorders>
            <w:noWrap/>
            <w:vAlign w:val="center"/>
          </w:tcPr>
          <w:p w14:paraId="6FC0B75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6970003">
            <w:pPr>
              <w:widowControl/>
              <w:jc w:val="left"/>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color="auto" w:sz="4" w:space="0"/>
              <w:right w:val="single" w:color="auto" w:sz="4" w:space="0"/>
            </w:tcBorders>
            <w:noWrap/>
            <w:vAlign w:val="center"/>
          </w:tcPr>
          <w:p w14:paraId="1BB93E2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0" w:type="auto"/>
            <w:tcBorders>
              <w:top w:val="nil"/>
              <w:left w:val="nil"/>
              <w:bottom w:val="single" w:color="auto" w:sz="4" w:space="0"/>
              <w:right w:val="single" w:color="auto" w:sz="4" w:space="0"/>
            </w:tcBorders>
            <w:noWrap/>
            <w:vAlign w:val="center"/>
          </w:tcPr>
          <w:p w14:paraId="068629E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23781C4">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073F502A">
            <w:pPr>
              <w:widowControl/>
              <w:jc w:val="left"/>
              <w:rPr>
                <w:rFonts w:ascii="宋体" w:cs="Times New Roman"/>
                <w:color w:val="000000"/>
                <w:kern w:val="0"/>
              </w:rPr>
            </w:pPr>
            <w:r>
              <w:rPr>
                <w:rFonts w:ascii="宋体" w:hAnsi="宋体" w:cs="宋体"/>
                <w:color w:val="000000"/>
                <w:kern w:val="0"/>
              </w:rPr>
              <w:t>30107</w:t>
            </w:r>
          </w:p>
        </w:tc>
        <w:tc>
          <w:tcPr>
            <w:tcW w:w="3366" w:type="dxa"/>
            <w:tcBorders>
              <w:top w:val="nil"/>
              <w:left w:val="nil"/>
              <w:bottom w:val="single" w:color="auto" w:sz="4" w:space="0"/>
              <w:right w:val="single" w:color="auto" w:sz="4" w:space="0"/>
            </w:tcBorders>
            <w:noWrap/>
            <w:vAlign w:val="center"/>
          </w:tcPr>
          <w:p w14:paraId="7F6652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0" w:type="auto"/>
            <w:tcBorders>
              <w:top w:val="nil"/>
              <w:left w:val="nil"/>
              <w:bottom w:val="single" w:color="auto" w:sz="4" w:space="0"/>
              <w:right w:val="single" w:color="auto" w:sz="4" w:space="0"/>
            </w:tcBorders>
            <w:noWrap/>
            <w:vAlign w:val="center"/>
          </w:tcPr>
          <w:p w14:paraId="0974068C">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44ED313B">
            <w:pPr>
              <w:widowControl/>
              <w:jc w:val="left"/>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color="auto" w:sz="4" w:space="0"/>
              <w:right w:val="single" w:color="auto" w:sz="4" w:space="0"/>
            </w:tcBorders>
            <w:noWrap/>
            <w:vAlign w:val="center"/>
          </w:tcPr>
          <w:p w14:paraId="205E332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0" w:type="auto"/>
            <w:tcBorders>
              <w:top w:val="nil"/>
              <w:left w:val="nil"/>
              <w:bottom w:val="single" w:color="auto" w:sz="4" w:space="0"/>
              <w:right w:val="single" w:color="auto" w:sz="4" w:space="0"/>
            </w:tcBorders>
            <w:noWrap/>
            <w:vAlign w:val="center"/>
          </w:tcPr>
          <w:p w14:paraId="7A4D29D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CBE3DFA">
            <w:pPr>
              <w:widowControl/>
              <w:jc w:val="left"/>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color="auto" w:sz="4" w:space="0"/>
              <w:right w:val="single" w:color="auto" w:sz="4" w:space="0"/>
            </w:tcBorders>
            <w:noWrap/>
            <w:vAlign w:val="center"/>
          </w:tcPr>
          <w:p w14:paraId="1D1763A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0" w:type="auto"/>
            <w:tcBorders>
              <w:top w:val="nil"/>
              <w:left w:val="nil"/>
              <w:bottom w:val="single" w:color="auto" w:sz="4" w:space="0"/>
              <w:right w:val="single" w:color="auto" w:sz="4" w:space="0"/>
            </w:tcBorders>
            <w:noWrap/>
            <w:vAlign w:val="center"/>
          </w:tcPr>
          <w:p w14:paraId="41613A5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753CB9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390C99A">
            <w:pPr>
              <w:widowControl/>
              <w:jc w:val="left"/>
              <w:rPr>
                <w:rFonts w:ascii="宋体" w:cs="Times New Roman"/>
                <w:color w:val="000000"/>
                <w:kern w:val="0"/>
              </w:rPr>
            </w:pPr>
            <w:r>
              <w:rPr>
                <w:rFonts w:ascii="宋体" w:hAnsi="宋体" w:cs="宋体"/>
                <w:color w:val="000000"/>
                <w:kern w:val="0"/>
              </w:rPr>
              <w:t>30108</w:t>
            </w:r>
          </w:p>
        </w:tc>
        <w:tc>
          <w:tcPr>
            <w:tcW w:w="3366" w:type="dxa"/>
            <w:tcBorders>
              <w:top w:val="nil"/>
              <w:left w:val="nil"/>
              <w:bottom w:val="single" w:color="auto" w:sz="4" w:space="0"/>
              <w:right w:val="single" w:color="auto" w:sz="4" w:space="0"/>
            </w:tcBorders>
            <w:noWrap/>
            <w:vAlign w:val="center"/>
          </w:tcPr>
          <w:p w14:paraId="7234C7B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0" w:type="auto"/>
            <w:tcBorders>
              <w:top w:val="nil"/>
              <w:left w:val="nil"/>
              <w:bottom w:val="single" w:color="auto" w:sz="4" w:space="0"/>
              <w:right w:val="single" w:color="auto" w:sz="4" w:space="0"/>
            </w:tcBorders>
            <w:noWrap/>
            <w:vAlign w:val="center"/>
          </w:tcPr>
          <w:p w14:paraId="0C83EDA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B0909B4">
            <w:pPr>
              <w:widowControl/>
              <w:jc w:val="left"/>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color="auto" w:sz="4" w:space="0"/>
              <w:right w:val="single" w:color="auto" w:sz="4" w:space="0"/>
            </w:tcBorders>
            <w:noWrap/>
            <w:vAlign w:val="center"/>
          </w:tcPr>
          <w:p w14:paraId="20A113A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0" w:type="auto"/>
            <w:tcBorders>
              <w:top w:val="nil"/>
              <w:left w:val="nil"/>
              <w:bottom w:val="single" w:color="auto" w:sz="4" w:space="0"/>
              <w:right w:val="single" w:color="auto" w:sz="4" w:space="0"/>
            </w:tcBorders>
            <w:noWrap/>
            <w:vAlign w:val="center"/>
          </w:tcPr>
          <w:p w14:paraId="4758151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C465D50">
            <w:pPr>
              <w:widowControl/>
              <w:jc w:val="left"/>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color="auto" w:sz="4" w:space="0"/>
              <w:right w:val="single" w:color="auto" w:sz="4" w:space="0"/>
            </w:tcBorders>
            <w:noWrap/>
            <w:vAlign w:val="center"/>
          </w:tcPr>
          <w:p w14:paraId="004E34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0" w:type="auto"/>
            <w:tcBorders>
              <w:top w:val="nil"/>
              <w:left w:val="nil"/>
              <w:bottom w:val="single" w:color="auto" w:sz="4" w:space="0"/>
              <w:right w:val="single" w:color="auto" w:sz="4" w:space="0"/>
            </w:tcBorders>
            <w:noWrap/>
            <w:vAlign w:val="center"/>
          </w:tcPr>
          <w:p w14:paraId="5056CE3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7C33B53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56986F2">
            <w:pPr>
              <w:widowControl/>
              <w:jc w:val="left"/>
              <w:rPr>
                <w:rFonts w:ascii="宋体" w:cs="Times New Roman"/>
                <w:color w:val="000000"/>
                <w:kern w:val="0"/>
              </w:rPr>
            </w:pPr>
            <w:r>
              <w:rPr>
                <w:rFonts w:ascii="宋体" w:hAnsi="宋体" w:cs="宋体"/>
                <w:color w:val="000000"/>
                <w:kern w:val="0"/>
              </w:rPr>
              <w:t>30109</w:t>
            </w:r>
          </w:p>
        </w:tc>
        <w:tc>
          <w:tcPr>
            <w:tcW w:w="3366" w:type="dxa"/>
            <w:tcBorders>
              <w:top w:val="nil"/>
              <w:left w:val="nil"/>
              <w:bottom w:val="single" w:color="auto" w:sz="4" w:space="0"/>
              <w:right w:val="single" w:color="auto" w:sz="4" w:space="0"/>
            </w:tcBorders>
            <w:noWrap/>
            <w:vAlign w:val="center"/>
          </w:tcPr>
          <w:p w14:paraId="03988B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0" w:type="auto"/>
            <w:tcBorders>
              <w:top w:val="nil"/>
              <w:left w:val="nil"/>
              <w:bottom w:val="single" w:color="auto" w:sz="4" w:space="0"/>
              <w:right w:val="single" w:color="auto" w:sz="4" w:space="0"/>
            </w:tcBorders>
            <w:noWrap/>
            <w:vAlign w:val="center"/>
          </w:tcPr>
          <w:p w14:paraId="0548982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650600B">
            <w:pPr>
              <w:widowControl/>
              <w:jc w:val="left"/>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color="auto" w:sz="4" w:space="0"/>
              <w:right w:val="single" w:color="auto" w:sz="4" w:space="0"/>
            </w:tcBorders>
            <w:noWrap/>
            <w:vAlign w:val="center"/>
          </w:tcPr>
          <w:p w14:paraId="60D0E64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0" w:type="auto"/>
            <w:tcBorders>
              <w:top w:val="nil"/>
              <w:left w:val="nil"/>
              <w:bottom w:val="single" w:color="auto" w:sz="4" w:space="0"/>
              <w:right w:val="single" w:color="auto" w:sz="4" w:space="0"/>
            </w:tcBorders>
            <w:noWrap/>
            <w:vAlign w:val="center"/>
          </w:tcPr>
          <w:p w14:paraId="473FE0D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D69B921">
            <w:pPr>
              <w:widowControl/>
              <w:jc w:val="left"/>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color="auto" w:sz="4" w:space="0"/>
              <w:right w:val="single" w:color="auto" w:sz="4" w:space="0"/>
            </w:tcBorders>
            <w:noWrap/>
            <w:vAlign w:val="center"/>
          </w:tcPr>
          <w:p w14:paraId="5779BF1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0" w:type="auto"/>
            <w:tcBorders>
              <w:top w:val="nil"/>
              <w:left w:val="nil"/>
              <w:bottom w:val="single" w:color="auto" w:sz="4" w:space="0"/>
              <w:right w:val="single" w:color="auto" w:sz="4" w:space="0"/>
            </w:tcBorders>
            <w:noWrap/>
            <w:vAlign w:val="center"/>
          </w:tcPr>
          <w:p w14:paraId="3A0EAFA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7EACFD1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08462F68">
            <w:pPr>
              <w:widowControl/>
              <w:jc w:val="left"/>
              <w:rPr>
                <w:rFonts w:ascii="宋体" w:cs="Times New Roman"/>
                <w:color w:val="000000"/>
                <w:kern w:val="0"/>
              </w:rPr>
            </w:pPr>
            <w:r>
              <w:rPr>
                <w:rFonts w:ascii="宋体" w:hAnsi="宋体" w:cs="宋体"/>
                <w:color w:val="000000"/>
                <w:kern w:val="0"/>
              </w:rPr>
              <w:t>30110</w:t>
            </w:r>
          </w:p>
        </w:tc>
        <w:tc>
          <w:tcPr>
            <w:tcW w:w="3366" w:type="dxa"/>
            <w:tcBorders>
              <w:top w:val="nil"/>
              <w:left w:val="nil"/>
              <w:bottom w:val="single" w:color="auto" w:sz="4" w:space="0"/>
              <w:right w:val="single" w:color="auto" w:sz="4" w:space="0"/>
            </w:tcBorders>
            <w:noWrap/>
            <w:vAlign w:val="center"/>
          </w:tcPr>
          <w:p w14:paraId="3423B7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0" w:type="auto"/>
            <w:tcBorders>
              <w:top w:val="nil"/>
              <w:left w:val="nil"/>
              <w:bottom w:val="single" w:color="auto" w:sz="4" w:space="0"/>
              <w:right w:val="single" w:color="auto" w:sz="4" w:space="0"/>
            </w:tcBorders>
            <w:noWrap/>
            <w:vAlign w:val="center"/>
          </w:tcPr>
          <w:p w14:paraId="79506F0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545A1C6">
            <w:pPr>
              <w:widowControl/>
              <w:jc w:val="left"/>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color="auto" w:sz="4" w:space="0"/>
              <w:right w:val="single" w:color="auto" w:sz="4" w:space="0"/>
            </w:tcBorders>
            <w:noWrap/>
            <w:vAlign w:val="center"/>
          </w:tcPr>
          <w:p w14:paraId="27388E4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0" w:type="auto"/>
            <w:tcBorders>
              <w:top w:val="nil"/>
              <w:left w:val="nil"/>
              <w:bottom w:val="single" w:color="auto" w:sz="4" w:space="0"/>
              <w:right w:val="single" w:color="auto" w:sz="4" w:space="0"/>
            </w:tcBorders>
            <w:noWrap/>
            <w:vAlign w:val="center"/>
          </w:tcPr>
          <w:p w14:paraId="6487CA8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B6ADF4A">
            <w:pPr>
              <w:widowControl/>
              <w:jc w:val="left"/>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color="auto" w:sz="4" w:space="0"/>
              <w:right w:val="single" w:color="auto" w:sz="4" w:space="0"/>
            </w:tcBorders>
            <w:noWrap/>
            <w:vAlign w:val="center"/>
          </w:tcPr>
          <w:p w14:paraId="6C919FC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0" w:type="auto"/>
            <w:tcBorders>
              <w:top w:val="nil"/>
              <w:left w:val="nil"/>
              <w:bottom w:val="single" w:color="auto" w:sz="4" w:space="0"/>
              <w:right w:val="single" w:color="auto" w:sz="4" w:space="0"/>
            </w:tcBorders>
            <w:noWrap/>
            <w:vAlign w:val="center"/>
          </w:tcPr>
          <w:p w14:paraId="3A0DE21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64ABC0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4D64C99">
            <w:pPr>
              <w:widowControl/>
              <w:jc w:val="left"/>
              <w:rPr>
                <w:rFonts w:ascii="宋体" w:cs="Times New Roman"/>
                <w:color w:val="000000"/>
                <w:kern w:val="0"/>
              </w:rPr>
            </w:pPr>
            <w:r>
              <w:rPr>
                <w:rFonts w:ascii="宋体" w:hAnsi="宋体" w:cs="宋体"/>
                <w:color w:val="000000"/>
                <w:kern w:val="0"/>
              </w:rPr>
              <w:t>30111</w:t>
            </w:r>
          </w:p>
        </w:tc>
        <w:tc>
          <w:tcPr>
            <w:tcW w:w="3366" w:type="dxa"/>
            <w:tcBorders>
              <w:top w:val="nil"/>
              <w:left w:val="nil"/>
              <w:bottom w:val="single" w:color="auto" w:sz="4" w:space="0"/>
              <w:right w:val="single" w:color="auto" w:sz="4" w:space="0"/>
            </w:tcBorders>
            <w:noWrap/>
            <w:vAlign w:val="center"/>
          </w:tcPr>
          <w:p w14:paraId="6522F31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0" w:type="auto"/>
            <w:tcBorders>
              <w:top w:val="nil"/>
              <w:left w:val="nil"/>
              <w:bottom w:val="single" w:color="auto" w:sz="4" w:space="0"/>
              <w:right w:val="single" w:color="auto" w:sz="4" w:space="0"/>
            </w:tcBorders>
            <w:noWrap/>
            <w:vAlign w:val="center"/>
          </w:tcPr>
          <w:p w14:paraId="21209CD4">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D55DF0F">
            <w:pPr>
              <w:widowControl/>
              <w:jc w:val="left"/>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color="auto" w:sz="4" w:space="0"/>
              <w:right w:val="single" w:color="auto" w:sz="4" w:space="0"/>
            </w:tcBorders>
            <w:noWrap/>
            <w:vAlign w:val="center"/>
          </w:tcPr>
          <w:p w14:paraId="7F50A07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0" w:type="auto"/>
            <w:tcBorders>
              <w:top w:val="nil"/>
              <w:left w:val="nil"/>
              <w:bottom w:val="single" w:color="auto" w:sz="4" w:space="0"/>
              <w:right w:val="single" w:color="auto" w:sz="4" w:space="0"/>
            </w:tcBorders>
            <w:noWrap/>
            <w:vAlign w:val="center"/>
          </w:tcPr>
          <w:p w14:paraId="6CFAA69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BCF1E2D">
            <w:pPr>
              <w:widowControl/>
              <w:jc w:val="left"/>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color="auto" w:sz="4" w:space="0"/>
              <w:right w:val="single" w:color="auto" w:sz="4" w:space="0"/>
            </w:tcBorders>
            <w:noWrap/>
            <w:vAlign w:val="center"/>
          </w:tcPr>
          <w:p w14:paraId="4E5D3EA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0" w:type="auto"/>
            <w:tcBorders>
              <w:top w:val="nil"/>
              <w:left w:val="nil"/>
              <w:bottom w:val="single" w:color="auto" w:sz="4" w:space="0"/>
              <w:right w:val="single" w:color="auto" w:sz="4" w:space="0"/>
            </w:tcBorders>
            <w:noWrap/>
            <w:vAlign w:val="center"/>
          </w:tcPr>
          <w:p w14:paraId="01E74EA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55E130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9B4C07A">
            <w:pPr>
              <w:widowControl/>
              <w:jc w:val="left"/>
              <w:rPr>
                <w:rFonts w:ascii="宋体" w:cs="Times New Roman"/>
                <w:color w:val="000000"/>
                <w:kern w:val="0"/>
              </w:rPr>
            </w:pPr>
            <w:r>
              <w:rPr>
                <w:rFonts w:ascii="宋体" w:hAnsi="宋体" w:cs="宋体"/>
                <w:color w:val="000000"/>
                <w:kern w:val="0"/>
              </w:rPr>
              <w:t>30112</w:t>
            </w:r>
          </w:p>
        </w:tc>
        <w:tc>
          <w:tcPr>
            <w:tcW w:w="3366" w:type="dxa"/>
            <w:tcBorders>
              <w:top w:val="nil"/>
              <w:left w:val="nil"/>
              <w:bottom w:val="single" w:color="auto" w:sz="4" w:space="0"/>
              <w:right w:val="single" w:color="auto" w:sz="4" w:space="0"/>
            </w:tcBorders>
            <w:noWrap/>
            <w:vAlign w:val="center"/>
          </w:tcPr>
          <w:p w14:paraId="16408B1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0" w:type="auto"/>
            <w:tcBorders>
              <w:top w:val="nil"/>
              <w:left w:val="nil"/>
              <w:bottom w:val="single" w:color="auto" w:sz="4" w:space="0"/>
              <w:right w:val="single" w:color="auto" w:sz="4" w:space="0"/>
            </w:tcBorders>
            <w:noWrap/>
            <w:vAlign w:val="center"/>
          </w:tcPr>
          <w:p w14:paraId="5D3F369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9A97EEC">
            <w:pPr>
              <w:widowControl/>
              <w:jc w:val="left"/>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color="auto" w:sz="4" w:space="0"/>
              <w:right w:val="single" w:color="auto" w:sz="4" w:space="0"/>
            </w:tcBorders>
            <w:noWrap/>
            <w:vAlign w:val="center"/>
          </w:tcPr>
          <w:p w14:paraId="5939302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0" w:type="auto"/>
            <w:tcBorders>
              <w:top w:val="nil"/>
              <w:left w:val="nil"/>
              <w:bottom w:val="single" w:color="auto" w:sz="4" w:space="0"/>
              <w:right w:val="single" w:color="auto" w:sz="4" w:space="0"/>
            </w:tcBorders>
            <w:noWrap/>
            <w:vAlign w:val="center"/>
          </w:tcPr>
          <w:p w14:paraId="30009A4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7BA0A88">
            <w:pPr>
              <w:widowControl/>
              <w:jc w:val="left"/>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color="auto" w:sz="4" w:space="0"/>
              <w:right w:val="single" w:color="auto" w:sz="4" w:space="0"/>
            </w:tcBorders>
            <w:noWrap/>
            <w:vAlign w:val="center"/>
          </w:tcPr>
          <w:p w14:paraId="6E0A96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0" w:type="auto"/>
            <w:tcBorders>
              <w:top w:val="nil"/>
              <w:left w:val="nil"/>
              <w:bottom w:val="single" w:color="auto" w:sz="4" w:space="0"/>
              <w:right w:val="single" w:color="auto" w:sz="4" w:space="0"/>
            </w:tcBorders>
            <w:noWrap/>
            <w:vAlign w:val="center"/>
          </w:tcPr>
          <w:p w14:paraId="06FC994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76B4CB26">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2EBBDCF">
            <w:pPr>
              <w:widowControl/>
              <w:jc w:val="left"/>
              <w:rPr>
                <w:rFonts w:ascii="宋体" w:cs="Times New Roman"/>
                <w:color w:val="000000"/>
                <w:kern w:val="0"/>
              </w:rPr>
            </w:pPr>
            <w:r>
              <w:rPr>
                <w:rFonts w:ascii="宋体" w:hAnsi="宋体" w:cs="宋体"/>
                <w:color w:val="000000"/>
                <w:kern w:val="0"/>
              </w:rPr>
              <w:t>30113</w:t>
            </w:r>
          </w:p>
        </w:tc>
        <w:tc>
          <w:tcPr>
            <w:tcW w:w="3366" w:type="dxa"/>
            <w:tcBorders>
              <w:top w:val="nil"/>
              <w:left w:val="nil"/>
              <w:bottom w:val="single" w:color="auto" w:sz="4" w:space="0"/>
              <w:right w:val="single" w:color="auto" w:sz="4" w:space="0"/>
            </w:tcBorders>
            <w:noWrap/>
            <w:vAlign w:val="center"/>
          </w:tcPr>
          <w:p w14:paraId="0970FD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0" w:type="auto"/>
            <w:tcBorders>
              <w:top w:val="nil"/>
              <w:left w:val="nil"/>
              <w:bottom w:val="single" w:color="auto" w:sz="4" w:space="0"/>
              <w:right w:val="single" w:color="auto" w:sz="4" w:space="0"/>
            </w:tcBorders>
            <w:noWrap/>
            <w:vAlign w:val="center"/>
          </w:tcPr>
          <w:p w14:paraId="6D867AE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5EA09DF">
            <w:pPr>
              <w:widowControl/>
              <w:jc w:val="left"/>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color="auto" w:sz="4" w:space="0"/>
              <w:right w:val="single" w:color="auto" w:sz="4" w:space="0"/>
            </w:tcBorders>
            <w:noWrap/>
            <w:vAlign w:val="center"/>
          </w:tcPr>
          <w:p w14:paraId="5C6F9C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0" w:type="auto"/>
            <w:tcBorders>
              <w:top w:val="nil"/>
              <w:left w:val="nil"/>
              <w:bottom w:val="single" w:color="auto" w:sz="4" w:space="0"/>
              <w:right w:val="single" w:color="auto" w:sz="4" w:space="0"/>
            </w:tcBorders>
            <w:noWrap/>
            <w:vAlign w:val="center"/>
          </w:tcPr>
          <w:p w14:paraId="441F058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6AF3BF5">
            <w:pPr>
              <w:widowControl/>
              <w:jc w:val="left"/>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color="auto" w:sz="4" w:space="0"/>
              <w:right w:val="single" w:color="auto" w:sz="4" w:space="0"/>
            </w:tcBorders>
            <w:noWrap/>
            <w:vAlign w:val="center"/>
          </w:tcPr>
          <w:p w14:paraId="467272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0" w:type="auto"/>
            <w:tcBorders>
              <w:top w:val="nil"/>
              <w:left w:val="nil"/>
              <w:bottom w:val="single" w:color="auto" w:sz="4" w:space="0"/>
              <w:right w:val="single" w:color="auto" w:sz="4" w:space="0"/>
            </w:tcBorders>
            <w:noWrap/>
            <w:vAlign w:val="center"/>
          </w:tcPr>
          <w:p w14:paraId="3FCB81A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136039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0E85657">
            <w:pPr>
              <w:widowControl/>
              <w:jc w:val="left"/>
              <w:rPr>
                <w:rFonts w:ascii="宋体" w:cs="Times New Roman"/>
                <w:color w:val="000000"/>
                <w:kern w:val="0"/>
              </w:rPr>
            </w:pPr>
            <w:r>
              <w:rPr>
                <w:rFonts w:ascii="宋体" w:hAnsi="宋体" w:cs="宋体"/>
                <w:color w:val="000000"/>
                <w:kern w:val="0"/>
              </w:rPr>
              <w:t>30114</w:t>
            </w:r>
          </w:p>
        </w:tc>
        <w:tc>
          <w:tcPr>
            <w:tcW w:w="3366" w:type="dxa"/>
            <w:tcBorders>
              <w:top w:val="nil"/>
              <w:left w:val="nil"/>
              <w:bottom w:val="single" w:color="auto" w:sz="4" w:space="0"/>
              <w:right w:val="single" w:color="auto" w:sz="4" w:space="0"/>
            </w:tcBorders>
            <w:noWrap/>
            <w:vAlign w:val="center"/>
          </w:tcPr>
          <w:p w14:paraId="178E336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0" w:type="auto"/>
            <w:tcBorders>
              <w:top w:val="nil"/>
              <w:left w:val="nil"/>
              <w:bottom w:val="single" w:color="auto" w:sz="4" w:space="0"/>
              <w:right w:val="single" w:color="auto" w:sz="4" w:space="0"/>
            </w:tcBorders>
            <w:noWrap/>
            <w:vAlign w:val="center"/>
          </w:tcPr>
          <w:p w14:paraId="7C5990B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D46A8DA">
            <w:pPr>
              <w:widowControl/>
              <w:jc w:val="left"/>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color="auto" w:sz="4" w:space="0"/>
              <w:right w:val="single" w:color="auto" w:sz="4" w:space="0"/>
            </w:tcBorders>
            <w:noWrap/>
            <w:vAlign w:val="center"/>
          </w:tcPr>
          <w:p w14:paraId="7AAF82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0" w:type="auto"/>
            <w:tcBorders>
              <w:top w:val="nil"/>
              <w:left w:val="nil"/>
              <w:bottom w:val="single" w:color="auto" w:sz="4" w:space="0"/>
              <w:right w:val="single" w:color="auto" w:sz="4" w:space="0"/>
            </w:tcBorders>
            <w:noWrap/>
            <w:vAlign w:val="center"/>
          </w:tcPr>
          <w:p w14:paraId="43157E7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C6E45D5">
            <w:pPr>
              <w:widowControl/>
              <w:jc w:val="left"/>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color="auto" w:sz="4" w:space="0"/>
              <w:right w:val="single" w:color="auto" w:sz="4" w:space="0"/>
            </w:tcBorders>
            <w:noWrap/>
            <w:vAlign w:val="center"/>
          </w:tcPr>
          <w:p w14:paraId="27AADC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0" w:type="auto"/>
            <w:tcBorders>
              <w:top w:val="nil"/>
              <w:left w:val="nil"/>
              <w:bottom w:val="single" w:color="auto" w:sz="4" w:space="0"/>
              <w:right w:val="single" w:color="auto" w:sz="4" w:space="0"/>
            </w:tcBorders>
            <w:noWrap/>
            <w:vAlign w:val="center"/>
          </w:tcPr>
          <w:p w14:paraId="574DF59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EC6244A">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35D00D96">
            <w:pPr>
              <w:widowControl/>
              <w:jc w:val="left"/>
              <w:rPr>
                <w:rFonts w:ascii="宋体" w:cs="Times New Roman"/>
                <w:color w:val="000000"/>
                <w:kern w:val="0"/>
              </w:rPr>
            </w:pPr>
            <w:r>
              <w:rPr>
                <w:rFonts w:ascii="宋体" w:hAnsi="宋体" w:cs="宋体"/>
                <w:color w:val="000000"/>
                <w:kern w:val="0"/>
              </w:rPr>
              <w:t>30199</w:t>
            </w:r>
          </w:p>
        </w:tc>
        <w:tc>
          <w:tcPr>
            <w:tcW w:w="3366" w:type="dxa"/>
            <w:tcBorders>
              <w:top w:val="nil"/>
              <w:left w:val="nil"/>
              <w:bottom w:val="single" w:color="auto" w:sz="4" w:space="0"/>
              <w:right w:val="single" w:color="auto" w:sz="4" w:space="0"/>
            </w:tcBorders>
            <w:noWrap/>
            <w:vAlign w:val="center"/>
          </w:tcPr>
          <w:p w14:paraId="7AC064E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0" w:type="auto"/>
            <w:tcBorders>
              <w:top w:val="nil"/>
              <w:left w:val="nil"/>
              <w:bottom w:val="single" w:color="auto" w:sz="4" w:space="0"/>
              <w:right w:val="single" w:color="auto" w:sz="4" w:space="0"/>
            </w:tcBorders>
            <w:noWrap/>
            <w:vAlign w:val="center"/>
          </w:tcPr>
          <w:p w14:paraId="603E50B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C858383">
            <w:pPr>
              <w:widowControl/>
              <w:jc w:val="left"/>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color="auto" w:sz="4" w:space="0"/>
              <w:right w:val="single" w:color="auto" w:sz="4" w:space="0"/>
            </w:tcBorders>
            <w:noWrap/>
            <w:vAlign w:val="center"/>
          </w:tcPr>
          <w:p w14:paraId="7B376A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0" w:type="auto"/>
            <w:tcBorders>
              <w:top w:val="nil"/>
              <w:left w:val="nil"/>
              <w:bottom w:val="single" w:color="auto" w:sz="4" w:space="0"/>
              <w:right w:val="single" w:color="auto" w:sz="4" w:space="0"/>
            </w:tcBorders>
            <w:noWrap/>
            <w:vAlign w:val="center"/>
          </w:tcPr>
          <w:p w14:paraId="1477BBD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60E3431">
            <w:pPr>
              <w:widowControl/>
              <w:jc w:val="left"/>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color="auto" w:sz="4" w:space="0"/>
              <w:right w:val="single" w:color="auto" w:sz="4" w:space="0"/>
            </w:tcBorders>
            <w:noWrap/>
            <w:vAlign w:val="center"/>
          </w:tcPr>
          <w:p w14:paraId="2367B47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0" w:type="auto"/>
            <w:tcBorders>
              <w:top w:val="nil"/>
              <w:left w:val="nil"/>
              <w:bottom w:val="single" w:color="auto" w:sz="4" w:space="0"/>
              <w:right w:val="single" w:color="auto" w:sz="4" w:space="0"/>
            </w:tcBorders>
            <w:noWrap/>
            <w:vAlign w:val="center"/>
          </w:tcPr>
          <w:p w14:paraId="4CDAE0B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101CB1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D45A809">
            <w:pPr>
              <w:widowControl/>
              <w:jc w:val="left"/>
              <w:rPr>
                <w:rFonts w:ascii="宋体" w:cs="Times New Roman"/>
                <w:color w:val="000000"/>
                <w:kern w:val="0"/>
              </w:rPr>
            </w:pPr>
            <w:r>
              <w:rPr>
                <w:rFonts w:ascii="宋体" w:hAnsi="宋体" w:cs="宋体"/>
                <w:color w:val="000000"/>
                <w:kern w:val="0"/>
              </w:rPr>
              <w:t>303</w:t>
            </w:r>
          </w:p>
        </w:tc>
        <w:tc>
          <w:tcPr>
            <w:tcW w:w="3366" w:type="dxa"/>
            <w:tcBorders>
              <w:top w:val="nil"/>
              <w:left w:val="nil"/>
              <w:bottom w:val="single" w:color="auto" w:sz="4" w:space="0"/>
              <w:right w:val="single" w:color="auto" w:sz="4" w:space="0"/>
            </w:tcBorders>
            <w:noWrap/>
            <w:vAlign w:val="center"/>
          </w:tcPr>
          <w:p w14:paraId="6D5BB76F">
            <w:pPr>
              <w:widowControl/>
              <w:jc w:val="left"/>
              <w:rPr>
                <w:rFonts w:ascii="宋体" w:cs="Times New Roman"/>
                <w:color w:val="000000"/>
                <w:kern w:val="0"/>
              </w:rPr>
            </w:pPr>
            <w:r>
              <w:rPr>
                <w:rFonts w:hint="eastAsia" w:ascii="宋体" w:hAnsi="宋体" w:cs="宋体"/>
                <w:color w:val="000000"/>
                <w:kern w:val="0"/>
              </w:rPr>
              <w:t>对个人和家庭的补助</w:t>
            </w:r>
          </w:p>
        </w:tc>
        <w:tc>
          <w:tcPr>
            <w:tcW w:w="0" w:type="auto"/>
            <w:tcBorders>
              <w:top w:val="nil"/>
              <w:left w:val="nil"/>
              <w:bottom w:val="single" w:color="auto" w:sz="4" w:space="0"/>
              <w:right w:val="single" w:color="auto" w:sz="4" w:space="0"/>
            </w:tcBorders>
            <w:noWrap/>
            <w:vAlign w:val="center"/>
          </w:tcPr>
          <w:p w14:paraId="6857DF1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479F7B0">
            <w:pPr>
              <w:widowControl/>
              <w:jc w:val="left"/>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color="auto" w:sz="4" w:space="0"/>
              <w:right w:val="single" w:color="auto" w:sz="4" w:space="0"/>
            </w:tcBorders>
            <w:noWrap/>
            <w:vAlign w:val="center"/>
          </w:tcPr>
          <w:p w14:paraId="2306AAB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0" w:type="auto"/>
            <w:tcBorders>
              <w:top w:val="nil"/>
              <w:left w:val="nil"/>
              <w:bottom w:val="single" w:color="auto" w:sz="4" w:space="0"/>
              <w:right w:val="single" w:color="auto" w:sz="4" w:space="0"/>
            </w:tcBorders>
            <w:noWrap/>
            <w:vAlign w:val="center"/>
          </w:tcPr>
          <w:p w14:paraId="3922352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998887F">
            <w:pPr>
              <w:widowControl/>
              <w:jc w:val="left"/>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color="auto" w:sz="4" w:space="0"/>
              <w:right w:val="single" w:color="auto" w:sz="4" w:space="0"/>
            </w:tcBorders>
            <w:noWrap/>
            <w:vAlign w:val="center"/>
          </w:tcPr>
          <w:p w14:paraId="217C590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0" w:type="auto"/>
            <w:tcBorders>
              <w:top w:val="nil"/>
              <w:left w:val="nil"/>
              <w:bottom w:val="single" w:color="auto" w:sz="4" w:space="0"/>
              <w:right w:val="single" w:color="auto" w:sz="4" w:space="0"/>
            </w:tcBorders>
            <w:noWrap/>
            <w:vAlign w:val="center"/>
          </w:tcPr>
          <w:p w14:paraId="2D81432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9FA68F3">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E2A5C3E">
            <w:pPr>
              <w:widowControl/>
              <w:jc w:val="left"/>
              <w:rPr>
                <w:rFonts w:ascii="宋体" w:cs="Times New Roman"/>
                <w:color w:val="000000"/>
                <w:kern w:val="0"/>
              </w:rPr>
            </w:pPr>
            <w:r>
              <w:rPr>
                <w:rFonts w:ascii="宋体" w:hAnsi="宋体" w:cs="宋体"/>
                <w:color w:val="000000"/>
                <w:kern w:val="0"/>
              </w:rPr>
              <w:t>30301</w:t>
            </w:r>
          </w:p>
        </w:tc>
        <w:tc>
          <w:tcPr>
            <w:tcW w:w="3366" w:type="dxa"/>
            <w:tcBorders>
              <w:top w:val="nil"/>
              <w:left w:val="nil"/>
              <w:bottom w:val="single" w:color="auto" w:sz="4" w:space="0"/>
              <w:right w:val="single" w:color="auto" w:sz="4" w:space="0"/>
            </w:tcBorders>
            <w:noWrap/>
            <w:vAlign w:val="center"/>
          </w:tcPr>
          <w:p w14:paraId="3A690E5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0" w:type="auto"/>
            <w:tcBorders>
              <w:top w:val="nil"/>
              <w:left w:val="nil"/>
              <w:bottom w:val="single" w:color="auto" w:sz="4" w:space="0"/>
              <w:right w:val="single" w:color="auto" w:sz="4" w:space="0"/>
            </w:tcBorders>
            <w:noWrap/>
            <w:vAlign w:val="center"/>
          </w:tcPr>
          <w:p w14:paraId="38B529A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D714093">
            <w:pPr>
              <w:widowControl/>
              <w:jc w:val="left"/>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color="auto" w:sz="4" w:space="0"/>
              <w:right w:val="single" w:color="auto" w:sz="4" w:space="0"/>
            </w:tcBorders>
            <w:noWrap/>
            <w:vAlign w:val="center"/>
          </w:tcPr>
          <w:p w14:paraId="46C36C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0" w:type="auto"/>
            <w:tcBorders>
              <w:top w:val="nil"/>
              <w:left w:val="nil"/>
              <w:bottom w:val="single" w:color="auto" w:sz="4" w:space="0"/>
              <w:right w:val="single" w:color="auto" w:sz="4" w:space="0"/>
            </w:tcBorders>
            <w:noWrap/>
            <w:vAlign w:val="center"/>
          </w:tcPr>
          <w:p w14:paraId="6875ECA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1C82212">
            <w:pPr>
              <w:widowControl/>
              <w:jc w:val="left"/>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color="auto" w:sz="4" w:space="0"/>
              <w:right w:val="single" w:color="auto" w:sz="4" w:space="0"/>
            </w:tcBorders>
            <w:noWrap/>
            <w:vAlign w:val="center"/>
          </w:tcPr>
          <w:p w14:paraId="5F02B5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0" w:type="auto"/>
            <w:tcBorders>
              <w:top w:val="nil"/>
              <w:left w:val="nil"/>
              <w:bottom w:val="single" w:color="auto" w:sz="4" w:space="0"/>
              <w:right w:val="single" w:color="auto" w:sz="4" w:space="0"/>
            </w:tcBorders>
            <w:noWrap/>
            <w:vAlign w:val="center"/>
          </w:tcPr>
          <w:p w14:paraId="33EA4A8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0310C84">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4A4EDAE">
            <w:pPr>
              <w:widowControl/>
              <w:jc w:val="left"/>
              <w:rPr>
                <w:rFonts w:ascii="宋体" w:cs="Times New Roman"/>
                <w:color w:val="000000"/>
                <w:kern w:val="0"/>
              </w:rPr>
            </w:pPr>
            <w:r>
              <w:rPr>
                <w:rFonts w:ascii="宋体" w:hAnsi="宋体" w:cs="宋体"/>
                <w:color w:val="000000"/>
                <w:kern w:val="0"/>
              </w:rPr>
              <w:t>30302</w:t>
            </w:r>
          </w:p>
        </w:tc>
        <w:tc>
          <w:tcPr>
            <w:tcW w:w="3366" w:type="dxa"/>
            <w:tcBorders>
              <w:top w:val="nil"/>
              <w:left w:val="nil"/>
              <w:bottom w:val="single" w:color="auto" w:sz="4" w:space="0"/>
              <w:right w:val="single" w:color="auto" w:sz="4" w:space="0"/>
            </w:tcBorders>
            <w:noWrap/>
            <w:vAlign w:val="center"/>
          </w:tcPr>
          <w:p w14:paraId="0025E4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0" w:type="auto"/>
            <w:tcBorders>
              <w:top w:val="nil"/>
              <w:left w:val="nil"/>
              <w:bottom w:val="single" w:color="auto" w:sz="4" w:space="0"/>
              <w:right w:val="single" w:color="auto" w:sz="4" w:space="0"/>
            </w:tcBorders>
            <w:noWrap/>
            <w:vAlign w:val="center"/>
          </w:tcPr>
          <w:p w14:paraId="421ACE0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E9F5515">
            <w:pPr>
              <w:widowControl/>
              <w:jc w:val="left"/>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color="auto" w:sz="4" w:space="0"/>
              <w:right w:val="single" w:color="auto" w:sz="4" w:space="0"/>
            </w:tcBorders>
            <w:noWrap/>
            <w:vAlign w:val="center"/>
          </w:tcPr>
          <w:p w14:paraId="4050B8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0" w:type="auto"/>
            <w:tcBorders>
              <w:top w:val="nil"/>
              <w:left w:val="nil"/>
              <w:bottom w:val="single" w:color="auto" w:sz="4" w:space="0"/>
              <w:right w:val="single" w:color="auto" w:sz="4" w:space="0"/>
            </w:tcBorders>
            <w:noWrap/>
            <w:vAlign w:val="center"/>
          </w:tcPr>
          <w:p w14:paraId="58DD9D7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A73FB1A">
            <w:pPr>
              <w:widowControl/>
              <w:jc w:val="left"/>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color="auto" w:sz="4" w:space="0"/>
              <w:right w:val="single" w:color="auto" w:sz="4" w:space="0"/>
            </w:tcBorders>
            <w:noWrap/>
            <w:vAlign w:val="center"/>
          </w:tcPr>
          <w:p w14:paraId="0D7672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0" w:type="auto"/>
            <w:tcBorders>
              <w:top w:val="nil"/>
              <w:left w:val="nil"/>
              <w:bottom w:val="single" w:color="auto" w:sz="4" w:space="0"/>
              <w:right w:val="single" w:color="auto" w:sz="4" w:space="0"/>
            </w:tcBorders>
            <w:noWrap/>
            <w:vAlign w:val="center"/>
          </w:tcPr>
          <w:p w14:paraId="5EAA33B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BFC0D6F">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3744A7E">
            <w:pPr>
              <w:widowControl/>
              <w:jc w:val="left"/>
              <w:rPr>
                <w:rFonts w:ascii="宋体" w:cs="Times New Roman"/>
                <w:color w:val="000000"/>
                <w:kern w:val="0"/>
              </w:rPr>
            </w:pPr>
            <w:r>
              <w:rPr>
                <w:rFonts w:ascii="宋体" w:hAnsi="宋体" w:cs="宋体"/>
                <w:color w:val="000000"/>
                <w:kern w:val="0"/>
              </w:rPr>
              <w:t>30303</w:t>
            </w:r>
          </w:p>
        </w:tc>
        <w:tc>
          <w:tcPr>
            <w:tcW w:w="3366" w:type="dxa"/>
            <w:tcBorders>
              <w:top w:val="nil"/>
              <w:left w:val="nil"/>
              <w:bottom w:val="single" w:color="auto" w:sz="4" w:space="0"/>
              <w:right w:val="single" w:color="auto" w:sz="4" w:space="0"/>
            </w:tcBorders>
            <w:noWrap/>
            <w:vAlign w:val="center"/>
          </w:tcPr>
          <w:p w14:paraId="11B36A4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0" w:type="auto"/>
            <w:tcBorders>
              <w:top w:val="nil"/>
              <w:left w:val="nil"/>
              <w:bottom w:val="single" w:color="auto" w:sz="4" w:space="0"/>
              <w:right w:val="single" w:color="auto" w:sz="4" w:space="0"/>
            </w:tcBorders>
            <w:noWrap/>
            <w:vAlign w:val="center"/>
          </w:tcPr>
          <w:p w14:paraId="78810A6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973D07D">
            <w:pPr>
              <w:widowControl/>
              <w:jc w:val="left"/>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color="auto" w:sz="4" w:space="0"/>
              <w:right w:val="single" w:color="auto" w:sz="4" w:space="0"/>
            </w:tcBorders>
            <w:noWrap/>
            <w:vAlign w:val="center"/>
          </w:tcPr>
          <w:p w14:paraId="284CE8F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0" w:type="auto"/>
            <w:tcBorders>
              <w:top w:val="nil"/>
              <w:left w:val="nil"/>
              <w:bottom w:val="single" w:color="auto" w:sz="4" w:space="0"/>
              <w:right w:val="single" w:color="auto" w:sz="4" w:space="0"/>
            </w:tcBorders>
            <w:noWrap/>
            <w:vAlign w:val="center"/>
          </w:tcPr>
          <w:p w14:paraId="6199A60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A2C25D6">
            <w:pPr>
              <w:widowControl/>
              <w:jc w:val="left"/>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color="auto" w:sz="4" w:space="0"/>
              <w:right w:val="single" w:color="auto" w:sz="4" w:space="0"/>
            </w:tcBorders>
            <w:noWrap/>
            <w:vAlign w:val="center"/>
          </w:tcPr>
          <w:p w14:paraId="05068D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0" w:type="auto"/>
            <w:tcBorders>
              <w:top w:val="nil"/>
              <w:left w:val="nil"/>
              <w:bottom w:val="single" w:color="auto" w:sz="4" w:space="0"/>
              <w:right w:val="single" w:color="auto" w:sz="4" w:space="0"/>
            </w:tcBorders>
            <w:noWrap/>
            <w:vAlign w:val="center"/>
          </w:tcPr>
          <w:p w14:paraId="158AA70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3F93AE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92A68E3">
            <w:pPr>
              <w:widowControl/>
              <w:jc w:val="left"/>
              <w:rPr>
                <w:rFonts w:ascii="宋体" w:cs="Times New Roman"/>
                <w:color w:val="000000"/>
                <w:kern w:val="0"/>
              </w:rPr>
            </w:pPr>
            <w:r>
              <w:rPr>
                <w:rFonts w:ascii="宋体" w:hAnsi="宋体" w:cs="宋体"/>
                <w:color w:val="000000"/>
                <w:kern w:val="0"/>
              </w:rPr>
              <w:t>30304</w:t>
            </w:r>
          </w:p>
        </w:tc>
        <w:tc>
          <w:tcPr>
            <w:tcW w:w="3366" w:type="dxa"/>
            <w:tcBorders>
              <w:top w:val="nil"/>
              <w:left w:val="nil"/>
              <w:bottom w:val="single" w:color="auto" w:sz="4" w:space="0"/>
              <w:right w:val="single" w:color="auto" w:sz="4" w:space="0"/>
            </w:tcBorders>
            <w:noWrap/>
            <w:vAlign w:val="center"/>
          </w:tcPr>
          <w:p w14:paraId="573E85F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0" w:type="auto"/>
            <w:tcBorders>
              <w:top w:val="nil"/>
              <w:left w:val="nil"/>
              <w:bottom w:val="single" w:color="auto" w:sz="4" w:space="0"/>
              <w:right w:val="single" w:color="auto" w:sz="4" w:space="0"/>
            </w:tcBorders>
            <w:noWrap/>
            <w:vAlign w:val="center"/>
          </w:tcPr>
          <w:p w14:paraId="0C2D878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226D95E">
            <w:pPr>
              <w:widowControl/>
              <w:jc w:val="left"/>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color="auto" w:sz="4" w:space="0"/>
              <w:right w:val="single" w:color="auto" w:sz="4" w:space="0"/>
            </w:tcBorders>
            <w:noWrap/>
            <w:vAlign w:val="center"/>
          </w:tcPr>
          <w:p w14:paraId="3FF8C52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0" w:type="auto"/>
            <w:tcBorders>
              <w:top w:val="nil"/>
              <w:left w:val="nil"/>
              <w:bottom w:val="single" w:color="auto" w:sz="4" w:space="0"/>
              <w:right w:val="single" w:color="auto" w:sz="4" w:space="0"/>
            </w:tcBorders>
            <w:noWrap/>
            <w:vAlign w:val="center"/>
          </w:tcPr>
          <w:p w14:paraId="76B6E6B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6E19333">
            <w:pPr>
              <w:widowControl/>
              <w:jc w:val="left"/>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color="auto" w:sz="4" w:space="0"/>
              <w:right w:val="single" w:color="auto" w:sz="4" w:space="0"/>
            </w:tcBorders>
            <w:noWrap/>
            <w:vAlign w:val="center"/>
          </w:tcPr>
          <w:p w14:paraId="2D46D5F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0" w:type="auto"/>
            <w:tcBorders>
              <w:top w:val="nil"/>
              <w:left w:val="nil"/>
              <w:bottom w:val="single" w:color="auto" w:sz="4" w:space="0"/>
              <w:right w:val="single" w:color="auto" w:sz="4" w:space="0"/>
            </w:tcBorders>
            <w:noWrap/>
            <w:vAlign w:val="center"/>
          </w:tcPr>
          <w:p w14:paraId="476C0A9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33CAA26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B0B54DE">
            <w:pPr>
              <w:widowControl/>
              <w:jc w:val="left"/>
              <w:rPr>
                <w:rFonts w:ascii="宋体" w:cs="Times New Roman"/>
                <w:color w:val="000000"/>
                <w:kern w:val="0"/>
              </w:rPr>
            </w:pPr>
            <w:r>
              <w:rPr>
                <w:rFonts w:ascii="宋体" w:hAnsi="宋体" w:cs="宋体"/>
                <w:color w:val="000000"/>
                <w:kern w:val="0"/>
              </w:rPr>
              <w:t>30305</w:t>
            </w:r>
          </w:p>
        </w:tc>
        <w:tc>
          <w:tcPr>
            <w:tcW w:w="3366" w:type="dxa"/>
            <w:tcBorders>
              <w:top w:val="nil"/>
              <w:left w:val="nil"/>
              <w:bottom w:val="single" w:color="auto" w:sz="4" w:space="0"/>
              <w:right w:val="single" w:color="auto" w:sz="4" w:space="0"/>
            </w:tcBorders>
            <w:noWrap/>
            <w:vAlign w:val="center"/>
          </w:tcPr>
          <w:p w14:paraId="5F503C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0" w:type="auto"/>
            <w:tcBorders>
              <w:top w:val="nil"/>
              <w:left w:val="nil"/>
              <w:bottom w:val="single" w:color="auto" w:sz="4" w:space="0"/>
              <w:right w:val="single" w:color="auto" w:sz="4" w:space="0"/>
            </w:tcBorders>
            <w:noWrap/>
            <w:vAlign w:val="center"/>
          </w:tcPr>
          <w:p w14:paraId="5D3BDC0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861209F">
            <w:pPr>
              <w:widowControl/>
              <w:jc w:val="left"/>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color="auto" w:sz="4" w:space="0"/>
              <w:right w:val="single" w:color="auto" w:sz="4" w:space="0"/>
            </w:tcBorders>
            <w:noWrap/>
            <w:vAlign w:val="center"/>
          </w:tcPr>
          <w:p w14:paraId="7C477C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0" w:type="auto"/>
            <w:tcBorders>
              <w:top w:val="nil"/>
              <w:left w:val="nil"/>
              <w:bottom w:val="single" w:color="auto" w:sz="4" w:space="0"/>
              <w:right w:val="single" w:color="auto" w:sz="4" w:space="0"/>
            </w:tcBorders>
            <w:noWrap/>
            <w:vAlign w:val="center"/>
          </w:tcPr>
          <w:p w14:paraId="2FAB12F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45EA756">
            <w:pPr>
              <w:widowControl/>
              <w:jc w:val="left"/>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color="auto" w:sz="4" w:space="0"/>
              <w:right w:val="single" w:color="auto" w:sz="4" w:space="0"/>
            </w:tcBorders>
            <w:noWrap/>
            <w:vAlign w:val="center"/>
          </w:tcPr>
          <w:p w14:paraId="530297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0" w:type="auto"/>
            <w:tcBorders>
              <w:top w:val="nil"/>
              <w:left w:val="nil"/>
              <w:bottom w:val="single" w:color="auto" w:sz="4" w:space="0"/>
              <w:right w:val="single" w:color="auto" w:sz="4" w:space="0"/>
            </w:tcBorders>
            <w:noWrap/>
            <w:vAlign w:val="center"/>
          </w:tcPr>
          <w:p w14:paraId="6BD7F40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4A69501">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39F869E">
            <w:pPr>
              <w:widowControl/>
              <w:jc w:val="left"/>
              <w:rPr>
                <w:rFonts w:ascii="宋体" w:cs="Times New Roman"/>
                <w:color w:val="000000"/>
                <w:kern w:val="0"/>
              </w:rPr>
            </w:pPr>
            <w:r>
              <w:rPr>
                <w:rFonts w:ascii="宋体" w:hAnsi="宋体" w:cs="宋体"/>
                <w:color w:val="000000"/>
                <w:kern w:val="0"/>
              </w:rPr>
              <w:t>30306</w:t>
            </w:r>
          </w:p>
        </w:tc>
        <w:tc>
          <w:tcPr>
            <w:tcW w:w="3366" w:type="dxa"/>
            <w:tcBorders>
              <w:top w:val="nil"/>
              <w:left w:val="nil"/>
              <w:bottom w:val="single" w:color="auto" w:sz="4" w:space="0"/>
              <w:right w:val="single" w:color="auto" w:sz="4" w:space="0"/>
            </w:tcBorders>
            <w:noWrap/>
            <w:vAlign w:val="center"/>
          </w:tcPr>
          <w:p w14:paraId="0FE4A8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0" w:type="auto"/>
            <w:tcBorders>
              <w:top w:val="nil"/>
              <w:left w:val="nil"/>
              <w:bottom w:val="single" w:color="auto" w:sz="4" w:space="0"/>
              <w:right w:val="single" w:color="auto" w:sz="4" w:space="0"/>
            </w:tcBorders>
            <w:noWrap/>
            <w:vAlign w:val="center"/>
          </w:tcPr>
          <w:p w14:paraId="087B15E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074787C">
            <w:pPr>
              <w:widowControl/>
              <w:jc w:val="left"/>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color="auto" w:sz="4" w:space="0"/>
              <w:right w:val="single" w:color="auto" w:sz="4" w:space="0"/>
            </w:tcBorders>
            <w:noWrap/>
            <w:vAlign w:val="center"/>
          </w:tcPr>
          <w:p w14:paraId="026EC5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0" w:type="auto"/>
            <w:tcBorders>
              <w:top w:val="nil"/>
              <w:left w:val="nil"/>
              <w:bottom w:val="single" w:color="auto" w:sz="4" w:space="0"/>
              <w:right w:val="single" w:color="auto" w:sz="4" w:space="0"/>
            </w:tcBorders>
            <w:noWrap/>
            <w:vAlign w:val="center"/>
          </w:tcPr>
          <w:p w14:paraId="4DAC3E0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E72AE32">
            <w:pPr>
              <w:widowControl/>
              <w:jc w:val="left"/>
              <w:rPr>
                <w:rFonts w:ascii="宋体" w:cs="Times New Roman"/>
                <w:color w:val="000000"/>
                <w:kern w:val="0"/>
              </w:rPr>
            </w:pPr>
            <w:r>
              <w:rPr>
                <w:rFonts w:ascii="宋体" w:hAnsi="宋体" w:cs="宋体"/>
                <w:color w:val="000000"/>
                <w:kern w:val="0"/>
              </w:rPr>
              <w:t>399</w:t>
            </w:r>
          </w:p>
        </w:tc>
        <w:tc>
          <w:tcPr>
            <w:tcW w:w="0" w:type="auto"/>
            <w:tcBorders>
              <w:top w:val="nil"/>
              <w:left w:val="nil"/>
              <w:bottom w:val="single" w:color="auto" w:sz="4" w:space="0"/>
              <w:right w:val="single" w:color="auto" w:sz="4" w:space="0"/>
            </w:tcBorders>
            <w:noWrap/>
            <w:vAlign w:val="center"/>
          </w:tcPr>
          <w:p w14:paraId="0C5E53EB">
            <w:pPr>
              <w:widowControl/>
              <w:jc w:val="left"/>
              <w:rPr>
                <w:rFonts w:ascii="宋体" w:cs="Times New Roman"/>
                <w:color w:val="000000"/>
                <w:kern w:val="0"/>
              </w:rPr>
            </w:pP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14:paraId="10628CB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ED2CF4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355C43F8">
            <w:pPr>
              <w:widowControl/>
              <w:jc w:val="left"/>
              <w:rPr>
                <w:rFonts w:ascii="宋体" w:cs="Times New Roman"/>
                <w:color w:val="000000"/>
                <w:kern w:val="0"/>
              </w:rPr>
            </w:pPr>
            <w:r>
              <w:rPr>
                <w:rFonts w:ascii="宋体" w:hAnsi="宋体" w:cs="宋体"/>
                <w:color w:val="000000"/>
                <w:kern w:val="0"/>
              </w:rPr>
              <w:t>30307</w:t>
            </w:r>
          </w:p>
        </w:tc>
        <w:tc>
          <w:tcPr>
            <w:tcW w:w="3366" w:type="dxa"/>
            <w:tcBorders>
              <w:top w:val="nil"/>
              <w:left w:val="nil"/>
              <w:bottom w:val="single" w:color="auto" w:sz="4" w:space="0"/>
              <w:right w:val="single" w:color="auto" w:sz="4" w:space="0"/>
            </w:tcBorders>
            <w:noWrap/>
            <w:vAlign w:val="center"/>
          </w:tcPr>
          <w:p w14:paraId="01AFD4D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0" w:type="auto"/>
            <w:tcBorders>
              <w:top w:val="nil"/>
              <w:left w:val="nil"/>
              <w:bottom w:val="single" w:color="auto" w:sz="4" w:space="0"/>
              <w:right w:val="single" w:color="auto" w:sz="4" w:space="0"/>
            </w:tcBorders>
            <w:noWrap/>
            <w:vAlign w:val="center"/>
          </w:tcPr>
          <w:p w14:paraId="595415D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05B70A4">
            <w:pPr>
              <w:widowControl/>
              <w:jc w:val="left"/>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color="auto" w:sz="4" w:space="0"/>
              <w:right w:val="single" w:color="auto" w:sz="4" w:space="0"/>
            </w:tcBorders>
            <w:noWrap/>
            <w:vAlign w:val="center"/>
          </w:tcPr>
          <w:p w14:paraId="156CD7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0" w:type="auto"/>
            <w:tcBorders>
              <w:top w:val="nil"/>
              <w:left w:val="nil"/>
              <w:bottom w:val="single" w:color="auto" w:sz="4" w:space="0"/>
              <w:right w:val="single" w:color="auto" w:sz="4" w:space="0"/>
            </w:tcBorders>
            <w:noWrap/>
            <w:vAlign w:val="center"/>
          </w:tcPr>
          <w:p w14:paraId="533FF36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DBE7760">
            <w:pPr>
              <w:widowControl/>
              <w:jc w:val="left"/>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color="auto" w:sz="4" w:space="0"/>
              <w:right w:val="single" w:color="auto" w:sz="4" w:space="0"/>
            </w:tcBorders>
            <w:noWrap/>
            <w:vAlign w:val="center"/>
          </w:tcPr>
          <w:p w14:paraId="14581F7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0" w:type="auto"/>
            <w:tcBorders>
              <w:top w:val="nil"/>
              <w:left w:val="nil"/>
              <w:bottom w:val="single" w:color="auto" w:sz="4" w:space="0"/>
              <w:right w:val="single" w:color="auto" w:sz="4" w:space="0"/>
            </w:tcBorders>
            <w:noWrap/>
            <w:vAlign w:val="center"/>
          </w:tcPr>
          <w:p w14:paraId="7CE933A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91F35B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2E9BFBBB">
            <w:pPr>
              <w:widowControl/>
              <w:jc w:val="left"/>
              <w:rPr>
                <w:rFonts w:ascii="宋体" w:cs="Times New Roman"/>
                <w:color w:val="000000"/>
                <w:kern w:val="0"/>
              </w:rPr>
            </w:pPr>
            <w:r>
              <w:rPr>
                <w:rFonts w:ascii="宋体" w:hAnsi="宋体" w:cs="宋体"/>
                <w:color w:val="000000"/>
                <w:kern w:val="0"/>
              </w:rPr>
              <w:t>30308</w:t>
            </w:r>
          </w:p>
        </w:tc>
        <w:tc>
          <w:tcPr>
            <w:tcW w:w="3366" w:type="dxa"/>
            <w:tcBorders>
              <w:top w:val="nil"/>
              <w:left w:val="nil"/>
              <w:bottom w:val="single" w:color="auto" w:sz="4" w:space="0"/>
              <w:right w:val="single" w:color="auto" w:sz="4" w:space="0"/>
            </w:tcBorders>
            <w:noWrap/>
            <w:vAlign w:val="center"/>
          </w:tcPr>
          <w:p w14:paraId="3533CBB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0" w:type="auto"/>
            <w:tcBorders>
              <w:top w:val="nil"/>
              <w:left w:val="nil"/>
              <w:bottom w:val="single" w:color="auto" w:sz="4" w:space="0"/>
              <w:right w:val="single" w:color="auto" w:sz="4" w:space="0"/>
            </w:tcBorders>
            <w:noWrap/>
            <w:vAlign w:val="center"/>
          </w:tcPr>
          <w:p w14:paraId="4B8BEA1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4F40AC1">
            <w:pPr>
              <w:widowControl/>
              <w:jc w:val="left"/>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color="auto" w:sz="4" w:space="0"/>
              <w:right w:val="single" w:color="auto" w:sz="4" w:space="0"/>
            </w:tcBorders>
            <w:noWrap/>
            <w:vAlign w:val="center"/>
          </w:tcPr>
          <w:p w14:paraId="66B82B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0" w:type="auto"/>
            <w:tcBorders>
              <w:top w:val="nil"/>
              <w:left w:val="nil"/>
              <w:bottom w:val="single" w:color="auto" w:sz="4" w:space="0"/>
              <w:right w:val="single" w:color="auto" w:sz="4" w:space="0"/>
            </w:tcBorders>
            <w:noWrap/>
            <w:vAlign w:val="center"/>
          </w:tcPr>
          <w:p w14:paraId="48E342E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63B433C">
            <w:pPr>
              <w:widowControl/>
              <w:jc w:val="left"/>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color="auto" w:sz="4" w:space="0"/>
              <w:right w:val="single" w:color="auto" w:sz="4" w:space="0"/>
            </w:tcBorders>
            <w:noWrap/>
            <w:vAlign w:val="center"/>
          </w:tcPr>
          <w:p w14:paraId="3F998D6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0" w:type="auto"/>
            <w:tcBorders>
              <w:top w:val="nil"/>
              <w:left w:val="nil"/>
              <w:bottom w:val="single" w:color="auto" w:sz="4" w:space="0"/>
              <w:right w:val="single" w:color="auto" w:sz="4" w:space="0"/>
            </w:tcBorders>
            <w:noWrap/>
            <w:vAlign w:val="center"/>
          </w:tcPr>
          <w:p w14:paraId="229E92B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B04E1C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7C3E79D">
            <w:pPr>
              <w:widowControl/>
              <w:jc w:val="left"/>
              <w:rPr>
                <w:rFonts w:ascii="宋体" w:cs="Times New Roman"/>
                <w:color w:val="000000"/>
                <w:kern w:val="0"/>
              </w:rPr>
            </w:pPr>
            <w:r>
              <w:rPr>
                <w:rFonts w:ascii="宋体" w:hAnsi="宋体" w:cs="宋体"/>
                <w:color w:val="000000"/>
                <w:kern w:val="0"/>
              </w:rPr>
              <w:t>30309</w:t>
            </w:r>
          </w:p>
        </w:tc>
        <w:tc>
          <w:tcPr>
            <w:tcW w:w="3366" w:type="dxa"/>
            <w:tcBorders>
              <w:top w:val="nil"/>
              <w:left w:val="nil"/>
              <w:bottom w:val="single" w:color="auto" w:sz="4" w:space="0"/>
              <w:right w:val="single" w:color="auto" w:sz="4" w:space="0"/>
            </w:tcBorders>
            <w:noWrap/>
            <w:vAlign w:val="center"/>
          </w:tcPr>
          <w:p w14:paraId="383D449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0" w:type="auto"/>
            <w:tcBorders>
              <w:top w:val="nil"/>
              <w:left w:val="nil"/>
              <w:bottom w:val="single" w:color="auto" w:sz="4" w:space="0"/>
              <w:right w:val="single" w:color="auto" w:sz="4" w:space="0"/>
            </w:tcBorders>
            <w:noWrap/>
            <w:vAlign w:val="center"/>
          </w:tcPr>
          <w:p w14:paraId="67C9904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BDD536F">
            <w:pPr>
              <w:widowControl/>
              <w:jc w:val="left"/>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color="auto" w:sz="4" w:space="0"/>
              <w:right w:val="single" w:color="auto" w:sz="4" w:space="0"/>
            </w:tcBorders>
            <w:noWrap/>
            <w:vAlign w:val="center"/>
          </w:tcPr>
          <w:p w14:paraId="78EBF9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0" w:type="auto"/>
            <w:tcBorders>
              <w:top w:val="nil"/>
              <w:left w:val="nil"/>
              <w:bottom w:val="single" w:color="auto" w:sz="4" w:space="0"/>
              <w:right w:val="single" w:color="auto" w:sz="4" w:space="0"/>
            </w:tcBorders>
            <w:noWrap/>
            <w:vAlign w:val="center"/>
          </w:tcPr>
          <w:p w14:paraId="094BADA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5CDD23B">
            <w:pPr>
              <w:widowControl/>
              <w:jc w:val="left"/>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color="auto" w:sz="4" w:space="0"/>
              <w:right w:val="single" w:color="auto" w:sz="4" w:space="0"/>
            </w:tcBorders>
            <w:noWrap/>
            <w:vAlign w:val="center"/>
          </w:tcPr>
          <w:p w14:paraId="41DE03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0" w:type="auto"/>
            <w:tcBorders>
              <w:top w:val="nil"/>
              <w:left w:val="nil"/>
              <w:bottom w:val="single" w:color="auto" w:sz="4" w:space="0"/>
              <w:right w:val="single" w:color="auto" w:sz="4" w:space="0"/>
            </w:tcBorders>
            <w:noWrap/>
            <w:vAlign w:val="center"/>
          </w:tcPr>
          <w:p w14:paraId="544F4F1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35B749C3">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13B8183">
            <w:pPr>
              <w:widowControl/>
              <w:jc w:val="left"/>
              <w:rPr>
                <w:rFonts w:ascii="宋体" w:cs="Times New Roman"/>
                <w:color w:val="000000"/>
                <w:kern w:val="0"/>
              </w:rPr>
            </w:pPr>
            <w:r>
              <w:rPr>
                <w:rFonts w:ascii="宋体" w:hAnsi="宋体" w:cs="宋体"/>
                <w:color w:val="000000"/>
                <w:kern w:val="0"/>
              </w:rPr>
              <w:t>30310</w:t>
            </w:r>
          </w:p>
        </w:tc>
        <w:tc>
          <w:tcPr>
            <w:tcW w:w="3366" w:type="dxa"/>
            <w:tcBorders>
              <w:top w:val="nil"/>
              <w:left w:val="nil"/>
              <w:bottom w:val="single" w:color="auto" w:sz="4" w:space="0"/>
              <w:right w:val="single" w:color="auto" w:sz="4" w:space="0"/>
            </w:tcBorders>
            <w:noWrap/>
            <w:vAlign w:val="center"/>
          </w:tcPr>
          <w:p w14:paraId="5D57B72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0" w:type="auto"/>
            <w:tcBorders>
              <w:top w:val="nil"/>
              <w:left w:val="nil"/>
              <w:bottom w:val="single" w:color="auto" w:sz="4" w:space="0"/>
              <w:right w:val="single" w:color="auto" w:sz="4" w:space="0"/>
            </w:tcBorders>
            <w:noWrap/>
            <w:vAlign w:val="center"/>
          </w:tcPr>
          <w:p w14:paraId="2B950454">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457E6F3">
            <w:pPr>
              <w:widowControl/>
              <w:jc w:val="left"/>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color="auto" w:sz="4" w:space="0"/>
              <w:right w:val="single" w:color="auto" w:sz="4" w:space="0"/>
            </w:tcBorders>
            <w:noWrap/>
            <w:vAlign w:val="center"/>
          </w:tcPr>
          <w:p w14:paraId="422D98A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0" w:type="auto"/>
            <w:tcBorders>
              <w:top w:val="nil"/>
              <w:left w:val="nil"/>
              <w:bottom w:val="single" w:color="auto" w:sz="4" w:space="0"/>
              <w:right w:val="single" w:color="auto" w:sz="4" w:space="0"/>
            </w:tcBorders>
            <w:noWrap/>
            <w:vAlign w:val="center"/>
          </w:tcPr>
          <w:p w14:paraId="09673EC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5540AC7">
            <w:pPr>
              <w:widowControl/>
              <w:jc w:val="left"/>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color="auto" w:sz="4" w:space="0"/>
              <w:right w:val="single" w:color="auto" w:sz="4" w:space="0"/>
            </w:tcBorders>
            <w:noWrap/>
            <w:vAlign w:val="center"/>
          </w:tcPr>
          <w:p w14:paraId="3DA46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0" w:type="auto"/>
            <w:tcBorders>
              <w:top w:val="nil"/>
              <w:left w:val="nil"/>
              <w:bottom w:val="single" w:color="auto" w:sz="4" w:space="0"/>
              <w:right w:val="single" w:color="auto" w:sz="4" w:space="0"/>
            </w:tcBorders>
            <w:noWrap/>
            <w:vAlign w:val="center"/>
          </w:tcPr>
          <w:p w14:paraId="0FC5899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70ABB5B0">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357D996C">
            <w:pPr>
              <w:widowControl/>
              <w:jc w:val="left"/>
              <w:rPr>
                <w:rFonts w:ascii="宋体" w:cs="Times New Roman"/>
                <w:color w:val="000000"/>
                <w:kern w:val="0"/>
              </w:rPr>
            </w:pPr>
            <w:r>
              <w:rPr>
                <w:rFonts w:ascii="宋体" w:hAnsi="宋体" w:cs="宋体"/>
                <w:color w:val="000000"/>
                <w:kern w:val="0"/>
              </w:rPr>
              <w:t>30311</w:t>
            </w:r>
          </w:p>
        </w:tc>
        <w:tc>
          <w:tcPr>
            <w:tcW w:w="3366" w:type="dxa"/>
            <w:tcBorders>
              <w:top w:val="nil"/>
              <w:left w:val="nil"/>
              <w:bottom w:val="single" w:color="auto" w:sz="4" w:space="0"/>
              <w:right w:val="single" w:color="auto" w:sz="4" w:space="0"/>
            </w:tcBorders>
            <w:noWrap/>
            <w:vAlign w:val="center"/>
          </w:tcPr>
          <w:p w14:paraId="708F28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0" w:type="auto"/>
            <w:tcBorders>
              <w:top w:val="nil"/>
              <w:left w:val="nil"/>
              <w:bottom w:val="single" w:color="auto" w:sz="4" w:space="0"/>
              <w:right w:val="single" w:color="auto" w:sz="4" w:space="0"/>
            </w:tcBorders>
            <w:noWrap/>
            <w:vAlign w:val="center"/>
          </w:tcPr>
          <w:p w14:paraId="004C119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F7BE0CC">
            <w:pPr>
              <w:widowControl/>
              <w:jc w:val="left"/>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color="auto" w:sz="4" w:space="0"/>
              <w:right w:val="single" w:color="auto" w:sz="4" w:space="0"/>
            </w:tcBorders>
            <w:noWrap/>
            <w:vAlign w:val="center"/>
          </w:tcPr>
          <w:p w14:paraId="35F7A5B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0" w:type="auto"/>
            <w:tcBorders>
              <w:top w:val="nil"/>
              <w:left w:val="nil"/>
              <w:bottom w:val="single" w:color="auto" w:sz="4" w:space="0"/>
              <w:right w:val="single" w:color="auto" w:sz="4" w:space="0"/>
            </w:tcBorders>
            <w:noWrap/>
            <w:vAlign w:val="center"/>
          </w:tcPr>
          <w:p w14:paraId="2A6019EB">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03771DD">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377A7960">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41E0F63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74786A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446CFB5">
            <w:pPr>
              <w:widowControl/>
              <w:jc w:val="left"/>
              <w:rPr>
                <w:rFonts w:ascii="宋体" w:cs="Times New Roman"/>
                <w:color w:val="000000"/>
                <w:kern w:val="0"/>
              </w:rPr>
            </w:pPr>
            <w:r>
              <w:rPr>
                <w:rFonts w:ascii="宋体" w:hAnsi="宋体" w:cs="宋体"/>
                <w:color w:val="000000"/>
                <w:kern w:val="0"/>
              </w:rPr>
              <w:t>30399</w:t>
            </w:r>
          </w:p>
        </w:tc>
        <w:tc>
          <w:tcPr>
            <w:tcW w:w="3366" w:type="dxa"/>
            <w:tcBorders>
              <w:top w:val="nil"/>
              <w:left w:val="nil"/>
              <w:bottom w:val="single" w:color="auto" w:sz="4" w:space="0"/>
              <w:right w:val="single" w:color="auto" w:sz="4" w:space="0"/>
            </w:tcBorders>
            <w:noWrap/>
            <w:vAlign w:val="center"/>
          </w:tcPr>
          <w:p w14:paraId="117EB4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0" w:type="auto"/>
            <w:tcBorders>
              <w:top w:val="nil"/>
              <w:left w:val="nil"/>
              <w:bottom w:val="single" w:color="auto" w:sz="4" w:space="0"/>
              <w:right w:val="single" w:color="auto" w:sz="4" w:space="0"/>
            </w:tcBorders>
            <w:noWrap/>
            <w:vAlign w:val="center"/>
          </w:tcPr>
          <w:p w14:paraId="7AD419A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F22705C">
            <w:pPr>
              <w:widowControl/>
              <w:jc w:val="left"/>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color="auto" w:sz="4" w:space="0"/>
              <w:right w:val="single" w:color="auto" w:sz="4" w:space="0"/>
            </w:tcBorders>
            <w:noWrap/>
            <w:vAlign w:val="center"/>
          </w:tcPr>
          <w:p w14:paraId="6B81458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0" w:type="auto"/>
            <w:tcBorders>
              <w:top w:val="nil"/>
              <w:left w:val="nil"/>
              <w:bottom w:val="single" w:color="auto" w:sz="4" w:space="0"/>
              <w:right w:val="single" w:color="auto" w:sz="4" w:space="0"/>
            </w:tcBorders>
            <w:noWrap/>
            <w:vAlign w:val="center"/>
          </w:tcPr>
          <w:p w14:paraId="4FB824C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BC7D879">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5062D50B">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0D8DA33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2D9A2CC5">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50FEF28">
            <w:pPr>
              <w:widowControl/>
              <w:jc w:val="left"/>
              <w:rPr>
                <w:rFonts w:ascii="宋体" w:cs="Times New Roman"/>
                <w:color w:val="000000"/>
                <w:kern w:val="0"/>
              </w:rPr>
            </w:pPr>
            <w:r>
              <w:rPr>
                <w:rFonts w:hint="eastAsia" w:ascii="宋体" w:hAnsi="宋体" w:cs="宋体"/>
                <w:color w:val="000000"/>
                <w:kern w:val="0"/>
              </w:rPr>
              <w:t>　</w:t>
            </w:r>
          </w:p>
        </w:tc>
        <w:tc>
          <w:tcPr>
            <w:tcW w:w="3366" w:type="dxa"/>
            <w:tcBorders>
              <w:top w:val="nil"/>
              <w:left w:val="nil"/>
              <w:bottom w:val="single" w:color="auto" w:sz="4" w:space="0"/>
              <w:right w:val="single" w:color="auto" w:sz="4" w:space="0"/>
            </w:tcBorders>
            <w:noWrap/>
            <w:vAlign w:val="center"/>
          </w:tcPr>
          <w:p w14:paraId="4B3672E5">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626F906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C379E01">
            <w:pPr>
              <w:widowControl/>
              <w:jc w:val="left"/>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color="auto" w:sz="4" w:space="0"/>
              <w:right w:val="single" w:color="auto" w:sz="4" w:space="0"/>
            </w:tcBorders>
            <w:noWrap/>
            <w:vAlign w:val="center"/>
          </w:tcPr>
          <w:p w14:paraId="2652BF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0" w:type="auto"/>
            <w:tcBorders>
              <w:top w:val="nil"/>
              <w:left w:val="nil"/>
              <w:bottom w:val="single" w:color="auto" w:sz="4" w:space="0"/>
              <w:right w:val="single" w:color="auto" w:sz="4" w:space="0"/>
            </w:tcBorders>
            <w:noWrap/>
            <w:vAlign w:val="center"/>
          </w:tcPr>
          <w:p w14:paraId="7320316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0CA1477">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44010CBA">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36CDA74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2D511BF">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noWrap/>
            <w:vAlign w:val="center"/>
          </w:tcPr>
          <w:p w14:paraId="38F27CFA">
            <w:pPr>
              <w:widowControl/>
              <w:jc w:val="center"/>
              <w:rPr>
                <w:rFonts w:ascii="宋体" w:cs="Times New Roman"/>
                <w:color w:val="000000"/>
                <w:kern w:val="0"/>
              </w:rPr>
            </w:pPr>
            <w:r>
              <w:rPr>
                <w:rFonts w:hint="eastAsia" w:ascii="宋体" w:hAnsi="宋体" w:cs="宋体"/>
                <w:color w:val="000000"/>
                <w:kern w:val="0"/>
              </w:rPr>
              <w:t>人员经费合计</w:t>
            </w:r>
          </w:p>
        </w:tc>
        <w:tc>
          <w:tcPr>
            <w:tcW w:w="0" w:type="auto"/>
            <w:tcBorders>
              <w:top w:val="nil"/>
              <w:left w:val="nil"/>
              <w:bottom w:val="single" w:color="auto" w:sz="4" w:space="0"/>
              <w:right w:val="single" w:color="auto" w:sz="4" w:space="0"/>
            </w:tcBorders>
            <w:noWrap/>
            <w:vAlign w:val="center"/>
          </w:tcPr>
          <w:p w14:paraId="075EC0C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gridSpan w:val="5"/>
            <w:tcBorders>
              <w:top w:val="single" w:color="auto" w:sz="4" w:space="0"/>
              <w:left w:val="nil"/>
              <w:bottom w:val="single" w:color="auto" w:sz="4" w:space="0"/>
              <w:right w:val="single" w:color="auto" w:sz="4" w:space="0"/>
            </w:tcBorders>
            <w:noWrap/>
            <w:vAlign w:val="center"/>
          </w:tcPr>
          <w:p w14:paraId="587A8259">
            <w:pPr>
              <w:widowControl/>
              <w:jc w:val="center"/>
              <w:rPr>
                <w:rFonts w:ascii="宋体" w:cs="Times New Roman"/>
                <w:color w:val="000000"/>
                <w:kern w:val="0"/>
              </w:rPr>
            </w:pPr>
            <w:r>
              <w:rPr>
                <w:rFonts w:hint="eastAsia" w:ascii="宋体" w:hAnsi="宋体" w:cs="宋体"/>
                <w:color w:val="000000"/>
                <w:kern w:val="0"/>
              </w:rPr>
              <w:t>公用经费合计</w:t>
            </w:r>
          </w:p>
        </w:tc>
        <w:tc>
          <w:tcPr>
            <w:tcW w:w="0" w:type="auto"/>
            <w:tcBorders>
              <w:top w:val="nil"/>
              <w:left w:val="nil"/>
              <w:bottom w:val="single" w:color="auto" w:sz="4" w:space="0"/>
              <w:right w:val="single" w:color="auto" w:sz="4" w:space="0"/>
            </w:tcBorders>
            <w:noWrap/>
            <w:vAlign w:val="center"/>
          </w:tcPr>
          <w:p w14:paraId="4EF08A0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8328DB3">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noWrap/>
            <w:vAlign w:val="center"/>
          </w:tcPr>
          <w:p w14:paraId="3F79999E">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661C34EB">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5DE04D11">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rPr>
        <w:t>湘潭县看守所</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57EBFC46">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01AC22B">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3A67EBD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0266163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6C5AD3E5">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DFBBAF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3900466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72E50E2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4BE6B53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5A2736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5F1BF2A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773B72A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632F30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26F5BA7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7598636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59B5F8EC">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0A95204">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37290D6A">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510842B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657239BB">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6A4CCED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22879065">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33B89B9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EFA2FF1">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11078D50">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2F324435">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2B193E5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602A37ED">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3630506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01181155">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07C803F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54299CEA">
            <w:pPr>
              <w:widowControl/>
              <w:jc w:val="left"/>
              <w:rPr>
                <w:rFonts w:ascii="Times New Roman" w:hAnsi="Times New Roman" w:eastAsia="仿宋_GB2312" w:cs="Times New Roman"/>
                <w:kern w:val="0"/>
              </w:rPr>
            </w:pPr>
          </w:p>
        </w:tc>
      </w:tr>
      <w:tr w14:paraId="7CDA8DC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795603ED">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043A42B0">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3F38A1E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2B999C63">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6DBC80C8">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4101952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48215473">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54A191F5">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2AF793A8">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192022DB">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0A9C5192">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5827882F">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31324F13">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2C0B4EF1">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E51F5B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14DEDFE5">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59A6C027">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2D893D62">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4AAF5443">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592C3166">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6CE81490">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7D65AF62">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14:paraId="32017688">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nil"/>
            </w:tcBorders>
            <w:vAlign w:val="center"/>
          </w:tcPr>
          <w:p w14:paraId="417C49F3">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14:paraId="7A8E2720">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r>
    </w:tbl>
    <w:p w14:paraId="1027DC6E">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05A28922">
      <w:pPr>
        <w:autoSpaceDE w:val="0"/>
        <w:autoSpaceDN w:val="0"/>
        <w:adjustRightInd w:val="0"/>
        <w:ind w:left="315" w:leftChars="150"/>
        <w:jc w:val="left"/>
        <w:rPr>
          <w:rFonts w:ascii="宋体" w:cs="Times New Roman"/>
          <w:kern w:val="0"/>
          <w:sz w:val="24"/>
          <w:szCs w:val="24"/>
        </w:rPr>
      </w:pPr>
    </w:p>
    <w:p w14:paraId="1C203C6B">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206FD088">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35E80E8D">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0B7656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5D07051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487905B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7D7EF12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149CB83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54F28A4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617D61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66FA7F0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1D944D0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39EFEA55">
            <w:pPr>
              <w:widowControl/>
              <w:jc w:val="left"/>
              <w:rPr>
                <w:rFonts w:ascii="Times New Roman" w:hAnsi="Times New Roman" w:eastAsia="仿宋_GB2312" w:cs="Times New Roman"/>
                <w:b/>
                <w:bCs/>
                <w:kern w:val="0"/>
              </w:rPr>
            </w:pPr>
          </w:p>
        </w:tc>
        <w:tc>
          <w:tcPr>
            <w:tcW w:w="2000" w:type="dxa"/>
            <w:vMerge w:val="continue"/>
            <w:vAlign w:val="center"/>
          </w:tcPr>
          <w:p w14:paraId="73BFD3EC">
            <w:pPr>
              <w:widowControl/>
              <w:jc w:val="left"/>
              <w:rPr>
                <w:rFonts w:ascii="Times New Roman" w:hAnsi="Times New Roman" w:eastAsia="仿宋_GB2312" w:cs="Times New Roman"/>
                <w:b/>
                <w:bCs/>
                <w:kern w:val="0"/>
              </w:rPr>
            </w:pPr>
          </w:p>
        </w:tc>
        <w:tc>
          <w:tcPr>
            <w:tcW w:w="2000" w:type="dxa"/>
            <w:vMerge w:val="restart"/>
            <w:vAlign w:val="center"/>
          </w:tcPr>
          <w:p w14:paraId="7A1F1AF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4EFA1D5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3320282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3AA454D3">
            <w:pPr>
              <w:widowControl/>
              <w:jc w:val="left"/>
              <w:rPr>
                <w:rFonts w:ascii="Times New Roman" w:hAnsi="Times New Roman" w:eastAsia="仿宋_GB2312" w:cs="Times New Roman"/>
                <w:b/>
                <w:bCs/>
                <w:kern w:val="0"/>
              </w:rPr>
            </w:pPr>
          </w:p>
        </w:tc>
      </w:tr>
      <w:tr w14:paraId="0DD90E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DEBB718">
            <w:pPr>
              <w:widowControl/>
              <w:jc w:val="left"/>
              <w:rPr>
                <w:rFonts w:ascii="Times New Roman" w:hAnsi="Times New Roman" w:eastAsia="仿宋_GB2312" w:cs="Times New Roman"/>
                <w:kern w:val="0"/>
              </w:rPr>
            </w:pPr>
          </w:p>
        </w:tc>
        <w:tc>
          <w:tcPr>
            <w:tcW w:w="1320" w:type="dxa"/>
            <w:vMerge w:val="continue"/>
            <w:vAlign w:val="center"/>
          </w:tcPr>
          <w:p w14:paraId="7106DCE0">
            <w:pPr>
              <w:widowControl/>
              <w:jc w:val="left"/>
              <w:rPr>
                <w:rFonts w:ascii="Times New Roman" w:hAnsi="Times New Roman" w:eastAsia="仿宋_GB2312" w:cs="Times New Roman"/>
                <w:kern w:val="0"/>
              </w:rPr>
            </w:pPr>
          </w:p>
        </w:tc>
        <w:tc>
          <w:tcPr>
            <w:tcW w:w="2000" w:type="dxa"/>
            <w:vMerge w:val="continue"/>
            <w:vAlign w:val="center"/>
          </w:tcPr>
          <w:p w14:paraId="6BE1D7D3">
            <w:pPr>
              <w:widowControl/>
              <w:jc w:val="left"/>
              <w:rPr>
                <w:rFonts w:ascii="Times New Roman" w:hAnsi="Times New Roman" w:eastAsia="仿宋_GB2312" w:cs="Times New Roman"/>
                <w:kern w:val="0"/>
              </w:rPr>
            </w:pPr>
          </w:p>
        </w:tc>
        <w:tc>
          <w:tcPr>
            <w:tcW w:w="2000" w:type="dxa"/>
            <w:vMerge w:val="continue"/>
            <w:vAlign w:val="center"/>
          </w:tcPr>
          <w:p w14:paraId="3803797B">
            <w:pPr>
              <w:widowControl/>
              <w:jc w:val="left"/>
              <w:rPr>
                <w:rFonts w:ascii="Times New Roman" w:hAnsi="Times New Roman" w:eastAsia="仿宋_GB2312" w:cs="Times New Roman"/>
                <w:kern w:val="0"/>
              </w:rPr>
            </w:pPr>
          </w:p>
        </w:tc>
        <w:tc>
          <w:tcPr>
            <w:tcW w:w="2000" w:type="dxa"/>
            <w:vMerge w:val="continue"/>
            <w:vAlign w:val="center"/>
          </w:tcPr>
          <w:p w14:paraId="574D85BD">
            <w:pPr>
              <w:widowControl/>
              <w:jc w:val="left"/>
              <w:rPr>
                <w:rFonts w:ascii="Times New Roman" w:hAnsi="Times New Roman" w:eastAsia="仿宋_GB2312" w:cs="Times New Roman"/>
                <w:kern w:val="0"/>
              </w:rPr>
            </w:pPr>
          </w:p>
        </w:tc>
        <w:tc>
          <w:tcPr>
            <w:tcW w:w="2000" w:type="dxa"/>
            <w:vMerge w:val="continue"/>
            <w:vAlign w:val="center"/>
          </w:tcPr>
          <w:p w14:paraId="5CEE865B">
            <w:pPr>
              <w:widowControl/>
              <w:jc w:val="left"/>
              <w:rPr>
                <w:rFonts w:ascii="Times New Roman" w:hAnsi="Times New Roman" w:eastAsia="仿宋_GB2312" w:cs="Times New Roman"/>
                <w:kern w:val="0"/>
              </w:rPr>
            </w:pPr>
          </w:p>
        </w:tc>
        <w:tc>
          <w:tcPr>
            <w:tcW w:w="2000" w:type="dxa"/>
            <w:vMerge w:val="continue"/>
            <w:vAlign w:val="center"/>
          </w:tcPr>
          <w:p w14:paraId="551007E8">
            <w:pPr>
              <w:widowControl/>
              <w:jc w:val="left"/>
              <w:rPr>
                <w:rFonts w:ascii="Times New Roman" w:hAnsi="Times New Roman" w:eastAsia="仿宋_GB2312" w:cs="Times New Roman"/>
                <w:kern w:val="0"/>
              </w:rPr>
            </w:pPr>
          </w:p>
        </w:tc>
        <w:tc>
          <w:tcPr>
            <w:tcW w:w="2000" w:type="dxa"/>
            <w:vMerge w:val="continue"/>
            <w:vAlign w:val="center"/>
          </w:tcPr>
          <w:p w14:paraId="7ACF1A12">
            <w:pPr>
              <w:widowControl/>
              <w:jc w:val="left"/>
              <w:rPr>
                <w:rFonts w:ascii="Times New Roman" w:hAnsi="Times New Roman" w:eastAsia="仿宋_GB2312" w:cs="Times New Roman"/>
                <w:kern w:val="0"/>
              </w:rPr>
            </w:pPr>
          </w:p>
        </w:tc>
      </w:tr>
      <w:tr w14:paraId="0B3EFC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6B9BCA7">
            <w:pPr>
              <w:widowControl/>
              <w:jc w:val="left"/>
              <w:rPr>
                <w:rFonts w:ascii="Times New Roman" w:hAnsi="Times New Roman" w:eastAsia="仿宋_GB2312" w:cs="Times New Roman"/>
                <w:kern w:val="0"/>
              </w:rPr>
            </w:pPr>
          </w:p>
        </w:tc>
        <w:tc>
          <w:tcPr>
            <w:tcW w:w="1320" w:type="dxa"/>
            <w:vMerge w:val="continue"/>
            <w:vAlign w:val="center"/>
          </w:tcPr>
          <w:p w14:paraId="03B5900C">
            <w:pPr>
              <w:widowControl/>
              <w:jc w:val="left"/>
              <w:rPr>
                <w:rFonts w:ascii="Times New Roman" w:hAnsi="Times New Roman" w:eastAsia="仿宋_GB2312" w:cs="Times New Roman"/>
                <w:kern w:val="0"/>
              </w:rPr>
            </w:pPr>
          </w:p>
        </w:tc>
        <w:tc>
          <w:tcPr>
            <w:tcW w:w="2000" w:type="dxa"/>
            <w:vMerge w:val="continue"/>
            <w:vAlign w:val="center"/>
          </w:tcPr>
          <w:p w14:paraId="03CB5DC3">
            <w:pPr>
              <w:widowControl/>
              <w:jc w:val="left"/>
              <w:rPr>
                <w:rFonts w:ascii="Times New Roman" w:hAnsi="Times New Roman" w:eastAsia="仿宋_GB2312" w:cs="Times New Roman"/>
                <w:kern w:val="0"/>
              </w:rPr>
            </w:pPr>
          </w:p>
        </w:tc>
        <w:tc>
          <w:tcPr>
            <w:tcW w:w="2000" w:type="dxa"/>
            <w:vMerge w:val="continue"/>
            <w:vAlign w:val="center"/>
          </w:tcPr>
          <w:p w14:paraId="7DC42759">
            <w:pPr>
              <w:widowControl/>
              <w:jc w:val="left"/>
              <w:rPr>
                <w:rFonts w:ascii="Times New Roman" w:hAnsi="Times New Roman" w:eastAsia="仿宋_GB2312" w:cs="Times New Roman"/>
                <w:kern w:val="0"/>
              </w:rPr>
            </w:pPr>
          </w:p>
        </w:tc>
        <w:tc>
          <w:tcPr>
            <w:tcW w:w="2000" w:type="dxa"/>
            <w:vMerge w:val="continue"/>
            <w:vAlign w:val="center"/>
          </w:tcPr>
          <w:p w14:paraId="089A206A">
            <w:pPr>
              <w:widowControl/>
              <w:jc w:val="left"/>
              <w:rPr>
                <w:rFonts w:ascii="Times New Roman" w:hAnsi="Times New Roman" w:eastAsia="仿宋_GB2312" w:cs="Times New Roman"/>
                <w:kern w:val="0"/>
              </w:rPr>
            </w:pPr>
          </w:p>
        </w:tc>
        <w:tc>
          <w:tcPr>
            <w:tcW w:w="2000" w:type="dxa"/>
            <w:vMerge w:val="continue"/>
            <w:vAlign w:val="center"/>
          </w:tcPr>
          <w:p w14:paraId="01B895F8">
            <w:pPr>
              <w:widowControl/>
              <w:jc w:val="left"/>
              <w:rPr>
                <w:rFonts w:ascii="Times New Roman" w:hAnsi="Times New Roman" w:eastAsia="仿宋_GB2312" w:cs="Times New Roman"/>
                <w:kern w:val="0"/>
              </w:rPr>
            </w:pPr>
          </w:p>
        </w:tc>
        <w:tc>
          <w:tcPr>
            <w:tcW w:w="2000" w:type="dxa"/>
            <w:vMerge w:val="continue"/>
            <w:vAlign w:val="center"/>
          </w:tcPr>
          <w:p w14:paraId="11FA0E3A">
            <w:pPr>
              <w:widowControl/>
              <w:jc w:val="left"/>
              <w:rPr>
                <w:rFonts w:ascii="Times New Roman" w:hAnsi="Times New Roman" w:eastAsia="仿宋_GB2312" w:cs="Times New Roman"/>
                <w:kern w:val="0"/>
              </w:rPr>
            </w:pPr>
          </w:p>
        </w:tc>
        <w:tc>
          <w:tcPr>
            <w:tcW w:w="2000" w:type="dxa"/>
            <w:vMerge w:val="continue"/>
            <w:vAlign w:val="center"/>
          </w:tcPr>
          <w:p w14:paraId="3A1509EF">
            <w:pPr>
              <w:widowControl/>
              <w:jc w:val="left"/>
              <w:rPr>
                <w:rFonts w:ascii="Times New Roman" w:hAnsi="Times New Roman" w:eastAsia="仿宋_GB2312" w:cs="Times New Roman"/>
                <w:kern w:val="0"/>
              </w:rPr>
            </w:pPr>
          </w:p>
        </w:tc>
      </w:tr>
      <w:tr w14:paraId="4F996C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33ABBE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41FD0236">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33437170">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133133CF">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18BB0625">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62D0338C">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775C4D2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203872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43CBDC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6D3B9DE5">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0E565D7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14:paraId="1A5BE064">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30D6C367">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6B8180B1">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7036D33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19C008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CC8EC7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0FCC11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E88F27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A3A9C5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EAB7C8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68911F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EB6BBB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3D9630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3D44E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369D556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4CB28F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4D48F4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967D6A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71D9ED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19F1C6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18FA8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39259F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90B32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18C1BB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5518F8A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8C0EA6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2C133F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E1FEBA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87CD37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319579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1279C1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B5518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F28C79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3B2DBB4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EC2A72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26FFBC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956D52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FE9469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ACD155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D2029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74BEE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8FCD4F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1A42A7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C5E04B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650C7A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729C2F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C3CBE7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E3CA25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744195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281E4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34B3FC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104802F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CDE0C7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C332C3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B3A0A2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9A0C58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2BB683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0534BF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16B2861E">
      <w:pPr>
        <w:widowControl/>
        <w:jc w:val="left"/>
        <w:rPr>
          <w:rFonts w:ascii="黑体" w:hAnsi="黑体" w:eastAsia="黑体" w:cs="Times New Roman"/>
        </w:rPr>
      </w:pPr>
      <w:r>
        <w:rPr>
          <w:rFonts w:hint="eastAsia" w:ascii="Times New Roman" w:hAnsi="Times New Roman" w:eastAsia="仿宋_GB2312" w:cs="仿宋_GB2312"/>
          <w:kern w:val="0"/>
        </w:rPr>
        <w:t>注：本单位没有政府性基金收入，也没有使用政府性基金安排的支出，故本表无数据</w:t>
      </w:r>
      <w:r>
        <w:rPr>
          <w:rFonts w:hint="eastAsia" w:ascii="Times New Roman" w:hAnsi="Times New Roman" w:eastAsia="仿宋_GB2312" w:cs="仿宋_GB2312"/>
          <w:kern w:val="0"/>
          <w:lang w:val="en-US" w:eastAsia="zh-CN"/>
        </w:rPr>
        <w:t>。</w:t>
      </w: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6B5C9529">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08D7BCC9">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033A3A35">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7DD16539">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4FE21CC8">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6F31DA53">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145CA2EA">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1B3B11E9">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165D7312">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5080B012">
        <w:tblPrEx>
          <w:tblCellMar>
            <w:top w:w="0" w:type="dxa"/>
            <w:left w:w="108" w:type="dxa"/>
            <w:bottom w:w="0" w:type="dxa"/>
            <w:right w:w="108" w:type="dxa"/>
          </w:tblCellMar>
        </w:tblPrEx>
        <w:trPr>
          <w:trHeight w:val="285" w:hRule="atLeast"/>
        </w:trPr>
        <w:tc>
          <w:tcPr>
            <w:tcW w:w="6060" w:type="dxa"/>
            <w:gridSpan w:val="5"/>
            <w:tcBorders>
              <w:top w:val="nil"/>
              <w:left w:val="nil"/>
              <w:bottom w:val="nil"/>
              <w:right w:val="nil"/>
            </w:tcBorders>
            <w:shd w:val="clear" w:color="000000" w:fill="FFFFFF"/>
            <w:noWrap/>
            <w:vAlign w:val="center"/>
          </w:tcPr>
          <w:p w14:paraId="3CE7AF27">
            <w:pPr>
              <w:widowControl/>
              <w:jc w:val="left"/>
              <w:rPr>
                <w:rFonts w:ascii="宋体" w:cs="Times New Roman"/>
                <w:kern w:val="0"/>
                <w:sz w:val="20"/>
                <w:szCs w:val="20"/>
              </w:rPr>
            </w:pPr>
            <w:r>
              <w:rPr>
                <w:rFonts w:hint="eastAsia" w:ascii="宋体" w:hAnsi="宋体" w:cs="宋体"/>
                <w:color w:val="000000"/>
                <w:kern w:val="0"/>
                <w:sz w:val="20"/>
                <w:szCs w:val="20"/>
              </w:rPr>
              <w:t>部门：湘潭县看守所</w:t>
            </w: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7A94187D">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5E2877AD">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B942C17">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33992001">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71303B9B">
            <w:pPr>
              <w:widowControl/>
              <w:jc w:val="center"/>
              <w:rPr>
                <w:rFonts w:ascii="宋体" w:cs="Times New Roman"/>
                <w:kern w:val="0"/>
                <w:sz w:val="24"/>
                <w:szCs w:val="24"/>
              </w:rPr>
            </w:pPr>
            <w:r>
              <w:rPr>
                <w:rFonts w:hint="eastAsia" w:ascii="宋体" w:hAnsi="宋体" w:cs="宋体"/>
                <w:kern w:val="0"/>
                <w:sz w:val="24"/>
                <w:szCs w:val="24"/>
              </w:rPr>
              <w:t>本年支出</w:t>
            </w:r>
          </w:p>
        </w:tc>
      </w:tr>
      <w:tr w14:paraId="03A5FAC9">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920D15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053369F3">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4E0AB941">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637E8529">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2E2DFA35">
            <w:pPr>
              <w:widowControl/>
              <w:jc w:val="center"/>
              <w:rPr>
                <w:rFonts w:ascii="宋体" w:cs="Times New Roman"/>
                <w:kern w:val="0"/>
                <w:sz w:val="24"/>
                <w:szCs w:val="24"/>
              </w:rPr>
            </w:pPr>
            <w:r>
              <w:rPr>
                <w:rFonts w:hint="eastAsia" w:ascii="宋体" w:hAnsi="宋体" w:cs="宋体"/>
                <w:kern w:val="0"/>
                <w:sz w:val="24"/>
                <w:szCs w:val="24"/>
              </w:rPr>
              <w:t>项目支出</w:t>
            </w:r>
          </w:p>
        </w:tc>
      </w:tr>
      <w:tr w14:paraId="6046AA9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958D2E3">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7E5D517">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360DE6ED">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CFB27F9">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77102A4">
            <w:pPr>
              <w:widowControl/>
              <w:jc w:val="left"/>
              <w:rPr>
                <w:rFonts w:ascii="宋体" w:cs="Times New Roman"/>
                <w:kern w:val="0"/>
                <w:sz w:val="24"/>
                <w:szCs w:val="24"/>
              </w:rPr>
            </w:pPr>
          </w:p>
        </w:tc>
      </w:tr>
      <w:tr w14:paraId="3D30281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6A13BD7D">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10F7821">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CE1BC6E">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336D253">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471F801">
            <w:pPr>
              <w:widowControl/>
              <w:jc w:val="left"/>
              <w:rPr>
                <w:rFonts w:ascii="宋体" w:cs="Times New Roman"/>
                <w:kern w:val="0"/>
                <w:sz w:val="24"/>
                <w:szCs w:val="24"/>
              </w:rPr>
            </w:pPr>
          </w:p>
        </w:tc>
      </w:tr>
      <w:tr w14:paraId="7982A06C">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7F67F286">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53E36419">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26C0B847">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7DB58D27">
            <w:pPr>
              <w:widowControl/>
              <w:jc w:val="center"/>
              <w:rPr>
                <w:rFonts w:ascii="宋体" w:cs="Times New Roman"/>
                <w:kern w:val="0"/>
                <w:sz w:val="24"/>
                <w:szCs w:val="24"/>
              </w:rPr>
            </w:pPr>
            <w:r>
              <w:rPr>
                <w:rFonts w:ascii="宋体" w:hAnsi="宋体" w:cs="宋体"/>
                <w:kern w:val="0"/>
                <w:sz w:val="24"/>
                <w:szCs w:val="24"/>
              </w:rPr>
              <w:t>3</w:t>
            </w:r>
          </w:p>
        </w:tc>
      </w:tr>
      <w:tr w14:paraId="24190F6B">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695EC026">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13D93B44">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14:paraId="11D6BF22">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B7AEA35">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r>
      <w:tr w14:paraId="23BF67A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992B5E3">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09DCECF">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7B701FC6">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527D948">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73466F70">
            <w:pPr>
              <w:widowControl/>
              <w:jc w:val="left"/>
              <w:rPr>
                <w:rFonts w:ascii="宋体" w:cs="Times New Roman"/>
                <w:kern w:val="0"/>
                <w:sz w:val="24"/>
                <w:szCs w:val="24"/>
              </w:rPr>
            </w:pPr>
            <w:r>
              <w:rPr>
                <w:rFonts w:hint="eastAsia" w:ascii="宋体" w:hAnsi="宋体" w:cs="宋体"/>
                <w:kern w:val="0"/>
                <w:sz w:val="24"/>
                <w:szCs w:val="24"/>
              </w:rPr>
              <w:t>　</w:t>
            </w:r>
          </w:p>
        </w:tc>
      </w:tr>
      <w:tr w14:paraId="1D307FA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D6D8483">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3B96587F">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A8F65C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3E55076">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7191BA0">
            <w:pPr>
              <w:widowControl/>
              <w:jc w:val="left"/>
              <w:rPr>
                <w:rFonts w:ascii="宋体" w:cs="Times New Roman"/>
                <w:kern w:val="0"/>
                <w:sz w:val="24"/>
                <w:szCs w:val="24"/>
              </w:rPr>
            </w:pPr>
            <w:r>
              <w:rPr>
                <w:rFonts w:hint="eastAsia" w:ascii="宋体" w:hAnsi="宋体" w:cs="宋体"/>
                <w:kern w:val="0"/>
                <w:sz w:val="24"/>
                <w:szCs w:val="24"/>
              </w:rPr>
              <w:t>　</w:t>
            </w:r>
          </w:p>
        </w:tc>
      </w:tr>
      <w:tr w14:paraId="5B16637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63E0DDB">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48932470">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7746D0B4">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5FC982E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C5C0044">
            <w:pPr>
              <w:widowControl/>
              <w:jc w:val="left"/>
              <w:rPr>
                <w:rFonts w:ascii="宋体" w:cs="Times New Roman"/>
                <w:kern w:val="0"/>
                <w:sz w:val="24"/>
                <w:szCs w:val="24"/>
              </w:rPr>
            </w:pPr>
            <w:r>
              <w:rPr>
                <w:rFonts w:hint="eastAsia" w:ascii="宋体" w:hAnsi="宋体" w:cs="宋体"/>
                <w:kern w:val="0"/>
                <w:sz w:val="24"/>
                <w:szCs w:val="24"/>
              </w:rPr>
              <w:t>　</w:t>
            </w:r>
          </w:p>
        </w:tc>
      </w:tr>
      <w:tr w14:paraId="7417DFC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9E92C6B">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D6599DB">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24FCDAA6">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A29BCE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E7A2CD0">
            <w:pPr>
              <w:widowControl/>
              <w:jc w:val="left"/>
              <w:rPr>
                <w:rFonts w:ascii="宋体" w:cs="Times New Roman"/>
                <w:kern w:val="0"/>
                <w:sz w:val="24"/>
                <w:szCs w:val="24"/>
              </w:rPr>
            </w:pPr>
            <w:r>
              <w:rPr>
                <w:rFonts w:hint="eastAsia" w:ascii="宋体" w:hAnsi="宋体" w:cs="宋体"/>
                <w:kern w:val="0"/>
                <w:sz w:val="24"/>
                <w:szCs w:val="24"/>
              </w:rPr>
              <w:t>　</w:t>
            </w:r>
          </w:p>
        </w:tc>
      </w:tr>
      <w:tr w14:paraId="54AC5A3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FD437AB">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497B21B3">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7EE4FEF6">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FAE835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7D3C8AC">
            <w:pPr>
              <w:widowControl/>
              <w:jc w:val="left"/>
              <w:rPr>
                <w:rFonts w:ascii="宋体" w:cs="Times New Roman"/>
                <w:kern w:val="0"/>
                <w:sz w:val="24"/>
                <w:szCs w:val="24"/>
              </w:rPr>
            </w:pPr>
            <w:r>
              <w:rPr>
                <w:rFonts w:hint="eastAsia" w:ascii="宋体" w:hAnsi="宋体" w:cs="宋体"/>
                <w:kern w:val="0"/>
                <w:sz w:val="24"/>
                <w:szCs w:val="24"/>
              </w:rPr>
              <w:t>　</w:t>
            </w:r>
          </w:p>
        </w:tc>
      </w:tr>
      <w:tr w14:paraId="1985E6B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158DE3DD">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57A48517">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5415D8C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08FE3DC2">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1FF8B5F8">
            <w:pPr>
              <w:widowControl/>
              <w:jc w:val="left"/>
              <w:rPr>
                <w:rFonts w:ascii="宋体" w:cs="Times New Roman"/>
                <w:kern w:val="0"/>
                <w:sz w:val="24"/>
                <w:szCs w:val="24"/>
              </w:rPr>
            </w:pPr>
            <w:r>
              <w:rPr>
                <w:rFonts w:hint="eastAsia" w:ascii="宋体" w:hAnsi="宋体" w:cs="宋体"/>
                <w:kern w:val="0"/>
                <w:sz w:val="24"/>
                <w:szCs w:val="24"/>
              </w:rPr>
              <w:t>　</w:t>
            </w:r>
          </w:p>
        </w:tc>
      </w:tr>
      <w:tr w14:paraId="309CAFB0">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5341589C">
            <w:pPr>
              <w:widowControl/>
              <w:jc w:val="left"/>
              <w:rPr>
                <w:rFonts w:ascii="宋体" w:cs="Times New Roman"/>
                <w:kern w:val="0"/>
                <w:sz w:val="24"/>
                <w:szCs w:val="24"/>
              </w:rPr>
            </w:pPr>
            <w:r>
              <w:rPr>
                <w:rFonts w:hint="eastAsia" w:ascii="宋体" w:hAnsi="宋体" w:cs="宋体"/>
                <w:kern w:val="0"/>
                <w:sz w:val="24"/>
                <w:szCs w:val="24"/>
              </w:rPr>
              <w:t>注：本单位没有国有资本经营预算财政拨款支出，故本表无数据</w:t>
            </w:r>
            <w:r>
              <w:rPr>
                <w:rFonts w:hint="eastAsia" w:ascii="宋体" w:hAnsi="宋体" w:cs="宋体"/>
                <w:kern w:val="0"/>
                <w:sz w:val="24"/>
                <w:szCs w:val="24"/>
                <w:lang w:eastAsia="zh-CN"/>
              </w:rPr>
              <w:t>。</w:t>
            </w:r>
          </w:p>
        </w:tc>
      </w:tr>
    </w:tbl>
    <w:p w14:paraId="64564EDA">
      <w:pPr>
        <w:pStyle w:val="12"/>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2D908605">
      <w:pPr>
        <w:widowControl/>
        <w:spacing w:line="600" w:lineRule="exact"/>
        <w:ind w:firstLine="1320" w:firstLineChars="300"/>
        <w:jc w:val="both"/>
        <w:outlineLvl w:val="0"/>
        <w:rPr>
          <w:rFonts w:hint="eastAsia" w:ascii="黑体" w:hAnsi="黑体" w:eastAsia="黑体" w:cs="黑体"/>
          <w:b/>
          <w:bCs w:val="0"/>
          <w:kern w:val="0"/>
          <w:sz w:val="44"/>
          <w:szCs w:val="44"/>
        </w:rPr>
      </w:pPr>
    </w:p>
    <w:p w14:paraId="74745BE4">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第三部分</w:t>
      </w:r>
      <w:r>
        <w:rPr>
          <w:rFonts w:hint="eastAsia" w:ascii="黑体" w:hAnsi="黑体" w:eastAsia="黑体" w:cs="黑体"/>
          <w:b/>
          <w:bCs w:val="0"/>
          <w:kern w:val="0"/>
          <w:sz w:val="44"/>
          <w:szCs w:val="44"/>
          <w:lang w:eastAsia="zh-CN"/>
        </w:rPr>
        <w:t>2022</w:t>
      </w:r>
      <w:r>
        <w:rPr>
          <w:rFonts w:hint="eastAsia" w:ascii="黑体" w:hAnsi="黑体" w:eastAsia="黑体" w:cs="黑体"/>
          <w:b/>
          <w:bCs w:val="0"/>
          <w:kern w:val="0"/>
          <w:sz w:val="44"/>
          <w:szCs w:val="44"/>
        </w:rPr>
        <w:t>年度部门决算情况说明</w:t>
      </w:r>
    </w:p>
    <w:p w14:paraId="610002E0">
      <w:pPr>
        <w:widowControl/>
        <w:spacing w:line="600" w:lineRule="exact"/>
        <w:ind w:firstLine="1320" w:firstLineChars="300"/>
        <w:jc w:val="both"/>
        <w:outlineLvl w:val="0"/>
        <w:rPr>
          <w:rFonts w:hint="eastAsia" w:ascii="黑体" w:hAnsi="黑体" w:eastAsia="黑体" w:cs="黑体"/>
          <w:b/>
          <w:bCs w:val="0"/>
          <w:kern w:val="0"/>
          <w:sz w:val="44"/>
          <w:szCs w:val="44"/>
        </w:rPr>
      </w:pPr>
    </w:p>
    <w:p w14:paraId="3004AF3C">
      <w:pPr>
        <w:pStyle w:val="12"/>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3A7E1FDA">
      <w:pPr>
        <w:pStyle w:val="12"/>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lang w:val="en-US" w:eastAsia="zh-CN"/>
        </w:rPr>
        <w:t>2022</w:t>
      </w:r>
      <w:r>
        <w:rPr>
          <w:rFonts w:hint="eastAsia" w:ascii="Times New Roman" w:hAnsi="Times New Roman" w:eastAsia="仿宋_GB2312" w:cs="Times New Roman"/>
          <w:bCs/>
          <w:color w:val="auto"/>
          <w:sz w:val="32"/>
          <w:szCs w:val="32"/>
        </w:rPr>
        <w:t>年度</w:t>
      </w:r>
      <w:r>
        <w:rPr>
          <w:rFonts w:ascii="Times New Roman" w:hAnsi="Times New Roman" w:eastAsia="仿宋_GB2312" w:cs="Times New Roman"/>
          <w:color w:val="auto"/>
          <w:sz w:val="32"/>
          <w:szCs w:val="32"/>
        </w:rPr>
        <w:t>收、支总计</w:t>
      </w:r>
      <w:r>
        <w:rPr>
          <w:rFonts w:hint="eastAsia" w:ascii="Times New Roman" w:hAnsi="Times New Roman" w:eastAsia="仿宋_GB2312" w:cs="Times New Roman"/>
          <w:color w:val="auto"/>
          <w:sz w:val="32"/>
          <w:szCs w:val="32"/>
          <w:u w:val="none"/>
          <w:lang w:val="en-US" w:eastAsia="zh-CN"/>
        </w:rPr>
        <w:t>394.73</w:t>
      </w:r>
      <w:r>
        <w:rPr>
          <w:rFonts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373.39万元</w:t>
      </w:r>
      <w:r>
        <w:rPr>
          <w:rFonts w:ascii="Times New Roman" w:hAnsi="Times New Roman" w:eastAsia="仿宋_GB2312" w:cs="Times New Roman"/>
          <w:color w:val="auto"/>
          <w:sz w:val="32"/>
          <w:szCs w:val="32"/>
        </w:rPr>
        <w:t>相比，</w:t>
      </w:r>
      <w:r>
        <w:rPr>
          <w:rFonts w:hint="eastAsia" w:ascii="Times New Roman" w:hAnsi="Times New Roman" w:eastAsia="仿宋_GB2312" w:cs="Times New Roman"/>
          <w:color w:val="auto"/>
          <w:sz w:val="32"/>
          <w:szCs w:val="32"/>
          <w:u w:val="none"/>
          <w:lang w:val="en-US" w:eastAsia="zh-CN"/>
        </w:rPr>
        <w:t>增加21.34万元，增加5.72%，主要是因为协警、工勤人员劳务费以及被看押人员经费上涨。</w:t>
      </w:r>
    </w:p>
    <w:p w14:paraId="0A05B471">
      <w:pPr>
        <w:pStyle w:val="12"/>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78C6CB6E">
      <w:pPr>
        <w:pStyle w:val="12"/>
        <w:spacing w:line="600" w:lineRule="exact"/>
        <w:ind w:firstLine="640" w:firstLineChars="200"/>
        <w:rPr>
          <w:rFonts w:hint="eastAsia" w:ascii="黑体" w:hAnsi="黑体" w:eastAsia="黑体" w:cs="黑体"/>
          <w:b/>
          <w:bCs w:val="0"/>
          <w:kern w:val="0"/>
          <w:sz w:val="44"/>
          <w:szCs w:val="44"/>
        </w:rPr>
      </w:pPr>
      <w:r>
        <w:rPr>
          <w:rFonts w:hint="eastAsia"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lang w:val="en-US" w:eastAsia="zh-CN"/>
        </w:rPr>
        <w:t>394.73</w:t>
      </w:r>
      <w:r>
        <w:rPr>
          <w:rFonts w:hint="eastAsia"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lang w:val="en-US" w:eastAsia="zh-CN"/>
        </w:rPr>
        <w:t>366.19</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92.77</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；上级补助收入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；事业收入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；附属单位上缴收入</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；其他收入</w:t>
      </w:r>
      <w:r>
        <w:rPr>
          <w:rFonts w:hint="eastAsia" w:ascii="Times New Roman" w:hAnsi="Times New Roman" w:eastAsia="仿宋_GB2312" w:cs="Times New Roman"/>
          <w:color w:val="auto"/>
          <w:sz w:val="32"/>
          <w:szCs w:val="32"/>
          <w:lang w:val="en-US" w:eastAsia="zh-CN"/>
        </w:rPr>
        <w:t>28.54</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7.23</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14:paraId="52931C1F">
      <w:pPr>
        <w:pStyle w:val="12"/>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12277501">
      <w:pPr>
        <w:pStyle w:val="12"/>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lang w:val="en-US" w:eastAsia="zh-CN"/>
        </w:rPr>
        <w:t>394.73</w:t>
      </w:r>
      <w:r>
        <w:rPr>
          <w:rFonts w:hint="eastAsia"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lang w:val="en-US" w:eastAsia="zh-CN"/>
        </w:rPr>
        <w:t>394.73</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；上缴上级支出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；经营支出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；对附属单位补助支出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14:paraId="0978DAA0">
      <w:pPr>
        <w:pStyle w:val="12"/>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6C5F1E5B">
      <w:pPr>
        <w:pStyle w:val="12"/>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eastAsia="zh-CN"/>
        </w:rPr>
        <w:t>2022</w:t>
      </w:r>
      <w:r>
        <w:rPr>
          <w:rFonts w:hint="eastAsia"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lang w:val="en-US" w:eastAsia="zh-CN"/>
        </w:rPr>
        <w:t>366.19</w:t>
      </w:r>
      <w:r>
        <w:rPr>
          <w:rFonts w:hint="eastAsia"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val="en-US" w:eastAsia="zh-CN"/>
        </w:rPr>
        <w:t>上</w:t>
      </w:r>
      <w:r>
        <w:rPr>
          <w:rFonts w:hint="eastAsia"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291.83万元</w:t>
      </w:r>
      <w:r>
        <w:rPr>
          <w:rFonts w:hint="eastAsia" w:ascii="Times New Roman" w:hAnsi="Times New Roman" w:eastAsia="仿宋_GB2312" w:cs="Times New Roman"/>
          <w:color w:val="auto"/>
          <w:sz w:val="32"/>
          <w:szCs w:val="32"/>
        </w:rPr>
        <w:t>相比，</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lang w:val="en-US" w:eastAsia="zh-CN"/>
        </w:rPr>
        <w:t>74.36</w:t>
      </w:r>
      <w:r>
        <w:rPr>
          <w:rFonts w:hint="eastAsia" w:ascii="Times New Roman" w:hAnsi="Times New Roman" w:eastAsia="仿宋_GB2312" w:cs="Times New Roman"/>
          <w:color w:val="auto"/>
          <w:sz w:val="32"/>
          <w:szCs w:val="32"/>
        </w:rPr>
        <w:t>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上涨</w:t>
      </w:r>
      <w:r>
        <w:rPr>
          <w:rFonts w:hint="eastAsia" w:ascii="Times New Roman" w:hAnsi="Times New Roman" w:eastAsia="仿宋_GB2312" w:cs="Times New Roman"/>
          <w:color w:val="auto"/>
          <w:sz w:val="32"/>
          <w:szCs w:val="32"/>
          <w:lang w:val="en-US" w:eastAsia="zh-CN"/>
        </w:rPr>
        <w:t>25.48</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w:t>
      </w:r>
      <w:r>
        <w:rPr>
          <w:rFonts w:hint="eastAsia" w:ascii="Times New Roman" w:hAnsi="Times New Roman" w:eastAsia="仿宋_GB2312" w:cs="Times New Roman"/>
          <w:color w:val="auto"/>
          <w:sz w:val="32"/>
          <w:szCs w:val="32"/>
          <w:u w:val="none"/>
          <w:lang w:val="en-US" w:eastAsia="zh-CN"/>
        </w:rPr>
        <w:t>协警、工勤人员劳务费以及被看押人员经费上涨。</w:t>
      </w:r>
    </w:p>
    <w:p w14:paraId="04DAE3E8">
      <w:pPr>
        <w:pStyle w:val="12"/>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五、一般公共预算财政拨款支出决算情况说明</w:t>
      </w:r>
    </w:p>
    <w:p w14:paraId="4D7E010C">
      <w:pPr>
        <w:pStyle w:val="12"/>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（一）一般公共预算财政拨款支出决算总体情况</w:t>
      </w:r>
    </w:p>
    <w:p w14:paraId="056DEEF9">
      <w:pPr>
        <w:pStyle w:val="12"/>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kern w:val="0"/>
          <w:sz w:val="32"/>
          <w:szCs w:val="32"/>
          <w:lang w:eastAsia="zh-CN"/>
        </w:rPr>
        <w:t>2022</w:t>
      </w:r>
      <w:r>
        <w:rPr>
          <w:rFonts w:hint="eastAsia" w:ascii="Times New Roman" w:hAnsi="Times New Roman" w:eastAsia="仿宋_GB2312" w:cs="Times New Roman"/>
          <w:color w:val="auto"/>
          <w:kern w:val="0"/>
          <w:sz w:val="32"/>
          <w:szCs w:val="32"/>
        </w:rPr>
        <w:t>年度一般公共预算财政拨款支出</w:t>
      </w:r>
      <w:r>
        <w:rPr>
          <w:rFonts w:hint="eastAsia" w:ascii="Times New Roman" w:hAnsi="Times New Roman" w:eastAsia="仿宋_GB2312" w:cs="Times New Roman"/>
          <w:color w:val="auto"/>
          <w:sz w:val="32"/>
          <w:szCs w:val="32"/>
          <w:lang w:val="en-US" w:eastAsia="zh-CN"/>
        </w:rPr>
        <w:t>366.19</w:t>
      </w:r>
      <w:r>
        <w:rPr>
          <w:rFonts w:hint="eastAsia" w:ascii="Times New Roman" w:hAnsi="Times New Roman" w:eastAsia="仿宋_GB2312" w:cs="Times New Roman"/>
          <w:color w:val="auto"/>
          <w:kern w:val="0"/>
          <w:sz w:val="32"/>
          <w:szCs w:val="32"/>
        </w:rPr>
        <w:t>万元，占本年支出合计的</w:t>
      </w:r>
      <w:r>
        <w:rPr>
          <w:rFonts w:hint="eastAsia" w:ascii="Times New Roman" w:hAnsi="Times New Roman" w:eastAsia="仿宋_GB2312" w:cs="Times New Roman"/>
          <w:color w:val="auto"/>
          <w:kern w:val="0"/>
          <w:sz w:val="32"/>
          <w:szCs w:val="32"/>
          <w:lang w:val="en-US" w:eastAsia="zh-CN"/>
        </w:rPr>
        <w:t>92.77</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，与上年相比，</w:t>
      </w:r>
      <w:r>
        <w:rPr>
          <w:rFonts w:hint="eastAsia" w:ascii="Times New Roman" w:hAnsi="Times New Roman" w:eastAsia="仿宋_GB2312" w:cs="Times New Roman"/>
          <w:color w:val="auto"/>
          <w:kern w:val="0"/>
          <w:sz w:val="32"/>
          <w:szCs w:val="32"/>
          <w:lang w:val="en-US" w:eastAsia="zh-CN"/>
        </w:rPr>
        <w:t>一般公共预算</w:t>
      </w:r>
      <w:r>
        <w:rPr>
          <w:rFonts w:hint="eastAsia" w:ascii="Times New Roman" w:hAnsi="Times New Roman" w:eastAsia="仿宋_GB2312" w:cs="Times New Roman"/>
          <w:color w:val="auto"/>
          <w:kern w:val="0"/>
          <w:sz w:val="32"/>
          <w:szCs w:val="32"/>
        </w:rPr>
        <w:t>财政拨款支出</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lang w:val="en-US" w:eastAsia="zh-CN"/>
        </w:rPr>
        <w:t>74.36</w:t>
      </w:r>
      <w:r>
        <w:rPr>
          <w:rFonts w:hint="eastAsia" w:ascii="Times New Roman" w:hAnsi="Times New Roman" w:eastAsia="仿宋_GB2312" w:cs="Times New Roman"/>
          <w:color w:val="auto"/>
          <w:sz w:val="32"/>
          <w:szCs w:val="32"/>
        </w:rPr>
        <w:t>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上涨</w:t>
      </w:r>
      <w:r>
        <w:rPr>
          <w:rFonts w:hint="eastAsia" w:ascii="Times New Roman" w:hAnsi="Times New Roman" w:eastAsia="仿宋_GB2312" w:cs="Times New Roman"/>
          <w:color w:val="auto"/>
          <w:sz w:val="32"/>
          <w:szCs w:val="32"/>
          <w:lang w:val="en-US" w:eastAsia="zh-CN"/>
        </w:rPr>
        <w:t>25.48</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，主要是</w:t>
      </w:r>
      <w:r>
        <w:rPr>
          <w:rFonts w:hint="eastAsia" w:ascii="Times New Roman" w:hAnsi="Times New Roman" w:eastAsia="仿宋_GB2312" w:cs="Times New Roman"/>
          <w:color w:val="auto"/>
          <w:sz w:val="32"/>
          <w:szCs w:val="32"/>
          <w:u w:val="none"/>
          <w:lang w:val="en-US" w:eastAsia="zh-CN"/>
        </w:rPr>
        <w:t>协警、工勤人员劳务费以及被看押人员经费上涨。</w:t>
      </w:r>
    </w:p>
    <w:p w14:paraId="3F480D05">
      <w:pPr>
        <w:pStyle w:val="12"/>
        <w:spacing w:line="600" w:lineRule="exact"/>
        <w:outlineLvl w:val="2"/>
        <w:rPr>
          <w:rFonts w:hint="eastAsia" w:ascii="楷体_GB2312" w:hAnsi="Times New Roman" w:eastAsia="楷体_GB2312" w:cs="Times New Roman"/>
          <w:b/>
          <w:color w:val="auto"/>
          <w:kern w:val="0"/>
          <w:sz w:val="32"/>
          <w:szCs w:val="32"/>
        </w:rPr>
      </w:pPr>
      <w:r>
        <w:rPr>
          <w:rFonts w:hint="eastAsia" w:ascii="楷体_GB2312" w:hAnsi="Times New Roman" w:eastAsia="楷体_GB2312" w:cs="Times New Roman"/>
          <w:b/>
          <w:color w:val="auto"/>
          <w:kern w:val="0"/>
          <w:sz w:val="32"/>
          <w:szCs w:val="32"/>
        </w:rPr>
        <w:t>（二）一般公共预算财政拨款支出决算结构情况</w:t>
      </w:r>
    </w:p>
    <w:p w14:paraId="2B6A6307">
      <w:pPr>
        <w:pStyle w:val="12"/>
        <w:spacing w:line="600" w:lineRule="exact"/>
        <w:ind w:firstLine="640" w:firstLineChars="200"/>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eastAsia="zh-CN"/>
        </w:rPr>
        <w:t>2022</w:t>
      </w:r>
      <w:r>
        <w:rPr>
          <w:rFonts w:hint="eastAsia" w:ascii="Times New Roman" w:hAnsi="Times New Roman" w:eastAsia="仿宋_GB2312" w:cs="Times New Roman"/>
          <w:color w:val="auto"/>
          <w:kern w:val="0"/>
          <w:sz w:val="32"/>
          <w:szCs w:val="32"/>
        </w:rPr>
        <w:t>年度一般公共预算财政拨款支出</w:t>
      </w:r>
      <w:r>
        <w:rPr>
          <w:rFonts w:hint="eastAsia" w:ascii="Times New Roman" w:hAnsi="Times New Roman" w:eastAsia="仿宋_GB2312" w:cs="Times New Roman"/>
          <w:color w:val="auto"/>
          <w:kern w:val="0"/>
          <w:sz w:val="32"/>
          <w:szCs w:val="32"/>
          <w:lang w:val="en-US" w:eastAsia="zh-CN"/>
        </w:rPr>
        <w:t>366.19</w:t>
      </w:r>
      <w:r>
        <w:rPr>
          <w:rFonts w:hint="eastAsia" w:ascii="Times New Roman" w:hAnsi="Times New Roman" w:eastAsia="仿宋_GB2312" w:cs="Times New Roman"/>
          <w:color w:val="auto"/>
          <w:kern w:val="0"/>
          <w:sz w:val="32"/>
          <w:szCs w:val="32"/>
        </w:rPr>
        <w:t>万元，主要用于以下方面：一般公共服务（类）支出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；教育（类）支出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万元，占</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公共安全支出</w:t>
      </w:r>
      <w:r>
        <w:rPr>
          <w:rFonts w:hint="eastAsia" w:ascii="Times New Roman" w:hAnsi="Times New Roman" w:eastAsia="仿宋_GB2312" w:cs="Times New Roman"/>
          <w:color w:val="auto"/>
          <w:kern w:val="0"/>
          <w:sz w:val="32"/>
          <w:szCs w:val="32"/>
        </w:rPr>
        <w:t>（类）</w:t>
      </w:r>
      <w:r>
        <w:rPr>
          <w:rFonts w:hint="eastAsia" w:ascii="Times New Roman" w:hAnsi="Times New Roman" w:eastAsia="仿宋_GB2312" w:cs="Times New Roman"/>
          <w:color w:val="auto"/>
          <w:kern w:val="0"/>
          <w:sz w:val="32"/>
          <w:szCs w:val="32"/>
          <w:lang w:val="en-US" w:eastAsia="zh-CN"/>
        </w:rPr>
        <w:t>366.19万元，占100%。</w:t>
      </w:r>
    </w:p>
    <w:p w14:paraId="331958E9">
      <w:pPr>
        <w:pStyle w:val="12"/>
        <w:rPr>
          <w:rFonts w:ascii="宋体" w:hAnsi="宋体" w:eastAsia="宋体" w:cs="Times New Roman"/>
          <w:b/>
          <w:bCs/>
          <w:sz w:val="32"/>
          <w:szCs w:val="32"/>
        </w:rPr>
      </w:pPr>
      <w:r>
        <w:rPr>
          <w:rFonts w:hint="eastAsia" w:ascii="宋体" w:hAnsi="宋体" w:eastAsia="宋体" w:cs="Times New Roman"/>
          <w:b/>
          <w:bCs/>
          <w:sz w:val="32"/>
          <w:szCs w:val="32"/>
        </w:rPr>
        <w:t>（三）一般公共预算财政拨款支出决算具体情况</w:t>
      </w:r>
    </w:p>
    <w:p w14:paraId="0A87758D">
      <w:pPr>
        <w:pStyle w:val="12"/>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eastAsia="zh-CN"/>
        </w:rPr>
        <w:t>2022</w:t>
      </w:r>
      <w:r>
        <w:rPr>
          <w:rFonts w:hint="eastAsia" w:ascii="Times New Roman" w:hAnsi="Times New Roman" w:eastAsia="仿宋_GB2312" w:cs="Times New Roman"/>
          <w:color w:val="auto"/>
          <w:kern w:val="0"/>
          <w:sz w:val="32"/>
          <w:szCs w:val="32"/>
        </w:rPr>
        <w:t>年度一般公共预算财政拨款支出年初预算数为</w:t>
      </w:r>
      <w:r>
        <w:rPr>
          <w:rFonts w:hint="eastAsia" w:ascii="Times New Roman" w:hAnsi="Times New Roman" w:eastAsia="仿宋_GB2312" w:cs="Times New Roman"/>
          <w:color w:val="auto"/>
          <w:kern w:val="0"/>
          <w:sz w:val="32"/>
          <w:szCs w:val="32"/>
          <w:lang w:val="en-US" w:eastAsia="zh-CN"/>
        </w:rPr>
        <w:t>355</w:t>
      </w:r>
      <w:r>
        <w:rPr>
          <w:rFonts w:hint="eastAsia" w:ascii="Times New Roman" w:hAnsi="Times New Roman" w:eastAsia="仿宋_GB2312" w:cs="Times New Roman"/>
          <w:color w:val="auto"/>
          <w:kern w:val="0"/>
          <w:sz w:val="32"/>
          <w:szCs w:val="32"/>
        </w:rPr>
        <w:t>万元，支出决算数为</w:t>
      </w:r>
      <w:r>
        <w:rPr>
          <w:rFonts w:hint="eastAsia" w:ascii="Times New Roman" w:hAnsi="Times New Roman" w:eastAsia="仿宋_GB2312" w:cs="Times New Roman"/>
          <w:color w:val="auto"/>
          <w:kern w:val="0"/>
          <w:sz w:val="32"/>
          <w:szCs w:val="32"/>
          <w:lang w:val="en-US" w:eastAsia="zh-CN"/>
        </w:rPr>
        <w:t>366.19</w:t>
      </w:r>
      <w:r>
        <w:rPr>
          <w:rFonts w:hint="eastAsia" w:ascii="Times New Roman" w:hAnsi="Times New Roman" w:eastAsia="仿宋_GB2312" w:cs="Times New Roman"/>
          <w:color w:val="auto"/>
          <w:kern w:val="0"/>
          <w:sz w:val="32"/>
          <w:szCs w:val="32"/>
        </w:rPr>
        <w:t>万元，完成年初预算的</w:t>
      </w:r>
      <w:r>
        <w:rPr>
          <w:rFonts w:hint="eastAsia" w:ascii="Times New Roman" w:hAnsi="Times New Roman" w:eastAsia="仿宋_GB2312" w:cs="Times New Roman"/>
          <w:color w:val="auto"/>
          <w:kern w:val="0"/>
          <w:sz w:val="32"/>
          <w:szCs w:val="32"/>
          <w:lang w:val="en-US" w:eastAsia="zh-CN"/>
        </w:rPr>
        <w:t>103.15</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，其中：</w:t>
      </w:r>
    </w:p>
    <w:p w14:paraId="53B85786">
      <w:pPr>
        <w:pStyle w:val="12"/>
        <w:spacing w:line="600" w:lineRule="exact"/>
        <w:ind w:firstLine="640" w:firstLineChars="200"/>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1、公共安全支出</w:t>
      </w:r>
      <w:r>
        <w:rPr>
          <w:rFonts w:hint="eastAsia" w:ascii="Times New Roman" w:hAnsi="Times New Roman" w:eastAsia="仿宋_GB2312" w:cs="Times New Roman"/>
          <w:color w:val="auto"/>
          <w:kern w:val="0"/>
          <w:sz w:val="32"/>
          <w:szCs w:val="32"/>
        </w:rPr>
        <w:t>（类）</w:t>
      </w:r>
      <w:r>
        <w:rPr>
          <w:rFonts w:hint="eastAsia" w:ascii="Times New Roman" w:hAnsi="Times New Roman" w:eastAsia="仿宋_GB2312" w:cs="Times New Roman"/>
          <w:color w:val="auto"/>
          <w:kern w:val="0"/>
          <w:sz w:val="32"/>
          <w:szCs w:val="32"/>
          <w:lang w:val="en-US" w:eastAsia="zh-CN"/>
        </w:rPr>
        <w:t>公安</w:t>
      </w:r>
      <w:r>
        <w:rPr>
          <w:rFonts w:hint="eastAsia" w:ascii="Times New Roman" w:hAnsi="Times New Roman" w:eastAsia="仿宋_GB2312" w:cs="Times New Roman"/>
          <w:color w:val="auto"/>
          <w:kern w:val="0"/>
          <w:sz w:val="32"/>
          <w:szCs w:val="32"/>
        </w:rPr>
        <w:t>（款）</w:t>
      </w:r>
      <w:r>
        <w:rPr>
          <w:rFonts w:hint="eastAsia" w:ascii="Times New Roman" w:hAnsi="Times New Roman" w:eastAsia="仿宋_GB2312" w:cs="Times New Roman"/>
          <w:color w:val="auto"/>
          <w:kern w:val="0"/>
          <w:sz w:val="32"/>
          <w:szCs w:val="32"/>
          <w:lang w:val="en-US" w:eastAsia="zh-CN"/>
        </w:rPr>
        <w:t>其他公安支出（项）。</w:t>
      </w:r>
    </w:p>
    <w:p w14:paraId="39B0FE45">
      <w:pPr>
        <w:pStyle w:val="12"/>
        <w:ind w:firstLine="640" w:firstLineChars="200"/>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 xml:space="preserve"> 年初预算355万元，支出决算为366.19万元，完成年初预算的103.15%，</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大</w:t>
      </w:r>
      <w:r>
        <w:rPr>
          <w:rFonts w:ascii="Times New Roman" w:hAnsi="Times New Roman" w:eastAsia="仿宋_GB2312" w:cs="Times New Roman"/>
          <w:color w:val="auto"/>
          <w:sz w:val="32"/>
          <w:szCs w:val="32"/>
        </w:rPr>
        <w:t>于年初预算数的主要原因是：</w:t>
      </w:r>
      <w:r>
        <w:rPr>
          <w:rFonts w:hint="eastAsia" w:ascii="Times New Roman" w:hAnsi="Times New Roman" w:eastAsia="仿宋_GB2312" w:cs="Times New Roman"/>
          <w:color w:val="auto"/>
          <w:sz w:val="32"/>
          <w:szCs w:val="32"/>
          <w:u w:val="none"/>
          <w:lang w:val="en-US" w:eastAsia="zh-CN"/>
        </w:rPr>
        <w:t>年中追加预算（省级公安拨付维修专项经费）。</w:t>
      </w:r>
    </w:p>
    <w:p w14:paraId="6D29128F">
      <w:pPr>
        <w:pStyle w:val="12"/>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六、一般公共预算财政拨款基本支出决算情况说明</w:t>
      </w:r>
    </w:p>
    <w:p w14:paraId="62B4351A">
      <w:pPr>
        <w:pStyle w:val="12"/>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2022</w:t>
      </w:r>
      <w:r>
        <w:rPr>
          <w:rFonts w:ascii="Times New Roman" w:hAnsi="Times New Roman" w:eastAsia="仿宋_GB2312" w:cs="Times New Roman"/>
          <w:color w:val="auto"/>
          <w:sz w:val="32"/>
          <w:szCs w:val="32"/>
        </w:rPr>
        <w:t>年度</w:t>
      </w:r>
      <w:r>
        <w:rPr>
          <w:rFonts w:hint="eastAsia" w:ascii="Times New Roman" w:hAnsi="Times New Roman" w:eastAsia="仿宋_GB2312" w:cs="Times New Roman"/>
          <w:color w:val="auto"/>
          <w:sz w:val="32"/>
          <w:szCs w:val="32"/>
        </w:rPr>
        <w:t>一般公共预算</w:t>
      </w:r>
      <w:r>
        <w:rPr>
          <w:rFonts w:ascii="Times New Roman" w:hAnsi="Times New Roman" w:eastAsia="仿宋_GB2312" w:cs="Times New Roman"/>
          <w:color w:val="auto"/>
          <w:sz w:val="32"/>
          <w:szCs w:val="32"/>
        </w:rPr>
        <w:t>财政拨款基本支出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none"/>
          <w:lang w:val="en-US" w:eastAsia="zh-CN"/>
        </w:rPr>
        <w:t>比例由于基本支出为0无法计算</w:t>
      </w:r>
      <w:r>
        <w:rPr>
          <w:rFonts w:ascii="Times New Roman" w:hAnsi="Times New Roman" w:eastAsia="仿宋_GB2312" w:cs="Times New Roman"/>
          <w:color w:val="auto"/>
          <w:sz w:val="32"/>
          <w:szCs w:val="32"/>
        </w:rPr>
        <w:t>；公用经费</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none"/>
          <w:lang w:val="en-US" w:eastAsia="zh-CN"/>
        </w:rPr>
        <w:t>比例由于基本支出为0无法计算</w:t>
      </w:r>
      <w:r>
        <w:rPr>
          <w:rFonts w:hint="eastAsia" w:ascii="宋体" w:hAnsi="宋体" w:eastAsia="宋体" w:cs="宋体"/>
          <w:sz w:val="32"/>
          <w:szCs w:val="32"/>
        </w:rPr>
        <w:t>。</w:t>
      </w:r>
    </w:p>
    <w:p w14:paraId="61633639">
      <w:pPr>
        <w:pStyle w:val="12"/>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七、一般公共预算财政拨款三公经费支出决算情况说明</w:t>
      </w:r>
    </w:p>
    <w:p w14:paraId="20870B32">
      <w:pPr>
        <w:pStyle w:val="12"/>
        <w:ind w:firstLine="640" w:firstLineChars="200"/>
        <w:rPr>
          <w:rFonts w:hint="eastAsia" w:ascii="楷体_GB2312" w:hAnsi="Times New Roman" w:eastAsia="楷体_GB2312" w:cs="Times New Roman"/>
          <w:b/>
          <w:color w:val="auto"/>
          <w:kern w:val="0"/>
          <w:sz w:val="32"/>
          <w:szCs w:val="32"/>
        </w:rPr>
      </w:pPr>
      <w:r>
        <w:rPr>
          <w:rFonts w:hint="eastAsia" w:ascii="宋体" w:hAnsi="宋体" w:eastAsia="宋体" w:cs="宋体"/>
          <w:b/>
          <w:bCs/>
          <w:sz w:val="32"/>
          <w:szCs w:val="32"/>
        </w:rPr>
        <w:t>（</w:t>
      </w:r>
      <w:r>
        <w:rPr>
          <w:rFonts w:hint="eastAsia" w:ascii="楷体_GB2312" w:hAnsi="Times New Roman" w:eastAsia="楷体_GB2312" w:cs="Times New Roman"/>
          <w:b/>
          <w:color w:val="auto"/>
          <w:kern w:val="0"/>
          <w:sz w:val="32"/>
          <w:szCs w:val="32"/>
        </w:rPr>
        <w:t>一）“三公”经费财政拨款支出决算总体情况说明</w:t>
      </w:r>
    </w:p>
    <w:p w14:paraId="5536848C">
      <w:pPr>
        <w:pStyle w:val="12"/>
        <w:spacing w:line="600"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“三公”经费财政拨款支出预算为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w:t>
      </w:r>
    </w:p>
    <w:p w14:paraId="3698EF03">
      <w:pPr>
        <w:pStyle w:val="12"/>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因公出国（境）费支出预算为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r>
        <w:rPr>
          <w:rFonts w:hint="eastAsia" w:ascii="Times New Roman" w:hAnsi="Times New Roman" w:eastAsia="仿宋_GB2312" w:cs="Times New Roman"/>
          <w:color w:val="auto"/>
          <w:kern w:val="0"/>
          <w:sz w:val="32"/>
          <w:szCs w:val="32"/>
          <w:lang w:val="en-US" w:eastAsia="zh-CN"/>
        </w:rPr>
        <w:t>预算与决算数一致，</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val="en-US" w:eastAsia="zh-CN"/>
        </w:rPr>
        <w:t>无变化</w:t>
      </w:r>
      <w:r>
        <w:rPr>
          <w:rFonts w:ascii="Times New Roman" w:hAnsi="Times New Roman" w:eastAsia="仿宋_GB2312" w:cs="Times New Roman"/>
          <w:color w:val="auto"/>
          <w:sz w:val="32"/>
          <w:szCs w:val="32"/>
          <w:u w:val="none"/>
        </w:rPr>
        <w:t>，主要原因是</w:t>
      </w:r>
      <w:r>
        <w:rPr>
          <w:rFonts w:hint="eastAsia" w:ascii="Times New Roman" w:hAnsi="Times New Roman" w:eastAsia="仿宋_GB2312" w:cs="Times New Roman"/>
          <w:color w:val="auto"/>
          <w:sz w:val="32"/>
          <w:szCs w:val="32"/>
          <w:u w:val="none"/>
          <w:lang w:val="en-US" w:eastAsia="zh-CN"/>
        </w:rPr>
        <w:t>上年度也无此项支出</w:t>
      </w:r>
      <w:r>
        <w:rPr>
          <w:rFonts w:hint="eastAsia" w:ascii="Times New Roman" w:hAnsi="Times New Roman" w:eastAsia="仿宋_GB2312" w:cs="Times New Roman"/>
          <w:color w:val="auto"/>
          <w:kern w:val="0"/>
          <w:sz w:val="32"/>
          <w:szCs w:val="32"/>
        </w:rPr>
        <w:t>。</w:t>
      </w:r>
    </w:p>
    <w:p w14:paraId="1C656687">
      <w:pPr>
        <w:pStyle w:val="12"/>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公务接待费支出预算为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r>
        <w:rPr>
          <w:rFonts w:hint="eastAsia" w:ascii="Times New Roman" w:hAnsi="Times New Roman" w:eastAsia="仿宋_GB2312" w:cs="Times New Roman"/>
          <w:color w:val="auto"/>
          <w:kern w:val="0"/>
          <w:sz w:val="32"/>
          <w:szCs w:val="32"/>
          <w:lang w:val="en-US" w:eastAsia="zh-CN"/>
        </w:rPr>
        <w:t>预算与决算数一致，</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val="en-US" w:eastAsia="zh-CN"/>
        </w:rPr>
        <w:t>无变化</w:t>
      </w:r>
      <w:r>
        <w:rPr>
          <w:rFonts w:ascii="Times New Roman" w:hAnsi="Times New Roman" w:eastAsia="仿宋_GB2312" w:cs="Times New Roman"/>
          <w:color w:val="auto"/>
          <w:sz w:val="32"/>
          <w:szCs w:val="32"/>
          <w:u w:val="none"/>
        </w:rPr>
        <w:t>，主要原因是</w:t>
      </w:r>
      <w:r>
        <w:rPr>
          <w:rFonts w:hint="eastAsia" w:ascii="Times New Roman" w:hAnsi="Times New Roman" w:eastAsia="仿宋_GB2312" w:cs="Times New Roman"/>
          <w:color w:val="auto"/>
          <w:sz w:val="32"/>
          <w:szCs w:val="32"/>
          <w:u w:val="none"/>
          <w:lang w:val="en-US" w:eastAsia="zh-CN"/>
        </w:rPr>
        <w:t>上年度也无此项支出</w:t>
      </w:r>
      <w:r>
        <w:rPr>
          <w:rFonts w:hint="eastAsia" w:ascii="Times New Roman" w:hAnsi="Times New Roman" w:eastAsia="仿宋_GB2312" w:cs="Times New Roman"/>
          <w:color w:val="auto"/>
          <w:kern w:val="0"/>
          <w:sz w:val="32"/>
          <w:szCs w:val="32"/>
        </w:rPr>
        <w:t>。</w:t>
      </w:r>
    </w:p>
    <w:p w14:paraId="6AD18CDF">
      <w:pPr>
        <w:pStyle w:val="12"/>
        <w:spacing w:line="600" w:lineRule="exact"/>
        <w:ind w:firstLine="640" w:firstLineChars="200"/>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公务用车购置费及运行维护费支出预算为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w:t>
      </w:r>
      <w:r>
        <w:rPr>
          <w:rFonts w:hint="eastAsia" w:ascii="Times New Roman" w:hAnsi="Times New Roman" w:eastAsia="仿宋_GB2312" w:cs="Times New Roman"/>
          <w:color w:val="auto"/>
          <w:kern w:val="0"/>
          <w:sz w:val="32"/>
          <w:szCs w:val="32"/>
          <w:lang w:val="en-US" w:eastAsia="zh-CN"/>
        </w:rPr>
        <w:t>预算与决算数一致，</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val="en-US" w:eastAsia="zh-CN"/>
        </w:rPr>
        <w:t>无变化</w:t>
      </w:r>
      <w:r>
        <w:rPr>
          <w:rFonts w:ascii="Times New Roman" w:hAnsi="Times New Roman" w:eastAsia="仿宋_GB2312" w:cs="Times New Roman"/>
          <w:color w:val="auto"/>
          <w:sz w:val="32"/>
          <w:szCs w:val="32"/>
          <w:u w:val="none"/>
        </w:rPr>
        <w:t>，主要原因是</w:t>
      </w:r>
      <w:r>
        <w:rPr>
          <w:rFonts w:hint="eastAsia" w:ascii="Times New Roman" w:hAnsi="Times New Roman" w:eastAsia="仿宋_GB2312" w:cs="Times New Roman"/>
          <w:color w:val="auto"/>
          <w:sz w:val="32"/>
          <w:szCs w:val="32"/>
          <w:u w:val="none"/>
          <w:lang w:val="en-US" w:eastAsia="zh-CN"/>
        </w:rPr>
        <w:t>上年度也无此项支出</w:t>
      </w:r>
      <w:r>
        <w:rPr>
          <w:rFonts w:hint="eastAsia" w:ascii="Times New Roman" w:hAnsi="Times New Roman" w:eastAsia="仿宋_GB2312" w:cs="Times New Roman"/>
          <w:color w:val="auto"/>
          <w:kern w:val="0"/>
          <w:sz w:val="32"/>
          <w:szCs w:val="32"/>
        </w:rPr>
        <w:t>。</w:t>
      </w:r>
    </w:p>
    <w:p w14:paraId="682441CF">
      <w:pPr>
        <w:pStyle w:val="12"/>
        <w:spacing w:line="600" w:lineRule="exact"/>
        <w:ind w:firstLine="640" w:firstLineChars="200"/>
        <w:outlineLvl w:val="2"/>
        <w:rPr>
          <w:rFonts w:hint="eastAsia" w:ascii="楷体_GB2312" w:hAnsi="Times New Roman" w:eastAsia="楷体_GB2312" w:cs="Times New Roman"/>
          <w:b/>
          <w:color w:val="auto"/>
          <w:kern w:val="0"/>
          <w:sz w:val="32"/>
          <w:szCs w:val="32"/>
        </w:rPr>
      </w:pPr>
      <w:r>
        <w:rPr>
          <w:rFonts w:hint="eastAsia" w:ascii="楷体_GB2312" w:hAnsi="Times New Roman" w:eastAsia="楷体_GB2312" w:cs="Times New Roman"/>
          <w:b/>
          <w:color w:val="auto"/>
          <w:kern w:val="0"/>
          <w:sz w:val="32"/>
          <w:szCs w:val="32"/>
        </w:rPr>
        <w:t>（二）“三公”经费财政拨款支出决算具体情况说明</w:t>
      </w:r>
    </w:p>
    <w:p w14:paraId="54408450">
      <w:pPr>
        <w:pStyle w:val="12"/>
        <w:spacing w:line="600"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lang w:eastAsia="zh-CN"/>
        </w:rPr>
        <w:t>2022</w:t>
      </w:r>
      <w:r>
        <w:rPr>
          <w:rFonts w:hint="eastAsia" w:ascii="Times New Roman" w:hAnsi="Times New Roman" w:eastAsia="仿宋_GB2312" w:cs="Times New Roman"/>
          <w:color w:val="auto"/>
          <w:kern w:val="0"/>
          <w:sz w:val="32"/>
          <w:szCs w:val="32"/>
        </w:rPr>
        <w:t>年度“三公”经费财政拨款支出决算中，公务接待费支出决算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万元，因公出国（境）费支出决算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万元，公务用车购置费及运行维护费支出决算</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w:t>
      </w:r>
    </w:p>
    <w:p w14:paraId="174C2C6F">
      <w:pPr>
        <w:pStyle w:val="12"/>
        <w:spacing w:line="60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1</w:t>
      </w:r>
      <w:r>
        <w:rPr>
          <w:rFonts w:hint="eastAsia" w:ascii="Times New Roman" w:hAnsi="Times New Roman" w:eastAsia="仿宋_GB2312" w:cs="Times New Roman"/>
          <w:color w:val="auto"/>
          <w:kern w:val="0"/>
          <w:sz w:val="32"/>
          <w:szCs w:val="32"/>
        </w:rPr>
        <w:t>、因公出国（境）费支出决算为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万元，全年安排因公出国（境）团组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个，累计</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人次</w:t>
      </w:r>
      <w:r>
        <w:rPr>
          <w:rFonts w:hint="eastAsia" w:ascii="Times New Roman" w:hAnsi="Times New Roman" w:eastAsia="仿宋_GB2312" w:cs="Times New Roman"/>
          <w:color w:val="auto"/>
          <w:kern w:val="0"/>
          <w:sz w:val="32"/>
          <w:szCs w:val="32"/>
          <w:lang w:eastAsia="zh-CN"/>
        </w:rPr>
        <w:t>。</w:t>
      </w:r>
    </w:p>
    <w:p w14:paraId="4EE84D1D">
      <w:pPr>
        <w:pStyle w:val="12"/>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2</w:t>
      </w:r>
      <w:r>
        <w:rPr>
          <w:rFonts w:hint="eastAsia" w:ascii="Times New Roman" w:hAnsi="Times New Roman" w:eastAsia="仿宋_GB2312" w:cs="Times New Roman"/>
          <w:color w:val="auto"/>
          <w:kern w:val="0"/>
          <w:sz w:val="32"/>
          <w:szCs w:val="32"/>
        </w:rPr>
        <w:t>、公务接待费支出决算为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万元，全年共接待来访团组</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个、来宾</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人次。</w:t>
      </w:r>
    </w:p>
    <w:p w14:paraId="74A801BB">
      <w:pPr>
        <w:pStyle w:val="12"/>
        <w:spacing w:line="60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3</w:t>
      </w:r>
      <w:r>
        <w:rPr>
          <w:rFonts w:hint="eastAsia" w:ascii="Times New Roman" w:hAnsi="Times New Roman" w:eastAsia="仿宋_GB2312" w:cs="Times New Roman"/>
          <w:color w:val="auto"/>
          <w:kern w:val="0"/>
          <w:sz w:val="32"/>
          <w:szCs w:val="32"/>
        </w:rPr>
        <w:t>、公务用车购置费及运行维护费支出决算为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万元，其中：公务用车购置费</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万元，更新公务用车</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辆</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购置车辆0辆</w:t>
      </w:r>
      <w:r>
        <w:rPr>
          <w:rFonts w:hint="eastAsia" w:ascii="Times New Roman" w:hAnsi="Times New Roman" w:eastAsia="仿宋_GB2312" w:cs="Times New Roman"/>
          <w:color w:val="auto"/>
          <w:kern w:val="0"/>
          <w:sz w:val="32"/>
          <w:szCs w:val="32"/>
        </w:rPr>
        <w:t>。公务用车运行维护费</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万元，截</w:t>
      </w:r>
      <w:r>
        <w:rPr>
          <w:rFonts w:hint="eastAsia" w:ascii="Times New Roman" w:hAnsi="Times New Roman" w:eastAsia="仿宋_GB2312" w:cs="Times New Roman"/>
          <w:color w:val="auto"/>
          <w:kern w:val="0"/>
          <w:sz w:val="32"/>
          <w:szCs w:val="32"/>
          <w:lang w:eastAsia="zh-CN"/>
        </w:rPr>
        <w:t>至2022</w:t>
      </w:r>
      <w:r>
        <w:rPr>
          <w:rFonts w:hint="eastAsia" w:ascii="Times New Roman" w:hAnsi="Times New Roman" w:eastAsia="仿宋_GB2312" w:cs="Times New Roman"/>
          <w:color w:val="auto"/>
          <w:kern w:val="0"/>
          <w:sz w:val="32"/>
          <w:szCs w:val="32"/>
        </w:rPr>
        <w:t>年</w:t>
      </w:r>
      <w:r>
        <w:rPr>
          <w:rFonts w:ascii="Times New Roman" w:hAnsi="Times New Roman" w:eastAsia="仿宋_GB2312" w:cs="Times New Roman"/>
          <w:color w:val="auto"/>
          <w:kern w:val="0"/>
          <w:sz w:val="32"/>
          <w:szCs w:val="32"/>
        </w:rPr>
        <w:t>12</w:t>
      </w:r>
      <w:r>
        <w:rPr>
          <w:rFonts w:hint="eastAsia" w:ascii="Times New Roman" w:hAnsi="Times New Roman" w:eastAsia="仿宋_GB2312" w:cs="Times New Roman"/>
          <w:color w:val="auto"/>
          <w:kern w:val="0"/>
          <w:sz w:val="32"/>
          <w:szCs w:val="32"/>
        </w:rPr>
        <w:t>月</w:t>
      </w:r>
      <w:r>
        <w:rPr>
          <w:rFonts w:ascii="Times New Roman" w:hAnsi="Times New Roman" w:eastAsia="仿宋_GB2312" w:cs="Times New Roman"/>
          <w:color w:val="auto"/>
          <w:kern w:val="0"/>
          <w:sz w:val="32"/>
          <w:szCs w:val="32"/>
        </w:rPr>
        <w:t>31</w:t>
      </w:r>
      <w:r>
        <w:rPr>
          <w:rFonts w:hint="eastAsia" w:ascii="Times New Roman" w:hAnsi="Times New Roman" w:eastAsia="仿宋_GB2312" w:cs="Times New Roman"/>
          <w:color w:val="auto"/>
          <w:kern w:val="0"/>
          <w:sz w:val="32"/>
          <w:szCs w:val="32"/>
        </w:rPr>
        <w:t>日，我单位开支财政拨款的公务用车保有量为</w:t>
      </w:r>
      <w:r>
        <w:rPr>
          <w:rFonts w:hint="eastAsia" w:ascii="Times New Roman" w:hAnsi="Times New Roman" w:eastAsia="仿宋_GB2312" w:cs="Times New Roman"/>
          <w:color w:val="auto"/>
          <w:kern w:val="0"/>
          <w:sz w:val="32"/>
          <w:szCs w:val="32"/>
          <w:lang w:val="en-US" w:eastAsia="zh-CN"/>
        </w:rPr>
        <w:t>0</w:t>
      </w:r>
      <w:r>
        <w:rPr>
          <w:rFonts w:hint="eastAsia" w:ascii="Times New Roman" w:hAnsi="Times New Roman" w:eastAsia="仿宋_GB2312" w:cs="Times New Roman"/>
          <w:color w:val="auto"/>
          <w:kern w:val="0"/>
          <w:sz w:val="32"/>
          <w:szCs w:val="32"/>
        </w:rPr>
        <w:t>辆。</w:t>
      </w:r>
    </w:p>
    <w:p w14:paraId="27746CCF">
      <w:pPr>
        <w:pStyle w:val="12"/>
        <w:spacing w:line="600" w:lineRule="exact"/>
        <w:ind w:firstLine="640" w:firstLineChars="200"/>
        <w:outlineLvl w:val="1"/>
        <w:rPr>
          <w:rFonts w:hAnsi="黑体" w:cs="Times New Roman"/>
          <w:color w:val="auto"/>
          <w:kern w:val="0"/>
          <w:sz w:val="32"/>
          <w:szCs w:val="32"/>
        </w:rPr>
      </w:pPr>
      <w:r>
        <w:rPr>
          <w:rFonts w:hint="eastAsia" w:hAnsi="黑体" w:cs="Times New Roman"/>
          <w:color w:val="auto"/>
          <w:kern w:val="0"/>
          <w:sz w:val="32"/>
          <w:szCs w:val="32"/>
        </w:rPr>
        <w:t>八、政府性基金预算收入支出决算情况</w:t>
      </w:r>
    </w:p>
    <w:p w14:paraId="2F9020AE">
      <w:pPr>
        <w:pStyle w:val="12"/>
        <w:ind w:firstLine="640"/>
        <w:rPr>
          <w:rFonts w:ascii="宋体" w:hAnsi="宋体" w:eastAsia="宋体" w:cs="宋体"/>
          <w:sz w:val="32"/>
          <w:szCs w:val="32"/>
        </w:rPr>
      </w:pPr>
      <w:r>
        <w:rPr>
          <w:rFonts w:ascii="Times New Roman" w:hAnsi="Times New Roman" w:eastAsia="仿宋_GB2312" w:cs="Times New Roman"/>
          <w:color w:val="auto"/>
          <w:sz w:val="32"/>
          <w:szCs w:val="32"/>
        </w:rPr>
        <w:t>本单位无政府性基金收支</w:t>
      </w:r>
      <w:r>
        <w:rPr>
          <w:rFonts w:hint="eastAsia" w:ascii="宋体" w:hAnsi="宋体" w:eastAsia="宋体" w:cs="宋体"/>
          <w:sz w:val="32"/>
          <w:szCs w:val="32"/>
          <w:lang w:val="en-US" w:eastAsia="zh-CN"/>
        </w:rPr>
        <w:t>。</w:t>
      </w:r>
      <w:r>
        <w:rPr>
          <w:rFonts w:ascii="宋体" w:hAnsi="宋体" w:eastAsia="宋体" w:cs="宋体"/>
          <w:sz w:val="32"/>
          <w:szCs w:val="32"/>
        </w:rPr>
        <w:t xml:space="preserve"> </w:t>
      </w:r>
    </w:p>
    <w:p w14:paraId="27F8720D">
      <w:pPr>
        <w:pStyle w:val="12"/>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lang w:eastAsia="zh-CN"/>
        </w:rPr>
        <w:t>九</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14:paraId="08064415">
      <w:pPr>
        <w:pStyle w:val="12"/>
        <w:ind w:firstLine="640" w:firstLineChars="200"/>
        <w:rPr>
          <w:rFonts w:ascii="宋体" w:hAnsi="宋体" w:eastAsia="宋体" w:cs="Times New Roman"/>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14:paraId="6D87D038">
      <w:pPr>
        <w:pStyle w:val="12"/>
        <w:numPr>
          <w:ilvl w:val="0"/>
          <w:numId w:val="2"/>
        </w:numPr>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关于</w:t>
      </w:r>
      <w:r>
        <w:rPr>
          <w:rFonts w:hint="eastAsia" w:hAnsi="黑体" w:cs="Times New Roman"/>
          <w:color w:val="auto"/>
          <w:sz w:val="32"/>
          <w:szCs w:val="32"/>
          <w:lang w:val="en-US" w:eastAsia="zh-CN"/>
        </w:rPr>
        <w:t>2022</w:t>
      </w:r>
      <w:r>
        <w:rPr>
          <w:rFonts w:hAnsi="黑体" w:cs="Times New Roman"/>
          <w:color w:val="auto"/>
          <w:sz w:val="32"/>
          <w:szCs w:val="32"/>
        </w:rPr>
        <w:t>年度预算绩效情况说明</w:t>
      </w:r>
    </w:p>
    <w:p w14:paraId="37E40804">
      <w:pPr>
        <w:ind w:firstLine="645"/>
        <w:rPr>
          <w:rFonts w:hint="eastAsia" w:ascii="Times New Roman" w:hAnsi="Times New Roman" w:eastAsia="仿宋_GB2312" w:cs="Times New Roman"/>
          <w:i w:val="0"/>
          <w:iCs w:val="0"/>
          <w:caps w:val="0"/>
          <w:color w:val="333333"/>
          <w:spacing w:val="0"/>
          <w:sz w:val="21"/>
          <w:szCs w:val="21"/>
          <w:lang w:val="en-US" w:eastAsia="zh-CN"/>
        </w:rPr>
      </w:pPr>
      <w:r>
        <w:rPr>
          <w:rFonts w:ascii="仿宋" w:hAnsi="仿宋" w:eastAsia="仿宋" w:cs="仿宋"/>
          <w:i w:val="0"/>
          <w:iCs w:val="0"/>
          <w:caps w:val="0"/>
          <w:color w:val="333333"/>
          <w:spacing w:val="0"/>
          <w:sz w:val="32"/>
          <w:szCs w:val="32"/>
          <w:shd w:val="clear" w:fill="FFFFFF"/>
        </w:rPr>
        <w:t>我所在</w:t>
      </w:r>
      <w:r>
        <w:rPr>
          <w:rFonts w:hint="eastAsia" w:ascii="仿宋" w:hAnsi="仿宋" w:eastAsia="仿宋" w:cs="仿宋"/>
          <w:i w:val="0"/>
          <w:iCs w:val="0"/>
          <w:caps w:val="0"/>
          <w:color w:val="333333"/>
          <w:spacing w:val="0"/>
          <w:sz w:val="32"/>
          <w:szCs w:val="32"/>
          <w:shd w:val="clear" w:fill="FFFFFF"/>
          <w:lang w:eastAsia="zh-CN"/>
        </w:rPr>
        <w:t>县</w:t>
      </w:r>
      <w:r>
        <w:rPr>
          <w:rFonts w:ascii="仿宋" w:hAnsi="仿宋" w:eastAsia="仿宋" w:cs="仿宋"/>
          <w:i w:val="0"/>
          <w:iCs w:val="0"/>
          <w:caps w:val="0"/>
          <w:color w:val="333333"/>
          <w:spacing w:val="0"/>
          <w:sz w:val="32"/>
          <w:szCs w:val="32"/>
          <w:shd w:val="clear" w:fill="FFFFFF"/>
        </w:rPr>
        <w:t>委</w:t>
      </w:r>
      <w:r>
        <w:rPr>
          <w:rFonts w:hint="eastAsia" w:ascii="仿宋" w:hAnsi="仿宋" w:eastAsia="仿宋" w:cs="仿宋"/>
          <w:i w:val="0"/>
          <w:iCs w:val="0"/>
          <w:caps w:val="0"/>
          <w:color w:val="333333"/>
          <w:spacing w:val="0"/>
          <w:sz w:val="32"/>
          <w:szCs w:val="32"/>
          <w:shd w:val="clear" w:fill="FFFFFF"/>
          <w:lang w:eastAsia="zh-CN"/>
        </w:rPr>
        <w:t>县</w:t>
      </w:r>
      <w:r>
        <w:rPr>
          <w:rFonts w:ascii="仿宋" w:hAnsi="仿宋" w:eastAsia="仿宋" w:cs="仿宋"/>
          <w:i w:val="0"/>
          <w:iCs w:val="0"/>
          <w:caps w:val="0"/>
          <w:color w:val="333333"/>
          <w:spacing w:val="0"/>
          <w:sz w:val="32"/>
          <w:szCs w:val="32"/>
          <w:shd w:val="clear" w:fill="FFFFFF"/>
        </w:rPr>
        <w:t>政府及上级公安机关的正确领导下和监督下，</w:t>
      </w:r>
      <w:r>
        <w:rPr>
          <w:rFonts w:hint="eastAsia" w:ascii="仿宋_GB2312" w:eastAsia="仿宋_GB2312"/>
          <w:sz w:val="32"/>
          <w:szCs w:val="32"/>
        </w:rPr>
        <w:t>对</w:t>
      </w:r>
      <w:r>
        <w:rPr>
          <w:rFonts w:hint="eastAsia" w:ascii="仿宋_GB2312" w:hAnsi="宋体" w:eastAsia="仿宋_GB2312"/>
          <w:sz w:val="32"/>
          <w:szCs w:val="32"/>
          <w:lang w:eastAsia="zh-CN"/>
        </w:rPr>
        <w:t>2022</w:t>
      </w:r>
      <w:r>
        <w:rPr>
          <w:rFonts w:hint="eastAsia" w:ascii="仿宋_GB2312" w:hAnsi="宋体" w:eastAsia="仿宋_GB2312"/>
          <w:sz w:val="32"/>
          <w:szCs w:val="32"/>
        </w:rPr>
        <w:t>年度</w:t>
      </w:r>
      <w:r>
        <w:rPr>
          <w:rFonts w:hint="eastAsia" w:ascii="仿宋_GB2312" w:hAnsi="宋体" w:eastAsia="仿宋_GB2312" w:cs="宋体"/>
          <w:color w:val="000000"/>
          <w:kern w:val="0"/>
          <w:sz w:val="32"/>
          <w:szCs w:val="32"/>
        </w:rPr>
        <w:t>看守所专项经费</w:t>
      </w:r>
      <w:r>
        <w:rPr>
          <w:rFonts w:hint="eastAsia" w:ascii="仿宋_GB2312" w:hAnsi="宋体" w:eastAsia="仿宋_GB2312"/>
          <w:sz w:val="32"/>
          <w:szCs w:val="32"/>
        </w:rPr>
        <w:t>项目支出绩效进行了自评，主要是检查该专项资金是否</w:t>
      </w:r>
      <w:r>
        <w:rPr>
          <w:rFonts w:hint="eastAsia" w:ascii="仿宋_GB2312" w:eastAsia="仿宋_GB2312"/>
          <w:sz w:val="32"/>
          <w:szCs w:val="32"/>
        </w:rPr>
        <w:t>严格预算执行，严格按照专项资金预算绩效管理和部门整体支出绩效管理的要求，切实加强对财政资金的管理和监督，充分发挥财政资金的效益。</w:t>
      </w:r>
    </w:p>
    <w:p w14:paraId="19A671BC">
      <w:pPr>
        <w:pStyle w:val="12"/>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lang w:eastAsia="zh-CN"/>
        </w:rPr>
        <w:t>一</w:t>
      </w:r>
      <w:r>
        <w:rPr>
          <w:rFonts w:hAnsi="黑体" w:cs="Times New Roman"/>
          <w:color w:val="auto"/>
          <w:sz w:val="32"/>
          <w:szCs w:val="32"/>
        </w:rPr>
        <w:t>、其他重要事项情况说明</w:t>
      </w:r>
    </w:p>
    <w:p w14:paraId="096F698B">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14:paraId="0FB40E01">
      <w:pPr>
        <w:pStyle w:val="12"/>
        <w:numPr>
          <w:ilvl w:val="0"/>
          <w:numId w:val="0"/>
        </w:numPr>
        <w:spacing w:line="600" w:lineRule="exact"/>
        <w:ind w:firstLine="640" w:firstLineChars="200"/>
        <w:outlineLvl w:val="1"/>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本部门</w:t>
      </w:r>
      <w:r>
        <w:rPr>
          <w:rFonts w:hint="eastAsia" w:ascii="Times New Roman" w:hAnsi="Times New Roman" w:eastAsia="仿宋_GB2312" w:cs="Times New Roman"/>
          <w:color w:val="auto"/>
          <w:kern w:val="0"/>
          <w:sz w:val="32"/>
          <w:szCs w:val="32"/>
          <w:lang w:val="en-US" w:eastAsia="zh-CN" w:bidi="ar-SA"/>
        </w:rPr>
        <w:t>2022</w:t>
      </w:r>
      <w:r>
        <w:rPr>
          <w:rFonts w:ascii="Times New Roman" w:hAnsi="Times New Roman" w:eastAsia="仿宋_GB2312" w:cs="Times New Roman"/>
          <w:color w:val="auto"/>
          <w:kern w:val="0"/>
          <w:sz w:val="32"/>
          <w:szCs w:val="32"/>
          <w:lang w:val="en-US" w:eastAsia="zh-CN" w:bidi="ar-SA"/>
        </w:rPr>
        <w:t>年度机关运行经费支出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万元，比年初预算数比</w:t>
      </w:r>
      <w:r>
        <w:rPr>
          <w:rFonts w:hint="eastAsia" w:ascii="Times New Roman" w:hAnsi="Times New Roman" w:eastAsia="仿宋_GB2312" w:cs="Times New Roman"/>
          <w:color w:val="auto"/>
          <w:kern w:val="0"/>
          <w:sz w:val="32"/>
          <w:szCs w:val="32"/>
          <w:lang w:val="en-US" w:eastAsia="zh-CN" w:bidi="ar-SA"/>
        </w:rPr>
        <w:t>持平</w:t>
      </w:r>
      <w:r>
        <w:rPr>
          <w:rFonts w:ascii="Times New Roman" w:hAnsi="Times New Roman" w:eastAsia="仿宋_GB2312" w:cs="Times New Roman"/>
          <w:color w:val="auto"/>
          <w:kern w:val="0"/>
          <w:sz w:val="32"/>
          <w:szCs w:val="32"/>
          <w:lang w:val="en-US" w:eastAsia="zh-CN" w:bidi="ar-SA"/>
        </w:rPr>
        <w:t>。主要原因是：</w:t>
      </w:r>
      <w:r>
        <w:rPr>
          <w:rFonts w:hint="eastAsia" w:ascii="Times New Roman" w:hAnsi="Times New Roman" w:eastAsia="仿宋_GB2312" w:cs="Times New Roman"/>
          <w:color w:val="auto"/>
          <w:kern w:val="0"/>
          <w:sz w:val="32"/>
          <w:szCs w:val="32"/>
          <w:lang w:val="en-US" w:eastAsia="zh-CN" w:bidi="ar-SA"/>
        </w:rPr>
        <w:t>湘潭县看守所无基本支出只有项目支出，无机关运行经费</w:t>
      </w:r>
      <w:r>
        <w:rPr>
          <w:rFonts w:ascii="Times New Roman" w:hAnsi="Times New Roman" w:eastAsia="仿宋_GB2312" w:cs="Times New Roman"/>
          <w:color w:val="auto"/>
          <w:kern w:val="0"/>
          <w:sz w:val="32"/>
          <w:szCs w:val="32"/>
          <w:lang w:val="en-US" w:eastAsia="zh-CN" w:bidi="ar-SA"/>
        </w:rPr>
        <w:t>。</w:t>
      </w:r>
    </w:p>
    <w:p w14:paraId="2BF0730B">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14:paraId="6459126E">
      <w:pPr>
        <w:pStyle w:val="12"/>
        <w:numPr>
          <w:ilvl w:val="0"/>
          <w:numId w:val="0"/>
        </w:numPr>
        <w:spacing w:line="600" w:lineRule="exact"/>
        <w:ind w:firstLine="640" w:firstLineChars="200"/>
        <w:outlineLvl w:val="1"/>
        <w:rPr>
          <w:rFonts w:eastAsia="仿宋_GB2312"/>
          <w:kern w:val="0"/>
          <w:sz w:val="32"/>
          <w:szCs w:val="32"/>
        </w:rPr>
      </w:pPr>
      <w:r>
        <w:rPr>
          <w:rFonts w:hint="eastAsia" w:eastAsia="仿宋_GB2312"/>
          <w:kern w:val="0"/>
          <w:sz w:val="32"/>
          <w:szCs w:val="32"/>
          <w:lang w:val="en-US" w:eastAsia="zh-CN"/>
        </w:rPr>
        <w:t>2022</w:t>
      </w:r>
      <w:r>
        <w:rPr>
          <w:rFonts w:eastAsia="仿宋_GB2312"/>
          <w:kern w:val="0"/>
          <w:sz w:val="32"/>
          <w:szCs w:val="32"/>
        </w:rPr>
        <w:t>年本部门开支会议费</w:t>
      </w:r>
      <w:r>
        <w:rPr>
          <w:rFonts w:hint="eastAsia" w:eastAsia="仿宋_GB2312"/>
          <w:sz w:val="32"/>
          <w:szCs w:val="32"/>
          <w:u w:val="none"/>
          <w:lang w:val="en-US" w:eastAsia="zh-CN"/>
        </w:rPr>
        <w:t>0</w:t>
      </w:r>
      <w:r>
        <w:rPr>
          <w:rFonts w:eastAsia="仿宋_GB2312"/>
          <w:kern w:val="0"/>
          <w:sz w:val="32"/>
          <w:szCs w:val="32"/>
        </w:rPr>
        <w:t>万元；开支培训费</w:t>
      </w:r>
      <w:r>
        <w:rPr>
          <w:rFonts w:hint="eastAsia" w:eastAsia="仿宋_GB2312"/>
          <w:sz w:val="32"/>
          <w:szCs w:val="32"/>
          <w:u w:val="none"/>
          <w:lang w:val="en-US" w:eastAsia="zh-CN"/>
        </w:rPr>
        <w:t>0</w:t>
      </w:r>
      <w:r>
        <w:rPr>
          <w:rFonts w:eastAsia="仿宋_GB2312"/>
          <w:kern w:val="0"/>
          <w:sz w:val="32"/>
          <w:szCs w:val="32"/>
        </w:rPr>
        <w:t>万元；</w:t>
      </w:r>
      <w:r>
        <w:rPr>
          <w:rFonts w:hint="eastAsia" w:eastAsia="仿宋_GB2312"/>
          <w:kern w:val="0"/>
          <w:sz w:val="32"/>
          <w:szCs w:val="32"/>
          <w:lang w:eastAsia="zh-CN"/>
        </w:rPr>
        <w:t>未</w:t>
      </w:r>
      <w:r>
        <w:rPr>
          <w:rFonts w:eastAsia="仿宋_GB2312"/>
          <w:kern w:val="0"/>
          <w:sz w:val="32"/>
          <w:szCs w:val="32"/>
        </w:rPr>
        <w:t>举办节庆、晚会、论坛、赛事活动，开支</w:t>
      </w:r>
      <w:r>
        <w:rPr>
          <w:rFonts w:hint="eastAsia" w:eastAsia="仿宋_GB2312"/>
          <w:sz w:val="32"/>
          <w:szCs w:val="32"/>
          <w:u w:val="none"/>
          <w:lang w:val="en-US" w:eastAsia="zh-CN"/>
        </w:rPr>
        <w:t>0</w:t>
      </w:r>
      <w:r>
        <w:rPr>
          <w:rFonts w:eastAsia="仿宋_GB2312"/>
          <w:kern w:val="0"/>
          <w:sz w:val="32"/>
          <w:szCs w:val="32"/>
        </w:rPr>
        <w:t>万元，主要是</w:t>
      </w:r>
      <w:r>
        <w:rPr>
          <w:rFonts w:hint="eastAsia" w:eastAsia="仿宋_GB2312"/>
          <w:kern w:val="0"/>
          <w:sz w:val="32"/>
          <w:szCs w:val="32"/>
          <w:lang w:val="en-US" w:eastAsia="zh-CN"/>
        </w:rPr>
        <w:t>湘潭县看守所无基本支出只有项目支出，无一般性支出</w:t>
      </w:r>
      <w:r>
        <w:rPr>
          <w:rFonts w:eastAsia="仿宋_GB2312"/>
          <w:kern w:val="0"/>
          <w:sz w:val="32"/>
          <w:szCs w:val="32"/>
        </w:rPr>
        <w:t>。</w:t>
      </w:r>
    </w:p>
    <w:p w14:paraId="48440767">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14:paraId="0CE664F5">
      <w:pPr>
        <w:spacing w:line="600" w:lineRule="exact"/>
        <w:ind w:firstLine="640" w:firstLineChars="200"/>
        <w:rPr>
          <w:rFonts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本部门</w:t>
      </w:r>
      <w:r>
        <w:rPr>
          <w:rFonts w:hint="eastAsia" w:ascii="Times New Roman" w:hAnsi="Times New Roman" w:eastAsia="仿宋_GB2312" w:cs="Times New Roman"/>
          <w:color w:val="auto"/>
          <w:kern w:val="0"/>
          <w:sz w:val="32"/>
          <w:szCs w:val="32"/>
          <w:lang w:val="en-US" w:eastAsia="zh-CN" w:bidi="ar-SA"/>
        </w:rPr>
        <w:t>2022</w:t>
      </w:r>
      <w:r>
        <w:rPr>
          <w:rFonts w:ascii="Times New Roman" w:hAnsi="Times New Roman" w:eastAsia="仿宋_GB2312" w:cs="Times New Roman"/>
          <w:color w:val="auto"/>
          <w:kern w:val="0"/>
          <w:sz w:val="32"/>
          <w:szCs w:val="32"/>
          <w:lang w:val="en-US" w:eastAsia="zh-CN" w:bidi="ar-SA"/>
        </w:rPr>
        <w:t>年度政府采购支出总额</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万元，其中：政府采购货物支出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万元、政府采购工程支出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万元、政府采购服务支出</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万元。授予中小企业合同金额</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万元，占政府采购支出总额的</w:t>
      </w:r>
      <w:r>
        <w:rPr>
          <w:rFonts w:hint="eastAsia" w:ascii="Times New Roman" w:hAnsi="Times New Roman" w:eastAsia="仿宋_GB2312" w:cs="Times New Roman"/>
          <w:color w:val="auto"/>
          <w:kern w:val="0"/>
          <w:sz w:val="32"/>
          <w:szCs w:val="32"/>
          <w:lang w:val="en-US" w:eastAsia="zh-CN" w:bidi="ar-SA"/>
        </w:rPr>
        <w:t>比例由于支出为0无法计算</w:t>
      </w:r>
      <w:r>
        <w:rPr>
          <w:rFonts w:ascii="Times New Roman" w:hAnsi="Times New Roman" w:eastAsia="仿宋_GB2312" w:cs="Times New Roman"/>
          <w:color w:val="auto"/>
          <w:kern w:val="0"/>
          <w:sz w:val="32"/>
          <w:szCs w:val="32"/>
          <w:lang w:val="en-US" w:eastAsia="zh-CN" w:bidi="ar-SA"/>
        </w:rPr>
        <w:t>，其中：授予小微企业合同金额</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万元，占政府采购支出总额的</w:t>
      </w:r>
      <w:r>
        <w:rPr>
          <w:rFonts w:hint="eastAsia" w:ascii="Times New Roman" w:hAnsi="Times New Roman" w:eastAsia="仿宋_GB2312" w:cs="Times New Roman"/>
          <w:color w:val="auto"/>
          <w:kern w:val="0"/>
          <w:sz w:val="32"/>
          <w:szCs w:val="32"/>
          <w:lang w:val="en-US" w:eastAsia="zh-CN" w:bidi="ar-SA"/>
        </w:rPr>
        <w:t>比例由于支出为0无法计算</w:t>
      </w:r>
      <w:r>
        <w:rPr>
          <w:rFonts w:ascii="Times New Roman" w:hAnsi="Times New Roman" w:eastAsia="仿宋_GB2312" w:cs="Times New Roman"/>
          <w:color w:val="auto"/>
          <w:kern w:val="0"/>
          <w:sz w:val="32"/>
          <w:szCs w:val="32"/>
          <w:lang w:val="en-US" w:eastAsia="zh-CN" w:bidi="ar-SA"/>
        </w:rPr>
        <w:t>。</w:t>
      </w:r>
    </w:p>
    <w:p w14:paraId="047FFE24">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14:paraId="1C7416AB">
      <w:pPr>
        <w:pStyle w:val="12"/>
        <w:numPr>
          <w:ilvl w:val="0"/>
          <w:numId w:val="0"/>
        </w:numPr>
        <w:spacing w:line="600" w:lineRule="exact"/>
        <w:ind w:firstLine="640" w:firstLineChars="200"/>
        <w:outlineLvl w:val="1"/>
        <w:rPr>
          <w:rFonts w:hint="eastAsia" w:ascii="Times New Roman" w:hAnsi="Times New Roman" w:eastAsia="仿宋_GB2312" w:cs="Times New Roman"/>
          <w:color w:val="auto"/>
          <w:kern w:val="0"/>
          <w:sz w:val="32"/>
          <w:szCs w:val="32"/>
          <w:lang w:val="en-US" w:eastAsia="zh-CN" w:bidi="ar-SA"/>
        </w:rPr>
      </w:pPr>
      <w:r>
        <w:rPr>
          <w:rFonts w:ascii="Times New Roman" w:hAnsi="Times New Roman" w:eastAsia="仿宋_GB2312" w:cs="Times New Roman"/>
          <w:color w:val="auto"/>
          <w:kern w:val="0"/>
          <w:sz w:val="32"/>
          <w:szCs w:val="32"/>
          <w:lang w:val="en-US" w:eastAsia="zh-CN" w:bidi="ar-SA"/>
        </w:rPr>
        <w:t>截至</w:t>
      </w:r>
      <w:r>
        <w:rPr>
          <w:rFonts w:hint="eastAsia" w:ascii="Times New Roman" w:hAnsi="Times New Roman" w:eastAsia="仿宋_GB2312" w:cs="Times New Roman"/>
          <w:color w:val="auto"/>
          <w:kern w:val="0"/>
          <w:sz w:val="32"/>
          <w:szCs w:val="32"/>
          <w:lang w:val="en-US" w:eastAsia="zh-CN" w:bidi="ar-SA"/>
        </w:rPr>
        <w:t>2022</w:t>
      </w:r>
      <w:r>
        <w:rPr>
          <w:rFonts w:ascii="Times New Roman" w:hAnsi="Times New Roman" w:eastAsia="仿宋_GB2312" w:cs="Times New Roman"/>
          <w:color w:val="auto"/>
          <w:kern w:val="0"/>
          <w:sz w:val="32"/>
          <w:szCs w:val="32"/>
          <w:lang w:val="en-US" w:eastAsia="zh-CN" w:bidi="ar-SA"/>
        </w:rPr>
        <w:t>年12月31日，本单位共有车辆</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辆，其中，领导干部用车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辆、机要通信用车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辆、应急保障用车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辆、执法执勤用车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辆、特种专业技术用车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辆、其他用车</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辆，其他用车主要是</w:t>
      </w:r>
      <w:r>
        <w:rPr>
          <w:rFonts w:hint="eastAsia" w:ascii="Times New Roman" w:hAnsi="Times New Roman" w:eastAsia="仿宋_GB2312" w:cs="Times New Roman"/>
          <w:color w:val="auto"/>
          <w:kern w:val="0"/>
          <w:sz w:val="32"/>
          <w:szCs w:val="32"/>
          <w:lang w:val="en-US" w:eastAsia="zh-CN" w:bidi="ar-SA"/>
        </w:rPr>
        <w:t>私家车</w:t>
      </w:r>
      <w:r>
        <w:rPr>
          <w:rFonts w:ascii="Times New Roman" w:hAnsi="Times New Roman" w:eastAsia="仿宋_GB2312" w:cs="Times New Roman"/>
          <w:color w:val="auto"/>
          <w:kern w:val="0"/>
          <w:sz w:val="32"/>
          <w:szCs w:val="32"/>
          <w:lang w:val="en-US" w:eastAsia="zh-CN" w:bidi="ar-SA"/>
        </w:rPr>
        <w:t>；单位价值50万元以上通用设备</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台（套）；单位价值100万元以上专用设备</w:t>
      </w:r>
      <w:r>
        <w:rPr>
          <w:rFonts w:hint="eastAsia" w:ascii="Times New Roman" w:hAnsi="Times New Roman" w:eastAsia="仿宋_GB2312" w:cs="Times New Roman"/>
          <w:color w:val="auto"/>
          <w:kern w:val="0"/>
          <w:sz w:val="32"/>
          <w:szCs w:val="32"/>
          <w:lang w:val="en-US" w:eastAsia="zh-CN" w:bidi="ar-SA"/>
        </w:rPr>
        <w:t>0</w:t>
      </w:r>
      <w:r>
        <w:rPr>
          <w:rFonts w:ascii="Times New Roman" w:hAnsi="Times New Roman" w:eastAsia="仿宋_GB2312" w:cs="Times New Roman"/>
          <w:color w:val="auto"/>
          <w:kern w:val="0"/>
          <w:sz w:val="32"/>
          <w:szCs w:val="32"/>
          <w:lang w:val="en-US" w:eastAsia="zh-CN" w:bidi="ar-SA"/>
        </w:rPr>
        <w:t>台（套）</w:t>
      </w:r>
      <w:r>
        <w:rPr>
          <w:rFonts w:hint="eastAsia" w:ascii="Times New Roman" w:hAnsi="Times New Roman" w:eastAsia="仿宋_GB2312" w:cs="Times New Roman"/>
          <w:color w:val="auto"/>
          <w:kern w:val="0"/>
          <w:sz w:val="32"/>
          <w:szCs w:val="32"/>
          <w:lang w:val="en-US" w:eastAsia="zh-CN" w:bidi="ar-SA"/>
        </w:rPr>
        <w:t>。</w:t>
      </w:r>
    </w:p>
    <w:p w14:paraId="04AE5BA1">
      <w:pPr>
        <w:pStyle w:val="12"/>
        <w:rPr>
          <w:rFonts w:hAnsi="黑体" w:cs="Times New Roman"/>
          <w:b/>
          <w:bCs/>
          <w:sz w:val="32"/>
          <w:szCs w:val="32"/>
        </w:rPr>
      </w:pPr>
    </w:p>
    <w:p w14:paraId="67752FA8">
      <w:pPr>
        <w:pStyle w:val="12"/>
        <w:jc w:val="center"/>
        <w:rPr>
          <w:rFonts w:cs="Times New Roman"/>
          <w:sz w:val="72"/>
          <w:szCs w:val="72"/>
        </w:rPr>
      </w:pPr>
    </w:p>
    <w:p w14:paraId="0F6C8FE9">
      <w:pPr>
        <w:pStyle w:val="12"/>
        <w:jc w:val="center"/>
        <w:rPr>
          <w:rFonts w:cs="Times New Roman"/>
          <w:sz w:val="72"/>
          <w:szCs w:val="72"/>
        </w:rPr>
      </w:pPr>
    </w:p>
    <w:p w14:paraId="78E25654">
      <w:pPr>
        <w:pStyle w:val="12"/>
        <w:jc w:val="center"/>
        <w:rPr>
          <w:rFonts w:cs="Times New Roman"/>
          <w:sz w:val="72"/>
          <w:szCs w:val="72"/>
        </w:rPr>
      </w:pPr>
    </w:p>
    <w:p w14:paraId="3B56B1E3">
      <w:pPr>
        <w:pStyle w:val="12"/>
        <w:jc w:val="center"/>
        <w:rPr>
          <w:rFonts w:cs="Times New Roman"/>
          <w:sz w:val="72"/>
          <w:szCs w:val="72"/>
        </w:rPr>
      </w:pPr>
    </w:p>
    <w:p w14:paraId="71173D26">
      <w:pPr>
        <w:pStyle w:val="12"/>
        <w:jc w:val="center"/>
        <w:rPr>
          <w:rFonts w:cs="Times New Roman"/>
          <w:sz w:val="72"/>
          <w:szCs w:val="72"/>
        </w:rPr>
        <w:sectPr>
          <w:pgSz w:w="11906" w:h="16838"/>
          <w:pgMar w:top="1440" w:right="1800" w:bottom="1440" w:left="1800" w:header="851" w:footer="992" w:gutter="0"/>
          <w:cols w:space="0" w:num="1"/>
          <w:rtlGutter w:val="0"/>
          <w:docGrid w:type="linesAndChars" w:linePitch="312" w:charSpace="0"/>
        </w:sectPr>
      </w:pPr>
    </w:p>
    <w:p w14:paraId="1543B4FD">
      <w:pPr>
        <w:pStyle w:val="12"/>
        <w:jc w:val="center"/>
        <w:rPr>
          <w:rFonts w:cs="Times New Roman"/>
          <w:sz w:val="72"/>
          <w:szCs w:val="72"/>
        </w:rPr>
      </w:pPr>
    </w:p>
    <w:p w14:paraId="0FAA97C8">
      <w:pPr>
        <w:widowControl/>
        <w:spacing w:line="600" w:lineRule="exact"/>
        <w:ind w:firstLine="3080" w:firstLineChars="700"/>
        <w:jc w:val="both"/>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第四部分</w:t>
      </w:r>
      <w:r>
        <w:rPr>
          <w:rFonts w:hint="eastAsia" w:ascii="黑体" w:hAnsi="黑体" w:eastAsia="黑体" w:cs="黑体"/>
          <w:b/>
          <w:bCs w:val="0"/>
          <w:kern w:val="0"/>
          <w:sz w:val="44"/>
          <w:szCs w:val="44"/>
          <w:lang w:val="en-US" w:eastAsia="zh-CN"/>
        </w:rPr>
        <w:t xml:space="preserve">  </w:t>
      </w:r>
      <w:r>
        <w:rPr>
          <w:rFonts w:hint="eastAsia" w:ascii="黑体" w:hAnsi="黑体" w:eastAsia="黑体" w:cs="黑体"/>
          <w:b/>
          <w:bCs w:val="0"/>
          <w:kern w:val="0"/>
          <w:sz w:val="44"/>
          <w:szCs w:val="44"/>
        </w:rPr>
        <w:t>名词解释</w:t>
      </w:r>
    </w:p>
    <w:p w14:paraId="03E98BEF">
      <w:pPr>
        <w:widowControl/>
        <w:ind w:firstLine="960" w:firstLineChars="300"/>
        <w:jc w:val="left"/>
        <w:rPr>
          <w:rFonts w:hint="eastAsia" w:ascii="宋体" w:hAnsi="宋体" w:cs="宋体"/>
          <w:color w:val="000000"/>
          <w:kern w:val="0"/>
          <w:sz w:val="32"/>
          <w:szCs w:val="32"/>
          <w:highlight w:val="none"/>
        </w:rPr>
      </w:pPr>
    </w:p>
    <w:p w14:paraId="7B2C8B3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ascii="仿宋" w:hAnsi="仿宋" w:eastAsia="仿宋" w:cs="仿宋"/>
          <w:i w:val="0"/>
          <w:iCs w:val="0"/>
          <w:caps w:val="0"/>
          <w:color w:val="333333"/>
          <w:spacing w:val="0"/>
          <w:sz w:val="32"/>
          <w:szCs w:val="32"/>
          <w:shd w:val="clear" w:fill="FFFFFF"/>
        </w:rPr>
        <w:t>1</w:t>
      </w:r>
      <w:r>
        <w:rPr>
          <w:rFonts w:hint="eastAsia" w:ascii="仿宋" w:hAnsi="仿宋" w:eastAsia="仿宋" w:cs="仿宋"/>
          <w:i w:val="0"/>
          <w:iCs w:val="0"/>
          <w:caps w:val="0"/>
          <w:color w:val="333333"/>
          <w:spacing w:val="0"/>
          <w:sz w:val="32"/>
          <w:szCs w:val="32"/>
          <w:shd w:val="clear" w:fill="FFFFFF"/>
        </w:rPr>
        <w:t>、收入：是指行政单位依法取得的非偿还性资金。包括财政拨款收入和其他收入。</w:t>
      </w:r>
    </w:p>
    <w:p w14:paraId="2C1587E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2、财政拨款收入：是指行政单位从同级财政部门取得的财政预算资金。</w:t>
      </w:r>
    </w:p>
    <w:p w14:paraId="6189B27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3、其他收入：是指行政单位依法取得的除财政拨款收入以外的各项收入，包括存款利息收入等。</w:t>
      </w:r>
    </w:p>
    <w:p w14:paraId="11353A4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4、支出：指行政单位为保障机构正常运转和完成工作任务所发生的资金耗费和损失。包括经费支出和拨出经费。 </w:t>
      </w:r>
    </w:p>
    <w:p w14:paraId="797C42C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5、经费支出：是指行政单位自身开展业务活动使用各项资金发生的基本支出和项目支出。</w:t>
      </w:r>
    </w:p>
    <w:p w14:paraId="5BA16AC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6、财政拨款支出：是指行政单位自身开展业务活动使用财政拨款收入支出的基本支出和项目支出。</w:t>
      </w:r>
    </w:p>
    <w:p w14:paraId="789D772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7、基本支出：指为保障机构正常运转、完成日常工作任务而发生的人员支出和公用支出。</w:t>
      </w:r>
    </w:p>
    <w:p w14:paraId="39832EC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8、项目支出：指在基本支出之外为完成特定行政任务和事业发展目标所发生的支出。</w:t>
      </w:r>
    </w:p>
    <w:p w14:paraId="6F1BDEF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9、财政拨款结转：是指行政单位当年预算已执行但尚未完成，或因故未执行，下一年度需要按照原用途继续使用的财政拨款滚存资金。</w:t>
      </w:r>
    </w:p>
    <w:p w14:paraId="6204E09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10、财政拨款结余：是指行政单位当年预算工作目标已完成，或因故终止，剩余的财政拨款滚存资金。</w:t>
      </w:r>
    </w:p>
    <w:p w14:paraId="2E45373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11、其他资金结转结余：是指行政单位除财政拨款收支以外的各项收支相抵后剩余的滚存资金。</w:t>
      </w:r>
    </w:p>
    <w:p w14:paraId="53599EC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12、“三公”经费：是指纳入财政预决算管理的因公出国（境）费、公务用车购置及运行费和公务接待费三项经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50C1C9C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fill="FFFFFF"/>
        </w:rPr>
        <w:t>13、机关运行经费：是指为保障行政单位运行用于购买货物和服务的各项资金，包括日常公用经费和其他资本性支出两大类，具体包括办公费、印刷费、咨询费、手续费、水费、电费、邮电费、物业费、差旅费、因公出国费、维修（护）费、会议费、培训费、公务接待费、专用材料费、劳务费、公务用车运行维护、其他交通费、其他商品和服务支出、办公设备购置、专用设备购置、其他资本性支出等。</w:t>
      </w:r>
    </w:p>
    <w:p w14:paraId="7E8B2BBE">
      <w:pPr>
        <w:pStyle w:val="12"/>
        <w:jc w:val="both"/>
        <w:rPr>
          <w:rFonts w:ascii="宋体" w:eastAsia="宋体" w:cs="Times New Roman"/>
          <w:sz w:val="32"/>
          <w:szCs w:val="32"/>
          <w:highlight w:val="none"/>
        </w:rPr>
      </w:pPr>
    </w:p>
    <w:p w14:paraId="5A26E99E">
      <w:pPr>
        <w:pStyle w:val="12"/>
        <w:jc w:val="center"/>
        <w:rPr>
          <w:rFonts w:cs="Times New Roman"/>
          <w:sz w:val="72"/>
          <w:szCs w:val="72"/>
          <w:highlight w:val="none"/>
        </w:rPr>
      </w:pPr>
    </w:p>
    <w:p w14:paraId="33C00936">
      <w:pPr>
        <w:widowControl/>
        <w:spacing w:line="600" w:lineRule="exact"/>
        <w:jc w:val="both"/>
        <w:outlineLvl w:val="0"/>
        <w:rPr>
          <w:rFonts w:hint="eastAsia" w:ascii="黑体" w:hAnsi="黑体" w:eastAsia="黑体" w:cs="黑体"/>
          <w:b/>
          <w:bCs w:val="0"/>
          <w:kern w:val="0"/>
          <w:sz w:val="44"/>
          <w:szCs w:val="44"/>
        </w:rPr>
      </w:pPr>
    </w:p>
    <w:p w14:paraId="5FE2B7C4">
      <w:pPr>
        <w:widowControl/>
        <w:spacing w:line="600" w:lineRule="exact"/>
        <w:jc w:val="center"/>
        <w:outlineLvl w:val="0"/>
        <w:rPr>
          <w:rFonts w:hint="eastAsia" w:ascii="黑体" w:hAnsi="黑体" w:eastAsia="黑体" w:cs="黑体"/>
          <w:b/>
          <w:bCs w:val="0"/>
          <w:kern w:val="0"/>
          <w:sz w:val="44"/>
          <w:szCs w:val="44"/>
        </w:rPr>
      </w:pPr>
    </w:p>
    <w:p w14:paraId="540EB8EC">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第五部分</w:t>
      </w:r>
      <w:r>
        <w:rPr>
          <w:rFonts w:hint="eastAsia" w:ascii="黑体" w:hAnsi="黑体" w:eastAsia="黑体" w:cs="黑体"/>
          <w:b/>
          <w:bCs w:val="0"/>
          <w:kern w:val="0"/>
          <w:sz w:val="44"/>
          <w:szCs w:val="44"/>
          <w:lang w:val="en-US" w:eastAsia="zh-CN"/>
        </w:rPr>
        <w:t xml:space="preserve"> </w:t>
      </w:r>
      <w:r>
        <w:rPr>
          <w:rFonts w:hint="eastAsia" w:ascii="黑体" w:hAnsi="黑体" w:eastAsia="黑体" w:cs="黑体"/>
          <w:b/>
          <w:bCs w:val="0"/>
          <w:kern w:val="0"/>
          <w:sz w:val="44"/>
          <w:szCs w:val="44"/>
        </w:rPr>
        <w:t>附件</w:t>
      </w:r>
    </w:p>
    <w:p w14:paraId="6C67743B">
      <w:pPr>
        <w:jc w:val="center"/>
        <w:rPr>
          <w:rFonts w:hint="eastAsia" w:ascii="宋体" w:hAnsi="宋体" w:eastAsia="宋体" w:cs="宋体"/>
          <w:color w:val="000000"/>
          <w:kern w:val="0"/>
          <w:sz w:val="72"/>
          <w:szCs w:val="72"/>
        </w:rPr>
      </w:pPr>
    </w:p>
    <w:p w14:paraId="6A0A1382">
      <w:pPr>
        <w:jc w:val="center"/>
        <w:rPr>
          <w:rFonts w:hint="eastAsia" w:ascii="宋体" w:hAnsi="宋体" w:eastAsia="宋体" w:cs="宋体"/>
          <w:color w:val="000000"/>
          <w:kern w:val="0"/>
          <w:sz w:val="72"/>
          <w:szCs w:val="72"/>
        </w:rPr>
      </w:pPr>
    </w:p>
    <w:p w14:paraId="2B2B3E55">
      <w:pPr>
        <w:jc w:val="center"/>
        <w:rPr>
          <w:rFonts w:hint="eastAsia" w:ascii="宋体" w:hAnsi="宋体" w:eastAsia="宋体" w:cs="宋体"/>
          <w:color w:val="000000"/>
          <w:kern w:val="0"/>
          <w:sz w:val="72"/>
          <w:szCs w:val="72"/>
        </w:rPr>
      </w:pPr>
    </w:p>
    <w:p w14:paraId="78E59A71">
      <w:pPr>
        <w:jc w:val="center"/>
        <w:rPr>
          <w:rFonts w:hint="eastAsia" w:ascii="宋体" w:hAnsi="宋体" w:eastAsia="宋体" w:cs="宋体"/>
          <w:color w:val="000000"/>
          <w:kern w:val="0"/>
          <w:sz w:val="72"/>
          <w:szCs w:val="72"/>
        </w:rPr>
      </w:pPr>
    </w:p>
    <w:p w14:paraId="6656AFA9">
      <w:pPr>
        <w:jc w:val="center"/>
        <w:rPr>
          <w:rFonts w:hint="eastAsia" w:ascii="宋体" w:hAnsi="宋体" w:eastAsia="宋体" w:cs="宋体"/>
          <w:b/>
          <w:bCs/>
          <w:color w:val="000000"/>
          <w:kern w:val="0"/>
          <w:sz w:val="44"/>
          <w:szCs w:val="44"/>
        </w:rPr>
      </w:pPr>
      <w:r>
        <w:rPr>
          <w:rFonts w:hint="eastAsia" w:ascii="宋体" w:hAnsi="宋体" w:cs="宋体"/>
          <w:b/>
          <w:bCs/>
          <w:color w:val="000000"/>
          <w:kern w:val="0"/>
          <w:sz w:val="44"/>
          <w:szCs w:val="44"/>
          <w:lang w:val="en-US" w:eastAsia="zh-CN"/>
        </w:rPr>
        <w:t>2022</w:t>
      </w:r>
      <w:r>
        <w:rPr>
          <w:rFonts w:hint="eastAsia" w:ascii="宋体" w:hAnsi="宋体" w:eastAsia="宋体" w:cs="宋体"/>
          <w:b/>
          <w:bCs/>
          <w:color w:val="000000"/>
          <w:kern w:val="0"/>
          <w:sz w:val="44"/>
          <w:szCs w:val="44"/>
        </w:rPr>
        <w:t>年度部门整体支出绩效评价报告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3980E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57256AD6">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部门概况</w:t>
            </w:r>
          </w:p>
        </w:tc>
        <w:tc>
          <w:tcPr>
            <w:tcW w:w="1985" w:type="dxa"/>
            <w:noWrap w:val="0"/>
            <w:vAlign w:val="center"/>
          </w:tcPr>
          <w:p w14:paraId="08D7220C">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单位名称</w:t>
            </w:r>
          </w:p>
        </w:tc>
        <w:tc>
          <w:tcPr>
            <w:tcW w:w="5670" w:type="dxa"/>
            <w:noWrap w:val="0"/>
            <w:vAlign w:val="center"/>
          </w:tcPr>
          <w:p w14:paraId="332DE43B">
            <w:pPr>
              <w:spacing w:line="576" w:lineRule="exact"/>
              <w:ind w:right="879" w:rightChars="419"/>
              <w:jc w:val="center"/>
              <w:rPr>
                <w:rFonts w:hint="eastAsia" w:ascii="仿宋_GB2312" w:hAnsi="宋体" w:eastAsia="仿宋_GB2312" w:cs="宋体"/>
                <w:color w:val="auto"/>
              </w:rPr>
            </w:pPr>
            <w:r>
              <w:rPr>
                <w:rFonts w:hint="eastAsia" w:ascii="仿宋_GB2312" w:hAnsi="宋体" w:eastAsia="仿宋_GB2312" w:cs="宋体"/>
                <w:color w:val="auto"/>
              </w:rPr>
              <w:t>湘潭县</w:t>
            </w:r>
            <w:r>
              <w:rPr>
                <w:rFonts w:hint="eastAsia" w:ascii="仿宋_GB2312" w:hAnsi="宋体" w:eastAsia="仿宋_GB2312" w:cs="宋体"/>
                <w:color w:val="auto"/>
                <w:lang w:eastAsia="zh-CN"/>
              </w:rPr>
              <w:t>看守所</w:t>
            </w:r>
          </w:p>
        </w:tc>
      </w:tr>
      <w:tr w14:paraId="14907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384" w:type="dxa"/>
            <w:vMerge w:val="continue"/>
            <w:noWrap w:val="0"/>
            <w:vAlign w:val="top"/>
          </w:tcPr>
          <w:p w14:paraId="6C75EB65">
            <w:pPr>
              <w:spacing w:line="576" w:lineRule="exact"/>
              <w:jc w:val="center"/>
              <w:rPr>
                <w:rFonts w:hint="eastAsia" w:ascii="仿宋_GB2312" w:hAnsi="宋体" w:eastAsia="仿宋_GB2312" w:cs="宋体"/>
                <w:color w:val="auto"/>
              </w:rPr>
            </w:pPr>
          </w:p>
        </w:tc>
        <w:tc>
          <w:tcPr>
            <w:tcW w:w="1985" w:type="dxa"/>
            <w:noWrap w:val="0"/>
            <w:vAlign w:val="center"/>
          </w:tcPr>
          <w:p w14:paraId="47FD326C">
            <w:pPr>
              <w:spacing w:line="576" w:lineRule="exact"/>
              <w:rPr>
                <w:rFonts w:hint="eastAsia" w:ascii="仿宋_GB2312" w:hAnsi="宋体" w:eastAsia="仿宋_GB2312" w:cs="宋体"/>
                <w:color w:val="auto"/>
              </w:rPr>
            </w:pPr>
            <w:r>
              <w:rPr>
                <w:rFonts w:hint="eastAsia" w:ascii="仿宋_GB2312" w:hAnsi="宋体" w:eastAsia="仿宋_GB2312" w:cs="宋体"/>
                <w:color w:val="auto"/>
              </w:rPr>
              <w:t>年度预算金额</w:t>
            </w:r>
          </w:p>
        </w:tc>
        <w:tc>
          <w:tcPr>
            <w:tcW w:w="5670" w:type="dxa"/>
            <w:noWrap w:val="0"/>
            <w:vAlign w:val="center"/>
          </w:tcPr>
          <w:p w14:paraId="0065F235">
            <w:pPr>
              <w:widowControl/>
              <w:shd w:val="clear" w:color="auto" w:fill="FFFFFF"/>
              <w:ind w:firstLine="1814" w:firstLineChars="864"/>
              <w:jc w:val="both"/>
              <w:rPr>
                <w:rFonts w:hint="default" w:ascii="仿宋_GB2312" w:hAnsi="宋体" w:eastAsia="仿宋_GB2312" w:cs="宋体"/>
                <w:color w:val="auto"/>
                <w:lang w:val="en-US" w:eastAsia="zh-CN"/>
              </w:rPr>
            </w:pPr>
            <w:r>
              <w:rPr>
                <w:rFonts w:hint="eastAsia" w:ascii="仿宋_GB2312" w:hAnsi="宋体" w:eastAsia="仿宋_GB2312" w:cs="宋体"/>
                <w:color w:val="auto"/>
                <w:lang w:val="en-US" w:eastAsia="zh-CN"/>
              </w:rPr>
              <w:t>355万元</w:t>
            </w:r>
          </w:p>
        </w:tc>
      </w:tr>
      <w:tr w14:paraId="2615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15F20647">
            <w:pPr>
              <w:spacing w:line="576" w:lineRule="exact"/>
              <w:jc w:val="center"/>
              <w:rPr>
                <w:rFonts w:hint="eastAsia" w:ascii="仿宋_GB2312" w:hAnsi="宋体" w:eastAsia="仿宋_GB2312" w:cs="宋体"/>
                <w:color w:val="auto"/>
              </w:rPr>
            </w:pPr>
          </w:p>
        </w:tc>
        <w:tc>
          <w:tcPr>
            <w:tcW w:w="1985" w:type="dxa"/>
            <w:noWrap w:val="0"/>
            <w:vAlign w:val="center"/>
          </w:tcPr>
          <w:p w14:paraId="71BD2AF3">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主管部门</w:t>
            </w:r>
          </w:p>
        </w:tc>
        <w:tc>
          <w:tcPr>
            <w:tcW w:w="5670" w:type="dxa"/>
            <w:noWrap w:val="0"/>
            <w:vAlign w:val="center"/>
          </w:tcPr>
          <w:p w14:paraId="4CCAAB1F">
            <w:pPr>
              <w:spacing w:line="576" w:lineRule="exact"/>
              <w:ind w:right="879" w:rightChars="419"/>
              <w:jc w:val="center"/>
              <w:rPr>
                <w:rFonts w:hint="eastAsia" w:ascii="仿宋_GB2312" w:hAnsi="宋体" w:eastAsia="仿宋_GB2312" w:cs="宋体"/>
                <w:color w:val="auto"/>
                <w:lang w:eastAsia="zh-CN"/>
              </w:rPr>
            </w:pPr>
            <w:r>
              <w:rPr>
                <w:rFonts w:hint="eastAsia" w:ascii="仿宋_GB2312" w:hAnsi="宋体" w:eastAsia="仿宋_GB2312" w:cs="宋体"/>
                <w:color w:val="auto"/>
                <w:lang w:eastAsia="zh-CN"/>
              </w:rPr>
              <w:t>湘潭县公安局</w:t>
            </w:r>
          </w:p>
        </w:tc>
      </w:tr>
      <w:tr w14:paraId="19F04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384" w:type="dxa"/>
            <w:vMerge w:val="continue"/>
            <w:noWrap w:val="0"/>
            <w:vAlign w:val="top"/>
          </w:tcPr>
          <w:p w14:paraId="2F51CE09">
            <w:pPr>
              <w:spacing w:line="576" w:lineRule="exact"/>
              <w:jc w:val="center"/>
              <w:rPr>
                <w:rFonts w:hint="eastAsia" w:ascii="仿宋_GB2312" w:hAnsi="宋体" w:eastAsia="仿宋_GB2312" w:cs="宋体"/>
                <w:color w:val="auto"/>
              </w:rPr>
            </w:pPr>
          </w:p>
        </w:tc>
        <w:tc>
          <w:tcPr>
            <w:tcW w:w="1985" w:type="dxa"/>
            <w:noWrap w:val="0"/>
            <w:vAlign w:val="center"/>
          </w:tcPr>
          <w:p w14:paraId="51B51080">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单位基本职能</w:t>
            </w:r>
          </w:p>
        </w:tc>
        <w:tc>
          <w:tcPr>
            <w:tcW w:w="5670" w:type="dxa"/>
            <w:noWrap w:val="0"/>
            <w:vAlign w:val="center"/>
          </w:tcPr>
          <w:p w14:paraId="1452934F">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lang w:val="en-US" w:eastAsia="zh-CN"/>
              </w:rPr>
              <w:t>1、</w:t>
            </w:r>
            <w:r>
              <w:rPr>
                <w:rFonts w:hint="eastAsia" w:ascii="仿宋_GB2312" w:hAnsi="宋体" w:eastAsia="仿宋_GB2312" w:cs="宋体"/>
                <w:color w:val="auto"/>
              </w:rPr>
              <w:t>对被羁押的犯罪嫌疑人、被告人实行警戒看守，管理教育；</w:t>
            </w:r>
          </w:p>
          <w:p w14:paraId="452B8DAD">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lang w:val="en-US" w:eastAsia="zh-CN"/>
              </w:rPr>
              <w:t>2、</w:t>
            </w:r>
            <w:r>
              <w:rPr>
                <w:rFonts w:hint="eastAsia" w:ascii="仿宋_GB2312" w:hAnsi="宋体" w:eastAsia="仿宋_GB2312" w:cs="宋体"/>
                <w:color w:val="auto"/>
              </w:rPr>
              <w:t>保障刑事诉讼活动的顺利进行</w:t>
            </w:r>
          </w:p>
        </w:tc>
      </w:tr>
      <w:tr w14:paraId="4589A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noWrap w:val="0"/>
            <w:vAlign w:val="center"/>
          </w:tcPr>
          <w:p w14:paraId="5DF83E97">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绩效完成情况</w:t>
            </w:r>
          </w:p>
        </w:tc>
        <w:tc>
          <w:tcPr>
            <w:tcW w:w="1985" w:type="dxa"/>
            <w:noWrap w:val="0"/>
            <w:vAlign w:val="center"/>
          </w:tcPr>
          <w:p w14:paraId="338FCEB0">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部门整体支出管理和使用基本情况</w:t>
            </w:r>
          </w:p>
        </w:tc>
        <w:tc>
          <w:tcPr>
            <w:tcW w:w="5670" w:type="dxa"/>
            <w:noWrap w:val="0"/>
            <w:vAlign w:val="center"/>
          </w:tcPr>
          <w:p w14:paraId="27923578">
            <w:pPr>
              <w:widowControl/>
              <w:shd w:val="clear" w:color="auto" w:fill="FFFFFF"/>
              <w:spacing w:line="360" w:lineRule="auto"/>
              <w:jc w:val="left"/>
              <w:rPr>
                <w:rFonts w:hint="eastAsia" w:ascii="仿宋_GB2312" w:hAnsi="宋体" w:eastAsia="仿宋_GB2312" w:cs="宋体"/>
                <w:color w:val="auto"/>
              </w:rPr>
            </w:pPr>
            <w:r>
              <w:rPr>
                <w:rFonts w:hint="eastAsia" w:ascii="仿宋_GB2312" w:hAnsi="宋体" w:eastAsia="仿宋_GB2312" w:cs="宋体"/>
                <w:color w:val="auto"/>
              </w:rPr>
              <w:t>1、</w:t>
            </w:r>
            <w:r>
              <w:rPr>
                <w:rFonts w:hint="eastAsia" w:ascii="仿宋_GB2312" w:hAnsi="宋体" w:eastAsia="仿宋_GB2312" w:cs="宋体"/>
                <w:color w:val="auto"/>
                <w:lang w:eastAsia="zh-CN"/>
              </w:rPr>
              <w:t>202</w:t>
            </w:r>
            <w:r>
              <w:rPr>
                <w:rFonts w:hint="eastAsia" w:ascii="仿宋_GB2312" w:hAnsi="宋体" w:eastAsia="仿宋_GB2312" w:cs="宋体"/>
                <w:color w:val="auto"/>
                <w:lang w:val="en-US" w:eastAsia="zh-CN"/>
              </w:rPr>
              <w:t>2</w:t>
            </w:r>
            <w:r>
              <w:rPr>
                <w:rFonts w:hint="eastAsia" w:ascii="仿宋_GB2312" w:hAnsi="宋体" w:eastAsia="仿宋_GB2312" w:cs="宋体"/>
                <w:color w:val="auto"/>
              </w:rPr>
              <w:t>年部门年初预算收入</w:t>
            </w:r>
            <w:r>
              <w:rPr>
                <w:rFonts w:hint="eastAsia" w:ascii="仿宋_GB2312" w:hAnsi="宋体" w:eastAsia="仿宋_GB2312" w:cs="宋体"/>
                <w:color w:val="auto"/>
                <w:lang w:val="en-US" w:eastAsia="zh-CN"/>
              </w:rPr>
              <w:t>366.19</w:t>
            </w:r>
            <w:r>
              <w:rPr>
                <w:rFonts w:hint="eastAsia" w:ascii="仿宋_GB2312" w:hAnsi="宋体" w:eastAsia="仿宋_GB2312" w:cs="宋体"/>
                <w:color w:val="auto"/>
              </w:rPr>
              <w:t>万元。其中财政拨款收入</w:t>
            </w:r>
            <w:r>
              <w:rPr>
                <w:rFonts w:hint="eastAsia" w:ascii="仿宋_GB2312" w:hAnsi="宋体" w:eastAsia="仿宋_GB2312" w:cs="宋体"/>
                <w:color w:val="auto"/>
                <w:lang w:val="en-US" w:eastAsia="zh-CN"/>
              </w:rPr>
              <w:t>366.19</w:t>
            </w:r>
            <w:r>
              <w:rPr>
                <w:rFonts w:hint="eastAsia" w:ascii="仿宋_GB2312" w:hAnsi="宋体" w:eastAsia="仿宋_GB2312" w:cs="宋体"/>
                <w:color w:val="auto"/>
              </w:rPr>
              <w:t>万元</w:t>
            </w:r>
            <w:r>
              <w:rPr>
                <w:rFonts w:hint="eastAsia" w:ascii="仿宋_GB2312" w:hAnsi="宋体" w:eastAsia="仿宋_GB2312" w:cs="宋体"/>
                <w:color w:val="auto"/>
                <w:lang w:eastAsia="zh-CN"/>
              </w:rPr>
              <w:t>（包含上年结转</w:t>
            </w:r>
            <w:r>
              <w:rPr>
                <w:rFonts w:hint="eastAsia" w:ascii="仿宋_GB2312" w:hAnsi="宋体" w:eastAsia="仿宋_GB2312" w:cs="宋体"/>
                <w:color w:val="auto"/>
                <w:lang w:val="en-US" w:eastAsia="zh-CN"/>
              </w:rPr>
              <w:t>11.19万元）</w:t>
            </w:r>
            <w:r>
              <w:rPr>
                <w:rFonts w:hint="eastAsia" w:ascii="仿宋_GB2312" w:hAnsi="宋体" w:eastAsia="仿宋_GB2312" w:cs="宋体"/>
                <w:color w:val="auto"/>
              </w:rPr>
              <w:t>。部门预算支出</w:t>
            </w:r>
            <w:r>
              <w:rPr>
                <w:rFonts w:hint="eastAsia" w:ascii="仿宋_GB2312" w:hAnsi="宋体" w:eastAsia="仿宋_GB2312" w:cs="宋体"/>
                <w:color w:val="auto"/>
                <w:lang w:val="en-US" w:eastAsia="zh-CN"/>
              </w:rPr>
              <w:t>366.19</w:t>
            </w:r>
            <w:r>
              <w:rPr>
                <w:rFonts w:hint="eastAsia" w:ascii="仿宋_GB2312" w:hAnsi="宋体" w:eastAsia="仿宋_GB2312" w:cs="宋体"/>
                <w:color w:val="auto"/>
              </w:rPr>
              <w:t>万元，其中基本支出</w:t>
            </w:r>
            <w:r>
              <w:rPr>
                <w:rFonts w:hint="eastAsia" w:ascii="仿宋_GB2312" w:hAnsi="宋体" w:eastAsia="仿宋_GB2312" w:cs="宋体"/>
                <w:color w:val="auto"/>
                <w:lang w:val="en-US" w:eastAsia="zh-CN"/>
              </w:rPr>
              <w:t>0</w:t>
            </w:r>
            <w:r>
              <w:rPr>
                <w:rFonts w:hint="eastAsia" w:ascii="仿宋_GB2312" w:hAnsi="宋体" w:eastAsia="仿宋_GB2312" w:cs="宋体"/>
                <w:color w:val="auto"/>
              </w:rPr>
              <w:t>万元，项目支出</w:t>
            </w:r>
            <w:r>
              <w:rPr>
                <w:rFonts w:hint="eastAsia" w:ascii="仿宋_GB2312" w:hAnsi="宋体" w:eastAsia="仿宋_GB2312" w:cs="宋体"/>
                <w:color w:val="auto"/>
                <w:lang w:val="en-US" w:eastAsia="zh-CN"/>
              </w:rPr>
              <w:t>366.19</w:t>
            </w:r>
            <w:r>
              <w:rPr>
                <w:rFonts w:hint="eastAsia" w:ascii="仿宋_GB2312" w:hAnsi="宋体" w:eastAsia="仿宋_GB2312" w:cs="宋体"/>
                <w:color w:val="auto"/>
              </w:rPr>
              <w:t>万元。</w:t>
            </w:r>
          </w:p>
          <w:p w14:paraId="3F16603E">
            <w:pPr>
              <w:widowControl/>
              <w:shd w:val="clear" w:color="auto" w:fill="FFFFFF"/>
              <w:spacing w:line="360" w:lineRule="auto"/>
              <w:jc w:val="left"/>
              <w:rPr>
                <w:rFonts w:hint="eastAsia" w:ascii="仿宋_GB2312" w:hAnsi="宋体" w:eastAsia="仿宋_GB2312" w:cs="宋体"/>
                <w:color w:val="auto"/>
              </w:rPr>
            </w:pPr>
            <w:r>
              <w:rPr>
                <w:rFonts w:hint="eastAsia" w:ascii="仿宋_GB2312" w:hAnsi="宋体" w:eastAsia="仿宋_GB2312" w:cs="宋体"/>
                <w:color w:val="auto"/>
              </w:rPr>
              <w:t>2、预算执行情况</w:t>
            </w:r>
            <w:r>
              <w:rPr>
                <w:rFonts w:hint="eastAsia" w:ascii="仿宋_GB2312" w:hAnsi="宋体" w:eastAsia="仿宋_GB2312" w:cs="宋体"/>
                <w:color w:val="auto"/>
                <w:lang w:eastAsia="zh-CN"/>
              </w:rPr>
              <w:t>：</w:t>
            </w:r>
            <w:r>
              <w:rPr>
                <w:rFonts w:hint="eastAsia" w:ascii="仿宋_GB2312" w:hAnsi="宋体" w:eastAsia="仿宋_GB2312" w:cs="宋体"/>
                <w:color w:val="auto"/>
              </w:rPr>
              <w:t>2022年看守所专项经费支出366.19万元，其中人犯给养支出107.61万元，商品和服务支出254.19万元，对个人和家庭的补助0.05万元，资本性支出4.34万元。</w:t>
            </w:r>
          </w:p>
        </w:tc>
      </w:tr>
      <w:tr w14:paraId="056D8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84" w:type="dxa"/>
            <w:vMerge w:val="continue"/>
            <w:noWrap w:val="0"/>
            <w:vAlign w:val="top"/>
          </w:tcPr>
          <w:p w14:paraId="2C10C443">
            <w:pPr>
              <w:spacing w:line="576" w:lineRule="exact"/>
              <w:jc w:val="center"/>
              <w:rPr>
                <w:rFonts w:hint="eastAsia" w:ascii="仿宋_GB2312" w:hAnsi="宋体" w:eastAsia="仿宋_GB2312" w:cs="宋体"/>
                <w:color w:val="auto"/>
              </w:rPr>
            </w:pPr>
          </w:p>
        </w:tc>
        <w:tc>
          <w:tcPr>
            <w:tcW w:w="1985" w:type="dxa"/>
            <w:noWrap w:val="0"/>
            <w:vAlign w:val="center"/>
          </w:tcPr>
          <w:p w14:paraId="798A0AD2">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绩效目标完成情况</w:t>
            </w:r>
          </w:p>
        </w:tc>
        <w:tc>
          <w:tcPr>
            <w:tcW w:w="5670" w:type="dxa"/>
            <w:noWrap w:val="0"/>
            <w:vAlign w:val="top"/>
          </w:tcPr>
          <w:p w14:paraId="35BB512F">
            <w:pPr>
              <w:spacing w:line="576" w:lineRule="exact"/>
              <w:ind w:right="879" w:rightChars="419"/>
              <w:jc w:val="both"/>
              <w:rPr>
                <w:rFonts w:hint="eastAsia" w:ascii="仿宋_GB2312" w:hAnsi="宋体" w:eastAsia="仿宋_GB2312" w:cs="宋体"/>
                <w:color w:val="auto"/>
                <w:lang w:val="en-US" w:eastAsia="zh-CN"/>
              </w:rPr>
            </w:pPr>
            <w:r>
              <w:rPr>
                <w:rFonts w:hint="eastAsia" w:ascii="仿宋_GB2312" w:hAnsi="宋体" w:eastAsia="仿宋_GB2312" w:cs="宋体"/>
                <w:color w:val="auto"/>
                <w:lang w:val="en-US" w:eastAsia="zh-CN"/>
              </w:rPr>
              <w:t xml:space="preserve">    </w:t>
            </w:r>
            <w:r>
              <w:rPr>
                <w:rFonts w:hint="eastAsia" w:ascii="仿宋_GB2312" w:hAnsi="宋体" w:eastAsia="仿宋_GB2312" w:cs="宋体"/>
                <w:color w:val="auto"/>
              </w:rPr>
              <w:t>202</w:t>
            </w:r>
            <w:r>
              <w:rPr>
                <w:rFonts w:hint="eastAsia" w:ascii="仿宋_GB2312" w:hAnsi="宋体" w:eastAsia="仿宋_GB2312" w:cs="宋体"/>
                <w:color w:val="auto"/>
                <w:lang w:val="en-US" w:eastAsia="zh-CN"/>
              </w:rPr>
              <w:t>2</w:t>
            </w:r>
            <w:r>
              <w:rPr>
                <w:rFonts w:hint="eastAsia" w:ascii="仿宋_GB2312" w:hAnsi="宋体" w:eastAsia="仿宋_GB2312" w:cs="宋体"/>
                <w:color w:val="auto"/>
              </w:rPr>
              <w:t>年以来，</w:t>
            </w:r>
            <w:r>
              <w:rPr>
                <w:rFonts w:hint="eastAsia" w:ascii="仿宋_GB2312" w:hAnsi="宋体" w:eastAsia="仿宋_GB2312" w:cs="宋体"/>
                <w:color w:val="auto"/>
                <w:lang w:eastAsia="zh-CN"/>
              </w:rPr>
              <w:t>在羁押量持续高位运行、新冠肺炎疫情持续冲击形势下，</w:t>
            </w:r>
            <w:r>
              <w:rPr>
                <w:rFonts w:hint="eastAsia" w:ascii="仿宋_GB2312" w:hAnsi="宋体" w:eastAsia="仿宋_GB2312" w:cs="宋体"/>
                <w:color w:val="auto"/>
              </w:rPr>
              <w:t>湘潭县看守所</w:t>
            </w:r>
            <w:r>
              <w:rPr>
                <w:rFonts w:hint="eastAsia" w:ascii="仿宋_GB2312" w:hAnsi="宋体" w:eastAsia="仿宋_GB2312" w:cs="宋体"/>
                <w:color w:val="auto"/>
                <w:lang w:eastAsia="zh-CN"/>
              </w:rPr>
              <w:t>认真贯彻落实</w:t>
            </w:r>
            <w:r>
              <w:rPr>
                <w:rFonts w:hint="eastAsia" w:ascii="仿宋_GB2312" w:hAnsi="宋体" w:eastAsia="仿宋_GB2312" w:cs="宋体"/>
                <w:color w:val="auto"/>
              </w:rPr>
              <w:t>县局党委</w:t>
            </w:r>
            <w:r>
              <w:rPr>
                <w:rFonts w:hint="eastAsia" w:ascii="仿宋_GB2312" w:hAnsi="宋体" w:eastAsia="仿宋_GB2312" w:cs="宋体"/>
                <w:color w:val="auto"/>
                <w:lang w:eastAsia="zh-CN"/>
              </w:rPr>
              <w:t>和上</w:t>
            </w:r>
            <w:r>
              <w:rPr>
                <w:rFonts w:hint="eastAsia" w:ascii="仿宋_GB2312" w:hAnsi="宋体" w:eastAsia="仿宋_GB2312" w:cs="宋体"/>
                <w:color w:val="auto"/>
              </w:rPr>
              <w:t>级监管部门</w:t>
            </w:r>
            <w:r>
              <w:rPr>
                <w:rFonts w:hint="eastAsia" w:ascii="仿宋_GB2312" w:hAnsi="宋体" w:eastAsia="仿宋_GB2312" w:cs="宋体"/>
                <w:color w:val="auto"/>
                <w:lang w:eastAsia="zh-CN"/>
              </w:rPr>
              <w:t>安排部署</w:t>
            </w:r>
            <w:r>
              <w:rPr>
                <w:rFonts w:hint="eastAsia" w:ascii="仿宋_GB2312" w:hAnsi="宋体" w:eastAsia="仿宋_GB2312" w:cs="宋体"/>
                <w:color w:val="auto"/>
              </w:rPr>
              <w:t>，稳妥有序地开展各项工作，顺利地完成既定任务和目标，</w:t>
            </w:r>
            <w:r>
              <w:rPr>
                <w:rFonts w:hint="eastAsia" w:ascii="仿宋_GB2312" w:hAnsi="宋体" w:eastAsia="仿宋_GB2312" w:cs="宋体"/>
                <w:color w:val="auto"/>
                <w:lang w:eastAsia="zh-CN"/>
              </w:rPr>
              <w:t>确保</w:t>
            </w:r>
            <w:r>
              <w:rPr>
                <w:rFonts w:hint="eastAsia" w:ascii="仿宋_GB2312" w:hAnsi="宋体" w:eastAsia="仿宋_GB2312" w:cs="宋体"/>
                <w:color w:val="auto"/>
              </w:rPr>
              <w:t>连续</w:t>
            </w:r>
            <w:r>
              <w:rPr>
                <w:rFonts w:hint="eastAsia" w:ascii="仿宋_GB2312" w:hAnsi="宋体" w:eastAsia="仿宋_GB2312" w:cs="宋体"/>
                <w:color w:val="auto"/>
                <w:lang w:val="en-US" w:eastAsia="zh-CN"/>
              </w:rPr>
              <w:t>21</w:t>
            </w:r>
            <w:r>
              <w:rPr>
                <w:rFonts w:hint="eastAsia" w:ascii="仿宋_GB2312" w:hAnsi="宋体" w:eastAsia="仿宋_GB2312" w:cs="宋体"/>
                <w:color w:val="auto"/>
              </w:rPr>
              <w:t>年监所安全</w:t>
            </w:r>
            <w:r>
              <w:rPr>
                <w:rFonts w:hint="eastAsia" w:ascii="仿宋_GB2312" w:hAnsi="宋体" w:eastAsia="仿宋_GB2312" w:cs="宋体"/>
                <w:color w:val="auto"/>
                <w:lang w:eastAsia="zh-CN"/>
              </w:rPr>
              <w:t>无</w:t>
            </w:r>
            <w:r>
              <w:rPr>
                <w:rFonts w:hint="eastAsia" w:ascii="仿宋_GB2312" w:hAnsi="宋体" w:eastAsia="仿宋_GB2312" w:cs="宋体"/>
                <w:color w:val="auto"/>
              </w:rPr>
              <w:t>事故。</w:t>
            </w:r>
            <w:r>
              <w:rPr>
                <w:rFonts w:hint="eastAsia" w:ascii="仿宋_GB2312" w:hAnsi="宋体" w:eastAsia="仿宋_GB2312" w:cs="宋体"/>
                <w:color w:val="auto"/>
                <w:lang w:val="en-US" w:eastAsia="zh-CN"/>
              </w:rPr>
              <w:t>始终坚持监所疫情防控高于社会面的总要求，筑牢监所疫情防线。</w:t>
            </w:r>
          </w:p>
          <w:p w14:paraId="6580FE78">
            <w:pPr>
              <w:spacing w:line="576" w:lineRule="exact"/>
              <w:ind w:right="879" w:rightChars="419"/>
              <w:jc w:val="both"/>
              <w:rPr>
                <w:rFonts w:hint="eastAsia" w:ascii="仿宋_GB2312" w:hAnsi="宋体" w:eastAsia="仿宋_GB2312" w:cs="宋体"/>
                <w:color w:val="auto"/>
                <w:lang w:val="en-US" w:eastAsia="zh-CN"/>
              </w:rPr>
            </w:pPr>
            <w:r>
              <w:rPr>
                <w:rFonts w:hint="eastAsia" w:ascii="仿宋_GB2312" w:hAnsi="宋体" w:eastAsia="仿宋_GB2312" w:cs="宋体"/>
                <w:color w:val="auto"/>
                <w:lang w:val="en-US" w:eastAsia="zh-CN"/>
              </w:rPr>
              <w:t>今年以来，特别是上半年3月份开始的全国性疫情反弹，给监所疫情防控带来前所未有的挑战，在县局党委的坚强领导下，我所按照部省市的安排部署，坚持“监所防疫标准高于社会面”的总要求，迅速执行AB班高等级勤务模式，从3月5日至6月10日三个多月，从最初的7+7到后续的14+7+7、28+14+14，全所人员在家累积时间不到10天，最长的一个班在所连续上岗42天，在这场没有硝烟的攻坚战中，我们始终保持如履薄冰的思想意识，永不懈怠的工作作风，没有一人掉队。全面落实“划区而治、网格管理、两门落锁”三大机制，严守封闭管理、轨迹核查、核酸检测、过渡隔离“四条底线”，以防范“人”、“物”的传染为重点，以公安部监管局《公安监所疫情防控和安全管理工作指引》为指南，从严抓实抓细封闭管理，守住看好监所大门，杜绝人员、车辆自由进出和人员聚集，</w:t>
            </w:r>
            <w:r>
              <w:rPr>
                <w:rFonts w:hint="eastAsia" w:ascii="仿宋_GB2312" w:hAnsi="宋体" w:eastAsia="仿宋_GB2312" w:cs="宋体"/>
                <w:color w:val="auto"/>
              </w:rPr>
              <w:t>切实做到应急响应快、人员排查全、防控措施细、队伍管理严</w:t>
            </w:r>
            <w:r>
              <w:rPr>
                <w:rFonts w:hint="eastAsia" w:ascii="仿宋_GB2312" w:hAnsi="宋体" w:eastAsia="仿宋_GB2312" w:cs="宋体"/>
                <w:color w:val="auto"/>
                <w:lang w:eastAsia="zh-CN"/>
              </w:rPr>
              <w:t>，</w:t>
            </w:r>
            <w:r>
              <w:rPr>
                <w:rFonts w:hint="eastAsia" w:ascii="仿宋_GB2312" w:hAnsi="宋体" w:eastAsia="仿宋_GB2312" w:cs="宋体"/>
                <w:color w:val="auto"/>
                <w:lang w:val="en-US" w:eastAsia="zh-CN"/>
              </w:rPr>
              <w:t>确保实现了监所安全零事故、疫情防控零感染、队伍建设零减员等“三零”目标。</w:t>
            </w:r>
          </w:p>
          <w:p w14:paraId="2298B71F">
            <w:pPr>
              <w:spacing w:line="576" w:lineRule="exact"/>
              <w:ind w:right="879" w:rightChars="419"/>
              <w:jc w:val="both"/>
              <w:rPr>
                <w:rFonts w:hint="eastAsia" w:ascii="仿宋_GB2312" w:hAnsi="宋体" w:eastAsia="仿宋_GB2312" w:cs="宋体"/>
                <w:color w:val="auto"/>
                <w:lang w:val="en-US" w:eastAsia="zh-CN"/>
              </w:rPr>
            </w:pPr>
            <w:r>
              <w:rPr>
                <w:rFonts w:hint="eastAsia" w:ascii="仿宋_GB2312" w:hAnsi="宋体" w:eastAsia="仿宋_GB2312" w:cs="宋体"/>
                <w:color w:val="auto"/>
                <w:lang w:val="en-US" w:eastAsia="zh-CN"/>
              </w:rPr>
              <w:t>始终把牢监所安全是生命线的总方针，夯实监所安全底线。确保绝对安全始终是监所工作永恒不变的主题，今年以来，</w:t>
            </w:r>
            <w:r>
              <w:rPr>
                <w:rFonts w:hint="eastAsia" w:ascii="仿宋_GB2312" w:hAnsi="宋体" w:eastAsia="仿宋_GB2312" w:cs="宋体"/>
                <w:color w:val="auto"/>
              </w:rPr>
              <w:t>随着县局打击犯罪特别是涉电诈犯罪的深入推进，</w:t>
            </w:r>
            <w:r>
              <w:rPr>
                <w:rFonts w:hint="eastAsia" w:ascii="仿宋_GB2312" w:hAnsi="宋体" w:eastAsia="仿宋_GB2312" w:cs="宋体"/>
                <w:color w:val="auto"/>
                <w:lang w:eastAsia="zh-CN"/>
              </w:rPr>
              <w:t>我</w:t>
            </w:r>
            <w:r>
              <w:rPr>
                <w:rFonts w:hint="eastAsia" w:ascii="仿宋_GB2312" w:hAnsi="宋体" w:eastAsia="仿宋_GB2312" w:cs="宋体"/>
                <w:color w:val="auto"/>
              </w:rPr>
              <w:t>所的羁押量也屡破新高，</w:t>
            </w:r>
            <w:r>
              <w:rPr>
                <w:rFonts w:hint="eastAsia" w:ascii="仿宋_GB2312" w:hAnsi="宋体" w:eastAsia="仿宋_GB2312" w:cs="宋体"/>
                <w:color w:val="auto"/>
                <w:lang w:eastAsia="zh-CN"/>
              </w:rPr>
              <w:t>为确保安全，我</w:t>
            </w:r>
            <w:r>
              <w:rPr>
                <w:rFonts w:hint="eastAsia" w:ascii="仿宋_GB2312" w:hAnsi="宋体" w:eastAsia="仿宋_GB2312" w:cs="宋体"/>
                <w:color w:val="auto"/>
              </w:rPr>
              <w:t>所主动作为，多措并举</w:t>
            </w:r>
            <w:r>
              <w:rPr>
                <w:rFonts w:hint="eastAsia" w:ascii="仿宋_GB2312" w:hAnsi="宋体" w:eastAsia="仿宋_GB2312" w:cs="宋体"/>
                <w:color w:val="auto"/>
                <w:lang w:eastAsia="zh-CN"/>
              </w:rPr>
              <w:t>，全力应对</w:t>
            </w:r>
            <w:r>
              <w:rPr>
                <w:rFonts w:hint="eastAsia" w:ascii="仿宋_GB2312" w:hAnsi="宋体" w:eastAsia="仿宋_GB2312" w:cs="宋体"/>
                <w:color w:val="auto"/>
              </w:rPr>
              <w:t>。</w:t>
            </w:r>
            <w:r>
              <w:rPr>
                <w:rFonts w:hint="eastAsia" w:ascii="仿宋_GB2312" w:hAnsi="宋体" w:eastAsia="仿宋_GB2312" w:cs="宋体"/>
                <w:color w:val="auto"/>
                <w:lang w:eastAsia="zh-CN"/>
              </w:rPr>
              <w:t>一是</w:t>
            </w:r>
            <w:r>
              <w:rPr>
                <w:rFonts w:hint="eastAsia" w:ascii="仿宋_GB2312" w:hAnsi="宋体" w:eastAsia="仿宋_GB2312" w:cs="宋体"/>
                <w:color w:val="auto"/>
              </w:rPr>
              <w:t>积极争取上级支持。县局党委对看守所的工作高度重视，在了解羁押量高位运行的情况后，主要领导亲自调度，出台了一系列措施，缓解看守压力。对部分轻型犯罪人员，符合变更强制措施的，集中变更一批，</w:t>
            </w:r>
            <w:r>
              <w:rPr>
                <w:rFonts w:hint="eastAsia" w:ascii="仿宋_GB2312" w:hAnsi="宋体" w:eastAsia="仿宋_GB2312" w:cs="宋体"/>
                <w:color w:val="auto"/>
                <w:lang w:eastAsia="zh-CN"/>
              </w:rPr>
              <w:t>同时，</w:t>
            </w:r>
            <w:r>
              <w:rPr>
                <w:rFonts w:hint="eastAsia" w:ascii="仿宋_GB2312" w:hAnsi="宋体" w:eastAsia="仿宋_GB2312" w:cs="宋体"/>
                <w:color w:val="auto"/>
              </w:rPr>
              <w:t>在县局民警数非常紧张的情况下，仍想方设法，为看守所新增一名管教民警。</w:t>
            </w:r>
            <w:r>
              <w:rPr>
                <w:rFonts w:hint="eastAsia" w:ascii="仿宋_GB2312" w:hAnsi="宋体" w:eastAsia="仿宋_GB2312" w:cs="宋体"/>
                <w:color w:val="auto"/>
                <w:lang w:eastAsia="zh-CN"/>
              </w:rPr>
              <w:t>二是</w:t>
            </w:r>
            <w:r>
              <w:rPr>
                <w:rFonts w:hint="eastAsia" w:ascii="仿宋_GB2312" w:hAnsi="宋体" w:eastAsia="仿宋_GB2312" w:cs="宋体"/>
                <w:color w:val="auto"/>
              </w:rPr>
              <w:t>主动对接检法部门。以县局名义，向检法机关出具函件，请求加快在押人员诉讼进程，迅速依法起诉、判决一批犯罪嫌疑人，</w:t>
            </w:r>
            <w:r>
              <w:rPr>
                <w:rFonts w:hint="eastAsia" w:ascii="仿宋_GB2312" w:hAnsi="宋体" w:eastAsia="仿宋_GB2312" w:cs="宋体"/>
                <w:color w:val="auto"/>
                <w:lang w:eastAsia="zh-CN"/>
              </w:rPr>
              <w:t>协调对接监狱，积极争取投劳指标，</w:t>
            </w:r>
            <w:r>
              <w:rPr>
                <w:rFonts w:hint="eastAsia" w:ascii="仿宋_GB2312" w:hAnsi="宋体" w:eastAsia="仿宋_GB2312" w:cs="宋体"/>
                <w:color w:val="auto"/>
              </w:rPr>
              <w:t>畅通在押人员出所通道。与县法院刑事审判庭对接，建立沟通机制，在被告人收监前，与</w:t>
            </w:r>
            <w:r>
              <w:rPr>
                <w:rFonts w:hint="eastAsia" w:ascii="仿宋_GB2312" w:hAnsi="宋体" w:eastAsia="仿宋_GB2312" w:cs="宋体"/>
                <w:color w:val="auto"/>
                <w:lang w:eastAsia="zh-CN"/>
              </w:rPr>
              <w:t>我</w:t>
            </w:r>
            <w:r>
              <w:rPr>
                <w:rFonts w:hint="eastAsia" w:ascii="仿宋_GB2312" w:hAnsi="宋体" w:eastAsia="仿宋_GB2312" w:cs="宋体"/>
                <w:color w:val="auto"/>
              </w:rPr>
              <w:t>所先行联系，避免一次性大批量收监情况。</w:t>
            </w:r>
            <w:r>
              <w:rPr>
                <w:rFonts w:hint="eastAsia" w:ascii="仿宋_GB2312" w:hAnsi="宋体" w:eastAsia="仿宋_GB2312" w:cs="宋体"/>
                <w:color w:val="auto"/>
                <w:lang w:eastAsia="zh-CN"/>
              </w:rPr>
              <w:t>三是</w:t>
            </w:r>
            <w:r>
              <w:rPr>
                <w:rFonts w:hint="eastAsia" w:ascii="仿宋_GB2312" w:hAnsi="宋体" w:eastAsia="仿宋_GB2312" w:cs="宋体"/>
                <w:color w:val="auto"/>
              </w:rPr>
              <w:t>强化监内日常管理。</w:t>
            </w:r>
            <w:r>
              <w:rPr>
                <w:rFonts w:hint="eastAsia" w:ascii="仿宋_GB2312" w:hAnsi="宋体" w:eastAsia="仿宋_GB2312" w:cs="宋体"/>
                <w:color w:val="auto"/>
                <w:lang w:eastAsia="zh-CN"/>
              </w:rPr>
              <w:t>以依法文明管理为契机，以省市督导平台为抓手，</w:t>
            </w:r>
            <w:r>
              <w:rPr>
                <w:rFonts w:hint="eastAsia" w:ascii="仿宋_GB2312" w:hAnsi="宋体" w:eastAsia="仿宋_GB2312" w:cs="宋体"/>
                <w:color w:val="auto"/>
              </w:rPr>
              <w:t>坚持不懈</w:t>
            </w:r>
            <w:r>
              <w:rPr>
                <w:rFonts w:hint="eastAsia" w:ascii="仿宋_GB2312" w:hAnsi="宋体" w:eastAsia="仿宋_GB2312" w:cs="宋体"/>
                <w:color w:val="auto"/>
                <w:lang w:eastAsia="zh-CN"/>
              </w:rPr>
              <w:t>抓实抓细</w:t>
            </w:r>
            <w:r>
              <w:rPr>
                <w:rFonts w:hint="eastAsia" w:ascii="仿宋_GB2312" w:hAnsi="宋体" w:eastAsia="仿宋_GB2312" w:cs="宋体"/>
                <w:color w:val="auto"/>
              </w:rPr>
              <w:t>在押人员一日生活</w:t>
            </w:r>
            <w:r>
              <w:rPr>
                <w:rFonts w:hint="eastAsia" w:ascii="仿宋_GB2312" w:hAnsi="宋体" w:eastAsia="仿宋_GB2312" w:cs="宋体"/>
                <w:color w:val="auto"/>
                <w:lang w:eastAsia="zh-CN"/>
              </w:rPr>
              <w:t>制度、物品摆放等日常事务</w:t>
            </w:r>
            <w:r>
              <w:rPr>
                <w:rFonts w:hint="eastAsia" w:ascii="仿宋_GB2312" w:hAnsi="宋体" w:eastAsia="仿宋_GB2312" w:cs="宋体"/>
                <w:color w:val="auto"/>
              </w:rPr>
              <w:t>管理，</w:t>
            </w:r>
            <w:r>
              <w:rPr>
                <w:rFonts w:hint="eastAsia" w:ascii="仿宋_GB2312" w:hAnsi="宋体" w:eastAsia="仿宋_GB2312" w:cs="宋体"/>
                <w:color w:val="auto"/>
                <w:lang w:eastAsia="zh-CN"/>
              </w:rPr>
              <w:t>形成日通报日回复日整改机制，</w:t>
            </w:r>
            <w:r>
              <w:rPr>
                <w:rFonts w:hint="eastAsia" w:ascii="仿宋_GB2312" w:hAnsi="宋体" w:eastAsia="仿宋_GB2312" w:cs="宋体"/>
                <w:color w:val="auto"/>
              </w:rPr>
              <w:t>确保监内秩序井然</w:t>
            </w:r>
            <w:r>
              <w:rPr>
                <w:rFonts w:hint="eastAsia" w:ascii="仿宋_GB2312" w:hAnsi="宋体" w:eastAsia="仿宋_GB2312" w:cs="宋体"/>
                <w:color w:val="auto"/>
                <w:lang w:eastAsia="zh-CN"/>
              </w:rPr>
              <w:t>。四是敏锐排查监内隐患。隐患排查是确保监所安全的有力保障，我们</w:t>
            </w:r>
            <w:r>
              <w:rPr>
                <w:rFonts w:hint="eastAsia" w:ascii="仿宋_GB2312" w:hAnsi="宋体" w:eastAsia="仿宋_GB2312" w:cs="宋体"/>
                <w:color w:val="auto"/>
              </w:rPr>
              <w:t>始终保持“时时放心不下”的责任感和“眼睛瞪得大大的”敏锐性，从严从实从细抓好除隐患、防风险、保安全各项工作措施。</w:t>
            </w:r>
            <w:r>
              <w:rPr>
                <w:rFonts w:hint="eastAsia" w:ascii="仿宋_GB2312" w:hAnsi="宋体" w:eastAsia="仿宋_GB2312" w:cs="宋体"/>
                <w:color w:val="auto"/>
                <w:lang w:eastAsia="zh-CN"/>
              </w:rPr>
              <w:t>今年以来，在进一步完善物防技防的基础上，我所重点关注在押人员的身体状况，加强日常医疗巡诊、重大问题会诊、疑难问题出所就诊机制。</w:t>
            </w:r>
            <w:r>
              <w:rPr>
                <w:rFonts w:hint="eastAsia" w:ascii="仿宋_GB2312" w:hAnsi="宋体" w:eastAsia="仿宋_GB2312" w:cs="宋体"/>
                <w:color w:val="auto"/>
                <w:lang w:val="en-US" w:eastAsia="zh-CN"/>
              </w:rPr>
              <w:t>始终抓住队伍建设是根本保证的总思路，锻造稳定可靠铁军。</w:t>
            </w:r>
          </w:p>
          <w:p w14:paraId="32B8C5CF">
            <w:pPr>
              <w:spacing w:line="576" w:lineRule="exact"/>
              <w:ind w:right="879" w:rightChars="419"/>
              <w:jc w:val="both"/>
              <w:rPr>
                <w:rFonts w:hint="eastAsia" w:ascii="仿宋_GB2312" w:hAnsi="宋体" w:eastAsia="仿宋_GB2312" w:cs="宋体"/>
                <w:color w:val="auto"/>
              </w:rPr>
            </w:pPr>
            <w:r>
              <w:rPr>
                <w:rFonts w:hint="eastAsia" w:ascii="仿宋_GB2312" w:hAnsi="宋体" w:eastAsia="仿宋_GB2312" w:cs="宋体"/>
                <w:color w:val="auto"/>
                <w:lang w:val="en-US" w:eastAsia="zh-CN"/>
              </w:rPr>
              <w:t>因看守所的性质和特点，民警工作环境相对封闭、单调。长期处于简单重复、周而复始、按部就班的工作环境中，</w:t>
            </w:r>
            <w:r>
              <w:rPr>
                <w:rFonts w:hint="eastAsia" w:ascii="仿宋_GB2312" w:hAnsi="宋体" w:eastAsia="仿宋_GB2312" w:cs="宋体"/>
                <w:color w:val="auto"/>
                <w:lang w:eastAsia="zh-CN"/>
              </w:rPr>
              <w:t>我所通过开展烧烤晚会等形式多样的主题活动、上门慰问、家访等方式，不断增强民警职工的归属感、集体荣誉感，同时，</w:t>
            </w:r>
            <w:r>
              <w:rPr>
                <w:rFonts w:hint="eastAsia" w:ascii="仿宋_GB2312" w:hAnsi="宋体" w:eastAsia="仿宋_GB2312" w:cs="宋体"/>
                <w:color w:val="auto"/>
              </w:rPr>
              <w:t>严抓队伍管理，常抓纪律作风，严密排查“枪车酒赌毒密网”风险隐患，</w:t>
            </w:r>
            <w:r>
              <w:rPr>
                <w:rFonts w:hint="eastAsia" w:ascii="仿宋_GB2312" w:hAnsi="宋体" w:eastAsia="仿宋_GB2312" w:cs="宋体"/>
                <w:color w:val="auto"/>
                <w:lang w:eastAsia="zh-CN"/>
              </w:rPr>
              <w:t>队伍建设呈现严肃而不失活泼，紧张而又实时放松的新气象</w:t>
            </w:r>
            <w:r>
              <w:rPr>
                <w:rFonts w:hint="eastAsia" w:ascii="仿宋_GB2312" w:hAnsi="宋体" w:eastAsia="仿宋_GB2312" w:cs="宋体"/>
                <w:color w:val="auto"/>
              </w:rPr>
              <w:t>，确保队伍保持旺盛战斗力。</w:t>
            </w:r>
          </w:p>
        </w:tc>
      </w:tr>
      <w:tr w14:paraId="4CE43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jc w:val="center"/>
        </w:trPr>
        <w:tc>
          <w:tcPr>
            <w:tcW w:w="1384" w:type="dxa"/>
            <w:vMerge w:val="restart"/>
            <w:noWrap w:val="0"/>
            <w:vAlign w:val="center"/>
          </w:tcPr>
          <w:p w14:paraId="7DE14625">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存在的问题分析及改进措施</w:t>
            </w:r>
          </w:p>
        </w:tc>
        <w:tc>
          <w:tcPr>
            <w:tcW w:w="1985" w:type="dxa"/>
            <w:noWrap w:val="0"/>
            <w:vAlign w:val="center"/>
          </w:tcPr>
          <w:p w14:paraId="3F05879D">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存在的问题</w:t>
            </w:r>
          </w:p>
        </w:tc>
        <w:tc>
          <w:tcPr>
            <w:tcW w:w="5670" w:type="dxa"/>
            <w:noWrap w:val="0"/>
            <w:vAlign w:val="center"/>
          </w:tcPr>
          <w:p w14:paraId="697E450E">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rPr>
              <w:t>1、20</w:t>
            </w:r>
            <w:r>
              <w:rPr>
                <w:rFonts w:hint="eastAsia" w:ascii="仿宋_GB2312" w:hAnsi="宋体" w:eastAsia="仿宋_GB2312" w:cs="宋体"/>
                <w:color w:val="auto"/>
                <w:lang w:val="en-US" w:eastAsia="zh-CN"/>
              </w:rPr>
              <w:t>22</w:t>
            </w:r>
            <w:r>
              <w:rPr>
                <w:rFonts w:hint="eastAsia" w:ascii="仿宋_GB2312" w:hAnsi="宋体" w:eastAsia="仿宋_GB2312" w:cs="宋体"/>
                <w:color w:val="auto"/>
              </w:rPr>
              <w:t>年绩效目标申报仅对预算的</w:t>
            </w:r>
            <w:r>
              <w:rPr>
                <w:rFonts w:hint="eastAsia" w:ascii="仿宋_GB2312" w:hAnsi="宋体" w:eastAsia="仿宋_GB2312" w:cs="宋体"/>
                <w:color w:val="auto"/>
                <w:lang w:val="en-US" w:eastAsia="zh-CN"/>
              </w:rPr>
              <w:t>355</w:t>
            </w:r>
            <w:r>
              <w:rPr>
                <w:rFonts w:hint="eastAsia" w:ascii="仿宋_GB2312" w:hAnsi="宋体" w:eastAsia="仿宋_GB2312" w:cs="宋体"/>
                <w:color w:val="auto"/>
              </w:rPr>
              <w:t>万元进行申报，因而专项工作经费支出产生了偏差；</w:t>
            </w:r>
          </w:p>
          <w:p w14:paraId="4DBD8D1F">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lang w:val="en-US" w:eastAsia="zh-CN"/>
              </w:rPr>
              <w:t>2、</w:t>
            </w:r>
            <w:r>
              <w:rPr>
                <w:rFonts w:hint="eastAsia" w:ascii="仿宋_GB2312" w:hAnsi="宋体" w:eastAsia="仿宋_GB2312" w:cs="宋体"/>
                <w:color w:val="auto"/>
              </w:rPr>
              <w:t>本着厉行节约原则，规范支出，紧缩开支，因而部</w:t>
            </w:r>
            <w:r>
              <w:rPr>
                <w:rFonts w:hint="eastAsia" w:ascii="仿宋_GB2312" w:hAnsi="宋体" w:eastAsia="仿宋_GB2312" w:cs="宋体"/>
                <w:color w:val="auto"/>
                <w:lang w:eastAsia="zh-CN"/>
              </w:rPr>
              <w:t>分</w:t>
            </w:r>
            <w:r>
              <w:rPr>
                <w:rFonts w:hint="eastAsia" w:ascii="仿宋_GB2312" w:hAnsi="宋体" w:eastAsia="仿宋_GB2312" w:cs="宋体"/>
                <w:color w:val="auto"/>
              </w:rPr>
              <w:t>支出减少。</w:t>
            </w:r>
          </w:p>
        </w:tc>
      </w:tr>
      <w:tr w14:paraId="0976D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14:paraId="2846A4D9">
            <w:pPr>
              <w:spacing w:line="576" w:lineRule="exact"/>
              <w:jc w:val="center"/>
              <w:rPr>
                <w:rFonts w:hint="eastAsia" w:ascii="仿宋_GB2312" w:hAnsi="宋体" w:eastAsia="仿宋_GB2312" w:cs="宋体"/>
                <w:color w:val="auto"/>
              </w:rPr>
            </w:pPr>
          </w:p>
        </w:tc>
        <w:tc>
          <w:tcPr>
            <w:tcW w:w="1985" w:type="dxa"/>
            <w:noWrap w:val="0"/>
            <w:vAlign w:val="center"/>
          </w:tcPr>
          <w:p w14:paraId="2C4CD3D4">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改进措施</w:t>
            </w:r>
          </w:p>
        </w:tc>
        <w:tc>
          <w:tcPr>
            <w:tcW w:w="5670" w:type="dxa"/>
            <w:noWrap w:val="0"/>
            <w:vAlign w:val="center"/>
          </w:tcPr>
          <w:p w14:paraId="69283CCC">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rPr>
              <w:t>1、加强预算管理，降低偏差；</w:t>
            </w:r>
          </w:p>
          <w:p w14:paraId="3DD50997">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rPr>
              <w:t>2、进一步规范支出，节约财政资金；</w:t>
            </w:r>
          </w:p>
          <w:p w14:paraId="108BAA5D">
            <w:pPr>
              <w:widowControl/>
              <w:shd w:val="clear" w:color="auto" w:fill="FFFFFF"/>
              <w:ind w:firstLine="560"/>
              <w:jc w:val="left"/>
              <w:rPr>
                <w:rFonts w:hint="eastAsia" w:ascii="仿宋_GB2312" w:hAnsi="宋体" w:eastAsia="仿宋_GB2312" w:cs="宋体"/>
                <w:color w:val="auto"/>
              </w:rPr>
            </w:pPr>
            <w:r>
              <w:rPr>
                <w:rFonts w:hint="eastAsia" w:ascii="仿宋_GB2312" w:hAnsi="宋体" w:eastAsia="仿宋_GB2312" w:cs="宋体"/>
                <w:color w:val="auto"/>
              </w:rPr>
              <w:t>3、加强财务知识学习，规范财务管理</w:t>
            </w:r>
          </w:p>
        </w:tc>
      </w:tr>
      <w:tr w14:paraId="3BBA0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14:paraId="02E608AE">
            <w:pPr>
              <w:spacing w:line="576" w:lineRule="exact"/>
              <w:jc w:val="center"/>
              <w:rPr>
                <w:rFonts w:hint="eastAsia" w:ascii="仿宋_GB2312" w:hAnsi="宋体" w:eastAsia="仿宋_GB2312" w:cs="宋体"/>
                <w:color w:val="auto"/>
              </w:rPr>
            </w:pPr>
          </w:p>
        </w:tc>
        <w:tc>
          <w:tcPr>
            <w:tcW w:w="1985" w:type="dxa"/>
            <w:noWrap w:val="0"/>
            <w:vAlign w:val="center"/>
          </w:tcPr>
          <w:p w14:paraId="5B06799C">
            <w:pPr>
              <w:spacing w:line="576" w:lineRule="exact"/>
              <w:jc w:val="center"/>
              <w:rPr>
                <w:rFonts w:hint="eastAsia" w:ascii="仿宋_GB2312" w:hAnsi="宋体" w:eastAsia="仿宋_GB2312" w:cs="宋体"/>
                <w:color w:val="auto"/>
              </w:rPr>
            </w:pPr>
            <w:r>
              <w:rPr>
                <w:rFonts w:hint="eastAsia" w:ascii="仿宋_GB2312" w:hAnsi="宋体" w:eastAsia="仿宋_GB2312" w:cs="宋体"/>
                <w:color w:val="auto"/>
              </w:rPr>
              <w:t>其他需要说明问题</w:t>
            </w:r>
          </w:p>
        </w:tc>
        <w:tc>
          <w:tcPr>
            <w:tcW w:w="5670" w:type="dxa"/>
            <w:noWrap w:val="0"/>
            <w:vAlign w:val="center"/>
          </w:tcPr>
          <w:p w14:paraId="13EAAB4A">
            <w:pPr>
              <w:spacing w:line="576" w:lineRule="exact"/>
              <w:ind w:right="879" w:rightChars="419"/>
              <w:jc w:val="center"/>
              <w:rPr>
                <w:rFonts w:hint="eastAsia" w:ascii="仿宋_GB2312" w:hAnsi="宋体" w:eastAsia="仿宋_GB2312" w:cs="宋体"/>
                <w:color w:val="auto"/>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tc>
      </w:tr>
    </w:tbl>
    <w:p w14:paraId="3E11DBCD">
      <w:pPr>
        <w:spacing w:line="560" w:lineRule="exact"/>
        <w:rPr>
          <w:rFonts w:ascii="宋体" w:cs="Times New Roman"/>
          <w:color w:val="000000"/>
          <w:kern w:val="0"/>
          <w:sz w:val="32"/>
          <w:szCs w:val="32"/>
        </w:rPr>
      </w:pPr>
    </w:p>
    <w:p w14:paraId="409A9CC9">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275A3B23">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07C62057">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53B64F77">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565854FD">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21CBA8A8">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5E94A0D9">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05D876B6">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4674E3FB">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640841E3">
      <w:pPr>
        <w:keepNext w:val="0"/>
        <w:keepLines w:val="0"/>
        <w:widowControl/>
        <w:suppressLineNumbers w:val="0"/>
        <w:spacing w:before="0" w:beforeAutospacing="0" w:after="0" w:afterAutospacing="0" w:line="576" w:lineRule="exact"/>
        <w:ind w:left="0" w:right="0"/>
        <w:jc w:val="center"/>
        <w:rPr>
          <w:rFonts w:hint="eastAsia" w:ascii="宋体" w:hAnsi="宋体" w:cs="仿宋_GB2312"/>
          <w:b/>
          <w:color w:val="000000"/>
          <w:kern w:val="0"/>
          <w:sz w:val="36"/>
          <w:szCs w:val="36"/>
          <w:lang w:val="en-US" w:eastAsia="zh-CN" w:bidi="ar"/>
        </w:rPr>
      </w:pPr>
    </w:p>
    <w:p w14:paraId="4F899ADD">
      <w:pPr>
        <w:keepNext w:val="0"/>
        <w:keepLines w:val="0"/>
        <w:widowControl/>
        <w:suppressLineNumbers w:val="0"/>
        <w:spacing w:before="0" w:beforeAutospacing="0" w:after="0" w:afterAutospacing="0" w:line="576" w:lineRule="exact"/>
        <w:ind w:left="0" w:right="0"/>
        <w:jc w:val="both"/>
        <w:rPr>
          <w:rFonts w:hint="eastAsia" w:ascii="宋体" w:hAnsi="宋体" w:cs="仿宋_GB2312"/>
          <w:b/>
          <w:color w:val="000000"/>
          <w:kern w:val="0"/>
          <w:sz w:val="36"/>
          <w:szCs w:val="36"/>
          <w:lang w:val="en-US" w:eastAsia="zh-CN" w:bidi="ar"/>
        </w:rPr>
      </w:pPr>
    </w:p>
    <w:p w14:paraId="4BCE4C07">
      <w:pPr>
        <w:keepNext w:val="0"/>
        <w:keepLines w:val="0"/>
        <w:widowControl/>
        <w:suppressLineNumbers w:val="0"/>
        <w:spacing w:before="0" w:beforeAutospacing="0" w:after="0" w:afterAutospacing="0" w:line="576" w:lineRule="exact"/>
        <w:ind w:left="0" w:right="0"/>
        <w:jc w:val="both"/>
        <w:rPr>
          <w:rFonts w:hint="eastAsia" w:ascii="宋体" w:hAnsi="宋体" w:cs="仿宋_GB2312"/>
          <w:b/>
          <w:color w:val="000000"/>
          <w:kern w:val="0"/>
          <w:sz w:val="36"/>
          <w:szCs w:val="36"/>
          <w:lang w:val="en-US" w:eastAsia="zh-CN" w:bidi="ar"/>
        </w:rPr>
      </w:pPr>
    </w:p>
    <w:p w14:paraId="4675C2C9">
      <w:pPr>
        <w:keepNext w:val="0"/>
        <w:keepLines w:val="0"/>
        <w:widowControl/>
        <w:suppressLineNumbers w:val="0"/>
        <w:spacing w:before="0" w:beforeAutospacing="0" w:after="0" w:afterAutospacing="0" w:line="576" w:lineRule="exact"/>
        <w:ind w:left="0" w:right="0"/>
        <w:jc w:val="both"/>
        <w:rPr>
          <w:rFonts w:hint="eastAsia" w:ascii="宋体" w:hAnsi="宋体" w:cs="仿宋_GB2312"/>
          <w:b/>
          <w:color w:val="000000"/>
          <w:kern w:val="0"/>
          <w:sz w:val="36"/>
          <w:szCs w:val="36"/>
          <w:lang w:val="en-US" w:eastAsia="zh-CN" w:bidi="ar"/>
        </w:rPr>
      </w:pPr>
    </w:p>
    <w:p w14:paraId="409CDBA5">
      <w:pPr>
        <w:keepNext w:val="0"/>
        <w:keepLines w:val="0"/>
        <w:widowControl/>
        <w:suppressLineNumbers w:val="0"/>
        <w:spacing w:before="0" w:beforeAutospacing="0" w:after="0" w:afterAutospacing="0" w:line="576" w:lineRule="exact"/>
        <w:ind w:left="0" w:right="0"/>
        <w:jc w:val="both"/>
        <w:rPr>
          <w:rFonts w:hint="eastAsia" w:ascii="宋体" w:hAnsi="宋体" w:cs="仿宋_GB2312"/>
          <w:b/>
          <w:color w:val="000000"/>
          <w:kern w:val="0"/>
          <w:sz w:val="36"/>
          <w:szCs w:val="36"/>
          <w:lang w:val="en-US" w:eastAsia="zh-CN" w:bidi="ar"/>
        </w:rPr>
      </w:pPr>
    </w:p>
    <w:p w14:paraId="589EB469">
      <w:pPr>
        <w:keepNext w:val="0"/>
        <w:keepLines w:val="0"/>
        <w:widowControl/>
        <w:suppressLineNumbers w:val="0"/>
        <w:spacing w:before="0" w:beforeAutospacing="0" w:after="0" w:afterAutospacing="0" w:line="576" w:lineRule="exact"/>
        <w:ind w:left="0" w:right="0"/>
        <w:jc w:val="both"/>
        <w:rPr>
          <w:rFonts w:hint="eastAsia" w:ascii="宋体" w:hAnsi="宋体" w:cs="仿宋_GB2312"/>
          <w:b/>
          <w:color w:val="000000"/>
          <w:kern w:val="0"/>
          <w:sz w:val="36"/>
          <w:szCs w:val="36"/>
          <w:lang w:val="en-US" w:eastAsia="zh-CN" w:bidi="ar"/>
        </w:rPr>
      </w:pPr>
    </w:p>
    <w:p w14:paraId="3C1A56DE">
      <w:pPr>
        <w:widowControl w:val="0"/>
        <w:spacing w:after="120"/>
        <w:ind w:left="420" w:leftChars="200" w:firstLine="420" w:firstLineChars="200"/>
        <w:jc w:val="both"/>
        <w:rPr>
          <w:rFonts w:hint="eastAsia" w:ascii="Calibri" w:hAnsi="Calibri" w:eastAsia="宋体" w:cs="Calibri"/>
          <w:kern w:val="2"/>
          <w:sz w:val="21"/>
          <w:szCs w:val="21"/>
          <w:lang w:val="en-US" w:eastAsia="zh-CN" w:bidi="ar-SA"/>
        </w:rPr>
      </w:pPr>
    </w:p>
    <w:p w14:paraId="46E39C30">
      <w:pPr>
        <w:keepNext w:val="0"/>
        <w:keepLines w:val="0"/>
        <w:widowControl/>
        <w:suppressLineNumbers w:val="0"/>
        <w:spacing w:before="0" w:beforeAutospacing="0" w:after="0" w:afterAutospacing="0" w:line="576" w:lineRule="exact"/>
        <w:ind w:left="0" w:right="0"/>
        <w:jc w:val="center"/>
        <w:rPr>
          <w:rFonts w:hint="default" w:ascii="方正小标宋_GBK" w:hAnsi="方正小标宋_GBK" w:eastAsia="方正小标宋_GBK" w:cs="方正小标宋_GBK"/>
          <w:sz w:val="36"/>
          <w:szCs w:val="36"/>
          <w:u w:val="single"/>
          <w:lang w:val="en-US"/>
        </w:rPr>
      </w:pPr>
      <w:r>
        <w:rPr>
          <w:rFonts w:hint="eastAsia" w:ascii="宋体" w:hAnsi="宋体" w:cs="仿宋_GB2312"/>
          <w:b/>
          <w:color w:val="000000"/>
          <w:kern w:val="0"/>
          <w:sz w:val="36"/>
          <w:szCs w:val="36"/>
          <w:lang w:val="en-US" w:eastAsia="zh-CN" w:bidi="ar"/>
        </w:rPr>
        <w:t>（</w:t>
      </w:r>
      <w:r>
        <w:rPr>
          <w:rFonts w:hint="eastAsia" w:ascii="宋体" w:hAnsi="宋体" w:eastAsia="宋体" w:cs="仿宋_GB2312"/>
          <w:b/>
          <w:color w:val="000000"/>
          <w:kern w:val="0"/>
          <w:sz w:val="36"/>
          <w:szCs w:val="36"/>
          <w:lang w:val="en-US" w:eastAsia="zh-CN" w:bidi="ar"/>
        </w:rPr>
        <w:t>看守专项经费</w:t>
      </w:r>
      <w:r>
        <w:rPr>
          <w:rFonts w:hint="eastAsia" w:ascii="宋体" w:hAnsi="宋体" w:cs="仿宋_GB2312"/>
          <w:b/>
          <w:color w:val="000000"/>
          <w:kern w:val="0"/>
          <w:sz w:val="36"/>
          <w:szCs w:val="36"/>
          <w:lang w:val="en-US" w:eastAsia="zh-CN" w:bidi="ar"/>
        </w:rPr>
        <w:t>）</w:t>
      </w:r>
      <w:r>
        <w:rPr>
          <w:rFonts w:hint="eastAsia" w:ascii="宋体" w:hAnsi="宋体" w:cs="仿宋_GB2312"/>
          <w:b/>
          <w:bCs/>
          <w:color w:val="000000"/>
          <w:kern w:val="0"/>
          <w:sz w:val="36"/>
          <w:szCs w:val="36"/>
        </w:rPr>
        <w:t>项目支出绩效评价报告</w:t>
      </w:r>
    </w:p>
    <w:tbl>
      <w:tblPr>
        <w:tblStyle w:val="7"/>
        <w:tblW w:w="0" w:type="auto"/>
        <w:jc w:val="center"/>
        <w:tblLayout w:type="fixed"/>
        <w:tblCellMar>
          <w:top w:w="0" w:type="dxa"/>
          <w:left w:w="108" w:type="dxa"/>
          <w:bottom w:w="0" w:type="dxa"/>
          <w:right w:w="108" w:type="dxa"/>
        </w:tblCellMar>
      </w:tblPr>
      <w:tblGrid>
        <w:gridCol w:w="1566"/>
        <w:gridCol w:w="1984"/>
        <w:gridCol w:w="5673"/>
      </w:tblGrid>
      <w:tr w14:paraId="19AF2539">
        <w:tblPrEx>
          <w:tblCellMar>
            <w:top w:w="0" w:type="dxa"/>
            <w:left w:w="108" w:type="dxa"/>
            <w:bottom w:w="0" w:type="dxa"/>
            <w:right w:w="108" w:type="dxa"/>
          </w:tblCellMar>
        </w:tblPrEx>
        <w:trPr>
          <w:trHeight w:val="675" w:hRule="atLeast"/>
          <w:jc w:val="center"/>
        </w:trPr>
        <w:tc>
          <w:tcPr>
            <w:tcW w:w="1566" w:type="dxa"/>
            <w:vMerge w:val="restart"/>
            <w:tcBorders>
              <w:top w:val="single" w:color="auto" w:sz="4" w:space="0"/>
              <w:left w:val="single" w:color="auto" w:sz="4" w:space="0"/>
              <w:bottom w:val="single" w:color="auto" w:sz="4" w:space="0"/>
              <w:right w:val="single" w:color="auto" w:sz="4" w:space="0"/>
            </w:tcBorders>
            <w:noWrap w:val="0"/>
            <w:vAlign w:val="center"/>
          </w:tcPr>
          <w:p w14:paraId="337C3B2E">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部门概况</w:t>
            </w:r>
          </w:p>
        </w:tc>
        <w:tc>
          <w:tcPr>
            <w:tcW w:w="1984" w:type="dxa"/>
            <w:tcBorders>
              <w:top w:val="single" w:color="auto" w:sz="4" w:space="0"/>
              <w:left w:val="nil"/>
              <w:bottom w:val="single" w:color="auto" w:sz="4" w:space="0"/>
              <w:right w:val="single" w:color="auto" w:sz="4" w:space="0"/>
            </w:tcBorders>
            <w:noWrap w:val="0"/>
            <w:vAlign w:val="center"/>
          </w:tcPr>
          <w:p w14:paraId="64778AB1">
            <w:pPr>
              <w:spacing w:line="576" w:lineRule="exact"/>
              <w:jc w:val="center"/>
              <w:rPr>
                <w:rFonts w:hint="default" w:ascii="仿宋_GB2312" w:hAnsi="宋体" w:eastAsia="仿宋_GB2312" w:cs="宋体"/>
                <w:szCs w:val="32"/>
                <w:lang w:val="en-US"/>
              </w:rPr>
            </w:pPr>
            <w:r>
              <w:rPr>
                <w:rFonts w:hint="eastAsia" w:ascii="仿宋_GB2312" w:hAnsi="宋体" w:eastAsia="仿宋_GB2312" w:cs="宋体"/>
                <w:szCs w:val="32"/>
                <w:lang w:val="en-US" w:eastAsia="zh-CN"/>
              </w:rPr>
              <w:t>专项名称</w:t>
            </w:r>
          </w:p>
        </w:tc>
        <w:tc>
          <w:tcPr>
            <w:tcW w:w="5673" w:type="dxa"/>
            <w:tcBorders>
              <w:top w:val="single" w:color="auto" w:sz="4" w:space="0"/>
              <w:left w:val="nil"/>
              <w:bottom w:val="single" w:color="auto" w:sz="4" w:space="0"/>
              <w:right w:val="single" w:color="auto" w:sz="4" w:space="0"/>
            </w:tcBorders>
            <w:noWrap w:val="0"/>
            <w:vAlign w:val="center"/>
          </w:tcPr>
          <w:p w14:paraId="19A18166">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看守专项经费</w:t>
            </w:r>
          </w:p>
        </w:tc>
      </w:tr>
      <w:tr w14:paraId="3722F1A0">
        <w:tblPrEx>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14:paraId="25E4BCC8">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14:paraId="6B34BF1A">
            <w:pPr>
              <w:spacing w:line="576" w:lineRule="exact"/>
              <w:jc w:val="center"/>
              <w:rPr>
                <w:rFonts w:hint="default" w:ascii="仿宋_GB2312" w:hAnsi="宋体" w:eastAsia="仿宋_GB2312" w:cs="宋体"/>
                <w:szCs w:val="32"/>
                <w:lang w:val="en-US"/>
              </w:rPr>
            </w:pPr>
            <w:r>
              <w:rPr>
                <w:rFonts w:hint="eastAsia" w:ascii="仿宋_GB2312" w:hAnsi="宋体" w:eastAsia="仿宋_GB2312" w:cs="宋体"/>
                <w:szCs w:val="32"/>
                <w:lang w:val="en-US" w:eastAsia="zh-CN"/>
              </w:rPr>
              <w:t>年度预算金额</w:t>
            </w:r>
          </w:p>
        </w:tc>
        <w:tc>
          <w:tcPr>
            <w:tcW w:w="5673" w:type="dxa"/>
            <w:tcBorders>
              <w:top w:val="single" w:color="auto" w:sz="4" w:space="0"/>
              <w:left w:val="nil"/>
              <w:bottom w:val="single" w:color="auto" w:sz="4" w:space="0"/>
              <w:right w:val="single" w:color="auto" w:sz="4" w:space="0"/>
            </w:tcBorders>
            <w:noWrap w:val="0"/>
            <w:vAlign w:val="center"/>
          </w:tcPr>
          <w:p w14:paraId="3AB9938E">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355万元</w:t>
            </w:r>
          </w:p>
        </w:tc>
      </w:tr>
      <w:tr w14:paraId="0139F304">
        <w:tblPrEx>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14:paraId="06D5F4C0">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14:paraId="51138142">
            <w:pPr>
              <w:spacing w:line="576" w:lineRule="exact"/>
              <w:jc w:val="center"/>
              <w:rPr>
                <w:rFonts w:hint="default" w:ascii="仿宋_GB2312" w:hAnsi="宋体" w:eastAsia="仿宋_GB2312" w:cs="宋体"/>
                <w:szCs w:val="32"/>
                <w:lang w:val="en-US"/>
              </w:rPr>
            </w:pPr>
            <w:r>
              <w:rPr>
                <w:rFonts w:hint="eastAsia" w:ascii="仿宋_GB2312" w:hAnsi="宋体" w:eastAsia="仿宋_GB2312" w:cs="宋体"/>
                <w:szCs w:val="32"/>
                <w:lang w:val="en-US" w:eastAsia="zh-CN"/>
              </w:rPr>
              <w:t>项目主管部门</w:t>
            </w:r>
          </w:p>
        </w:tc>
        <w:tc>
          <w:tcPr>
            <w:tcW w:w="5673" w:type="dxa"/>
            <w:tcBorders>
              <w:top w:val="single" w:color="auto" w:sz="4" w:space="0"/>
              <w:left w:val="nil"/>
              <w:bottom w:val="single" w:color="auto" w:sz="4" w:space="0"/>
              <w:right w:val="single" w:color="auto" w:sz="4" w:space="0"/>
            </w:tcBorders>
            <w:noWrap w:val="0"/>
            <w:vAlign w:val="center"/>
          </w:tcPr>
          <w:p w14:paraId="5408AE45">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湘潭县公安局</w:t>
            </w:r>
          </w:p>
        </w:tc>
      </w:tr>
      <w:tr w14:paraId="2AE211F8">
        <w:tblPrEx>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14:paraId="2179CB1B">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14:paraId="57253AC2">
            <w:pPr>
              <w:spacing w:line="576" w:lineRule="exact"/>
              <w:jc w:val="center"/>
              <w:rPr>
                <w:rFonts w:hint="default" w:ascii="仿宋_GB2312" w:hAnsi="宋体" w:eastAsia="仿宋_GB2312" w:cs="宋体"/>
                <w:szCs w:val="32"/>
                <w:lang w:val="en-US"/>
              </w:rPr>
            </w:pPr>
            <w:r>
              <w:rPr>
                <w:rFonts w:hint="eastAsia" w:ascii="仿宋_GB2312" w:hAnsi="宋体" w:eastAsia="仿宋_GB2312" w:cs="宋体"/>
                <w:szCs w:val="32"/>
                <w:lang w:val="en-US" w:eastAsia="zh-CN"/>
              </w:rPr>
              <w:t>项目立项目的</w:t>
            </w:r>
          </w:p>
        </w:tc>
        <w:tc>
          <w:tcPr>
            <w:tcW w:w="5673" w:type="dxa"/>
            <w:tcBorders>
              <w:top w:val="single" w:color="auto" w:sz="4" w:space="0"/>
              <w:left w:val="nil"/>
              <w:bottom w:val="single" w:color="auto" w:sz="4" w:space="0"/>
              <w:right w:val="single" w:color="auto" w:sz="4" w:space="0"/>
            </w:tcBorders>
            <w:noWrap w:val="0"/>
            <w:vAlign w:val="center"/>
          </w:tcPr>
          <w:p w14:paraId="60CD2AA7">
            <w:pPr>
              <w:widowControl/>
              <w:spacing w:line="360" w:lineRule="auto"/>
              <w:ind w:firstLine="480" w:firstLineChars="200"/>
              <w:rPr>
                <w:rFonts w:hint="eastAsia" w:ascii="仿宋" w:hAnsi="仿宋" w:eastAsia="仿宋" w:cs="仿宋"/>
                <w:color w:val="333333"/>
                <w:kern w:val="0"/>
                <w:sz w:val="24"/>
                <w:szCs w:val="24"/>
                <w:shd w:val="clear" w:color="auto" w:fill="FFFFFF"/>
              </w:rPr>
            </w:pPr>
            <w:r>
              <w:rPr>
                <w:rFonts w:hint="eastAsia" w:ascii="仿宋" w:hAnsi="仿宋" w:eastAsia="仿宋" w:cs="仿宋"/>
                <w:color w:val="333333"/>
                <w:kern w:val="0"/>
                <w:sz w:val="24"/>
                <w:szCs w:val="24"/>
                <w:shd w:val="clear" w:color="auto" w:fill="FFFFFF"/>
                <w:lang w:val="en-US" w:eastAsia="zh-CN"/>
              </w:rPr>
              <w:t>1、</w:t>
            </w:r>
            <w:r>
              <w:rPr>
                <w:rFonts w:hint="eastAsia" w:ascii="仿宋" w:hAnsi="仿宋" w:eastAsia="仿宋" w:cs="仿宋"/>
                <w:color w:val="333333"/>
                <w:kern w:val="0"/>
                <w:sz w:val="24"/>
                <w:szCs w:val="24"/>
                <w:shd w:val="clear" w:color="auto" w:fill="FFFFFF"/>
              </w:rPr>
              <w:t>对被羁押的犯罪嫌疑人、被告人实行警戒看守，管理教育；</w:t>
            </w:r>
          </w:p>
          <w:p w14:paraId="5195889B">
            <w:pPr>
              <w:widowControl/>
              <w:spacing w:line="360" w:lineRule="auto"/>
              <w:ind w:firstLine="480" w:firstLineChars="200"/>
              <w:rPr>
                <w:rFonts w:hint="eastAsia" w:ascii="仿宋" w:hAnsi="仿宋" w:eastAsia="仿宋" w:cs="仿宋"/>
                <w:sz w:val="24"/>
                <w:szCs w:val="24"/>
                <w:lang w:val="en-US"/>
              </w:rPr>
            </w:pPr>
            <w:r>
              <w:rPr>
                <w:rFonts w:hint="eastAsia" w:ascii="仿宋" w:hAnsi="仿宋" w:eastAsia="仿宋" w:cs="仿宋"/>
                <w:color w:val="333333"/>
                <w:kern w:val="0"/>
                <w:sz w:val="24"/>
                <w:szCs w:val="24"/>
                <w:shd w:val="clear" w:color="auto" w:fill="FFFFFF"/>
                <w:lang w:val="en-US" w:eastAsia="zh-CN"/>
              </w:rPr>
              <w:t>2、</w:t>
            </w:r>
            <w:r>
              <w:rPr>
                <w:rFonts w:hint="eastAsia" w:ascii="仿宋" w:hAnsi="仿宋" w:eastAsia="仿宋" w:cs="仿宋"/>
                <w:color w:val="333333"/>
                <w:kern w:val="0"/>
                <w:sz w:val="24"/>
                <w:szCs w:val="24"/>
                <w:shd w:val="clear" w:color="auto" w:fill="FFFFFF"/>
              </w:rPr>
              <w:t>保障刑事诉讼活动的顺利进行</w:t>
            </w:r>
          </w:p>
        </w:tc>
      </w:tr>
      <w:tr w14:paraId="72527080">
        <w:tblPrEx>
          <w:tblCellMar>
            <w:top w:w="0" w:type="dxa"/>
            <w:left w:w="108" w:type="dxa"/>
            <w:bottom w:w="0" w:type="dxa"/>
            <w:right w:w="108" w:type="dxa"/>
          </w:tblCellMar>
        </w:tblPrEx>
        <w:trPr>
          <w:trHeight w:val="1357" w:hRule="atLeast"/>
          <w:jc w:val="center"/>
        </w:trPr>
        <w:tc>
          <w:tcPr>
            <w:tcW w:w="1566" w:type="dxa"/>
            <w:vMerge w:val="restart"/>
            <w:tcBorders>
              <w:top w:val="nil"/>
              <w:left w:val="single" w:color="auto" w:sz="4" w:space="0"/>
              <w:bottom w:val="single" w:color="auto" w:sz="4" w:space="0"/>
              <w:right w:val="single" w:color="auto" w:sz="4" w:space="0"/>
            </w:tcBorders>
            <w:noWrap w:val="0"/>
            <w:vAlign w:val="center"/>
          </w:tcPr>
          <w:p w14:paraId="12082C10">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绩效情况</w:t>
            </w:r>
          </w:p>
        </w:tc>
        <w:tc>
          <w:tcPr>
            <w:tcW w:w="1984" w:type="dxa"/>
            <w:tcBorders>
              <w:top w:val="single" w:color="auto" w:sz="4" w:space="0"/>
              <w:left w:val="nil"/>
              <w:bottom w:val="single" w:color="auto" w:sz="4" w:space="0"/>
              <w:right w:val="single" w:color="auto" w:sz="4" w:space="0"/>
            </w:tcBorders>
            <w:noWrap w:val="0"/>
            <w:vAlign w:val="center"/>
          </w:tcPr>
          <w:p w14:paraId="543F4226">
            <w:pPr>
              <w:spacing w:line="576" w:lineRule="exact"/>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项目支出管理和使用基本情况</w:t>
            </w:r>
          </w:p>
        </w:tc>
        <w:tc>
          <w:tcPr>
            <w:tcW w:w="5673" w:type="dxa"/>
            <w:tcBorders>
              <w:top w:val="single" w:color="auto" w:sz="4" w:space="0"/>
              <w:left w:val="nil"/>
              <w:bottom w:val="single" w:color="auto" w:sz="4" w:space="0"/>
              <w:right w:val="single" w:color="auto" w:sz="4" w:space="0"/>
            </w:tcBorders>
            <w:noWrap w:val="0"/>
            <w:vAlign w:val="center"/>
          </w:tcPr>
          <w:p w14:paraId="501888DC">
            <w:pPr>
              <w:keepNext w:val="0"/>
              <w:keepLines w:val="0"/>
              <w:widowControl w:val="0"/>
              <w:suppressLineNumbers w:val="0"/>
              <w:spacing w:before="0" w:beforeAutospacing="0" w:after="0" w:afterAutospacing="0" w:line="576" w:lineRule="exact"/>
              <w:ind w:left="0" w:right="879" w:rightChars="419" w:firstLine="480"/>
              <w:jc w:val="left"/>
              <w:rPr>
                <w:rFonts w:hint="default" w:ascii="仿宋" w:hAnsi="仿宋" w:eastAsia="仿宋" w:cs="仿宋"/>
                <w:sz w:val="24"/>
                <w:szCs w:val="24"/>
                <w:lang w:val="en-US" w:eastAsia="zh-CN"/>
              </w:rPr>
            </w:pPr>
            <w:r>
              <w:rPr>
                <w:rFonts w:hint="eastAsia" w:ascii="仿宋" w:hAnsi="仿宋" w:eastAsia="仿宋" w:cs="仿宋"/>
                <w:color w:val="333333"/>
                <w:kern w:val="0"/>
                <w:sz w:val="24"/>
                <w:szCs w:val="24"/>
              </w:rPr>
              <w:t>20</w:t>
            </w:r>
            <w:r>
              <w:rPr>
                <w:rFonts w:hint="eastAsia" w:ascii="仿宋" w:hAnsi="仿宋" w:eastAsia="仿宋" w:cs="仿宋"/>
                <w:color w:val="333333"/>
                <w:kern w:val="0"/>
                <w:sz w:val="24"/>
                <w:szCs w:val="24"/>
                <w:lang w:val="en-US" w:eastAsia="zh-CN"/>
              </w:rPr>
              <w:t>22</w:t>
            </w:r>
            <w:r>
              <w:rPr>
                <w:rFonts w:hint="eastAsia" w:ascii="仿宋" w:hAnsi="仿宋" w:eastAsia="仿宋" w:cs="仿宋"/>
                <w:color w:val="333333"/>
                <w:kern w:val="0"/>
                <w:sz w:val="24"/>
                <w:szCs w:val="24"/>
              </w:rPr>
              <w:t>年看守所专项经费支出</w:t>
            </w:r>
            <w:r>
              <w:rPr>
                <w:rFonts w:hint="eastAsia" w:ascii="仿宋" w:hAnsi="仿宋" w:eastAsia="仿宋" w:cs="仿宋"/>
                <w:color w:val="333333"/>
                <w:kern w:val="0"/>
                <w:sz w:val="24"/>
                <w:szCs w:val="24"/>
                <w:lang w:val="en-US" w:eastAsia="zh-CN"/>
              </w:rPr>
              <w:t>366.19</w:t>
            </w:r>
            <w:r>
              <w:rPr>
                <w:rFonts w:hint="eastAsia" w:ascii="仿宋" w:hAnsi="仿宋" w:eastAsia="仿宋" w:cs="仿宋"/>
                <w:color w:val="333333"/>
                <w:kern w:val="0"/>
                <w:sz w:val="24"/>
                <w:szCs w:val="24"/>
              </w:rPr>
              <w:t>万元，其中人犯给养支出</w:t>
            </w:r>
            <w:r>
              <w:rPr>
                <w:rFonts w:hint="eastAsia" w:ascii="仿宋" w:hAnsi="仿宋" w:eastAsia="仿宋" w:cs="仿宋"/>
                <w:color w:val="333333"/>
                <w:kern w:val="0"/>
                <w:sz w:val="24"/>
                <w:szCs w:val="24"/>
                <w:lang w:val="en-US" w:eastAsia="zh-CN"/>
              </w:rPr>
              <w:t>107.61</w:t>
            </w:r>
            <w:r>
              <w:rPr>
                <w:rFonts w:hint="eastAsia" w:ascii="仿宋" w:hAnsi="仿宋" w:eastAsia="仿宋" w:cs="仿宋"/>
                <w:color w:val="333333"/>
                <w:kern w:val="0"/>
                <w:sz w:val="24"/>
                <w:szCs w:val="24"/>
              </w:rPr>
              <w:t>万元，</w:t>
            </w:r>
            <w:r>
              <w:rPr>
                <w:rFonts w:hint="eastAsia" w:ascii="仿宋" w:hAnsi="仿宋" w:eastAsia="仿宋" w:cs="仿宋"/>
                <w:kern w:val="0"/>
                <w:sz w:val="24"/>
                <w:szCs w:val="24"/>
                <w:lang w:eastAsia="zh-CN"/>
              </w:rPr>
              <w:t>商品和服务</w:t>
            </w:r>
            <w:r>
              <w:rPr>
                <w:rFonts w:hint="eastAsia" w:ascii="仿宋" w:hAnsi="仿宋" w:eastAsia="仿宋" w:cs="仿宋"/>
                <w:color w:val="333333"/>
                <w:kern w:val="0"/>
                <w:sz w:val="24"/>
                <w:szCs w:val="24"/>
              </w:rPr>
              <w:t>支出</w:t>
            </w:r>
            <w:r>
              <w:rPr>
                <w:rFonts w:hint="eastAsia" w:ascii="仿宋" w:hAnsi="仿宋" w:eastAsia="仿宋" w:cs="仿宋"/>
                <w:color w:val="333333"/>
                <w:kern w:val="0"/>
                <w:sz w:val="24"/>
                <w:szCs w:val="24"/>
                <w:lang w:val="en-US" w:eastAsia="zh-CN"/>
              </w:rPr>
              <w:t>254.19</w:t>
            </w:r>
            <w:r>
              <w:rPr>
                <w:rFonts w:hint="eastAsia" w:ascii="仿宋" w:hAnsi="仿宋" w:eastAsia="仿宋" w:cs="仿宋"/>
                <w:color w:val="333333"/>
                <w:kern w:val="0"/>
                <w:sz w:val="24"/>
                <w:szCs w:val="24"/>
              </w:rPr>
              <w:t>万元</w:t>
            </w:r>
            <w:r>
              <w:rPr>
                <w:rFonts w:hint="eastAsia" w:ascii="仿宋" w:hAnsi="仿宋" w:eastAsia="仿宋" w:cs="仿宋"/>
                <w:color w:val="333333"/>
                <w:kern w:val="0"/>
                <w:sz w:val="24"/>
                <w:szCs w:val="24"/>
                <w:lang w:eastAsia="zh-CN"/>
              </w:rPr>
              <w:t>，对个人和家庭的补助</w:t>
            </w:r>
            <w:r>
              <w:rPr>
                <w:rFonts w:hint="eastAsia" w:ascii="仿宋" w:hAnsi="仿宋" w:eastAsia="仿宋" w:cs="仿宋"/>
                <w:color w:val="333333"/>
                <w:kern w:val="0"/>
                <w:sz w:val="24"/>
                <w:szCs w:val="24"/>
                <w:lang w:val="en-US" w:eastAsia="zh-CN"/>
              </w:rPr>
              <w:t>0.05万元，资本性支出4.34万元。</w:t>
            </w:r>
          </w:p>
        </w:tc>
      </w:tr>
      <w:tr w14:paraId="039ADE62">
        <w:tblPrEx>
          <w:tblCellMar>
            <w:top w:w="0" w:type="dxa"/>
            <w:left w:w="108" w:type="dxa"/>
            <w:bottom w:w="0" w:type="dxa"/>
            <w:right w:w="108" w:type="dxa"/>
          </w:tblCellMar>
        </w:tblPrEx>
        <w:trPr>
          <w:trHeight w:val="123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14:paraId="2CD9CB1D">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14:paraId="7849A6B4">
            <w:pPr>
              <w:spacing w:line="576" w:lineRule="exact"/>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项目绩效目标完成情况</w:t>
            </w:r>
          </w:p>
        </w:tc>
        <w:tc>
          <w:tcPr>
            <w:tcW w:w="5673" w:type="dxa"/>
            <w:tcBorders>
              <w:top w:val="single" w:color="auto" w:sz="4" w:space="0"/>
              <w:left w:val="nil"/>
              <w:bottom w:val="single" w:color="auto" w:sz="4" w:space="0"/>
              <w:right w:val="single" w:color="auto" w:sz="4" w:space="0"/>
            </w:tcBorders>
            <w:noWrap w:val="0"/>
            <w:vAlign w:val="center"/>
          </w:tcPr>
          <w:p w14:paraId="43F1262F">
            <w:pPr>
              <w:widowControl/>
              <w:spacing w:line="360" w:lineRule="auto"/>
              <w:ind w:firstLine="480" w:firstLineChars="200"/>
              <w:rPr>
                <w:rFonts w:hint="eastAsia" w:ascii="仿宋" w:hAnsi="仿宋" w:eastAsia="仿宋" w:cs="仿宋"/>
                <w:color w:val="333333"/>
                <w:kern w:val="0"/>
                <w:sz w:val="24"/>
                <w:szCs w:val="24"/>
                <w:shd w:val="clear" w:color="auto" w:fill="FFFFFF"/>
              </w:rPr>
            </w:pPr>
            <w:r>
              <w:rPr>
                <w:rFonts w:hint="eastAsia" w:ascii="仿宋" w:hAnsi="仿宋" w:eastAsia="仿宋" w:cs="仿宋"/>
                <w:color w:val="333333"/>
                <w:kern w:val="0"/>
                <w:sz w:val="24"/>
                <w:szCs w:val="24"/>
                <w:shd w:val="clear" w:color="auto" w:fill="FFFFFF"/>
              </w:rPr>
              <w:t>1、产出指标。（1）数量指标：财政预算经费使用率100%；在押人员给养费得到充分保障。（2）质量指标：一般性商品和服务支出稳中有降。（3）时效指标：财政预算资金及时到位，每月能按时使用。</w:t>
            </w:r>
          </w:p>
          <w:p w14:paraId="7178B964">
            <w:pPr>
              <w:widowControl/>
              <w:spacing w:line="360" w:lineRule="auto"/>
              <w:ind w:firstLine="480" w:firstLineChars="200"/>
              <w:rPr>
                <w:rFonts w:hint="eastAsia" w:ascii="仿宋" w:hAnsi="仿宋" w:eastAsia="仿宋" w:cs="仿宋"/>
                <w:sz w:val="24"/>
                <w:szCs w:val="24"/>
                <w:lang w:val="en-US"/>
              </w:rPr>
            </w:pPr>
            <w:r>
              <w:rPr>
                <w:rFonts w:hint="eastAsia" w:ascii="仿宋" w:hAnsi="仿宋" w:eastAsia="仿宋" w:cs="仿宋"/>
                <w:color w:val="333333"/>
                <w:kern w:val="0"/>
                <w:sz w:val="24"/>
                <w:szCs w:val="24"/>
                <w:shd w:val="clear" w:color="auto" w:fill="FFFFFF"/>
              </w:rPr>
              <w:t>2、效益指标。（1）经济效益：预算经费使用率100%。（2）社会效益：保障在押人员的正常生活，确保监所安全稳定；服务好公检法司等部门的办案需求，保障了刑事诉讼活动顺利进行；警示彰显政府的公信力、执行力；强化了警示教育，提高全民遵纪守法意识。（3）社会公众满意度：社会公众对政府的满意程度95%以上。</w:t>
            </w:r>
          </w:p>
        </w:tc>
      </w:tr>
      <w:tr w14:paraId="1668BF09">
        <w:tblPrEx>
          <w:tblCellMar>
            <w:top w:w="0" w:type="dxa"/>
            <w:left w:w="108" w:type="dxa"/>
            <w:bottom w:w="0" w:type="dxa"/>
            <w:right w:w="108" w:type="dxa"/>
          </w:tblCellMar>
        </w:tblPrEx>
        <w:trPr>
          <w:trHeight w:val="1592" w:hRule="atLeast"/>
          <w:jc w:val="center"/>
        </w:trPr>
        <w:tc>
          <w:tcPr>
            <w:tcW w:w="1566" w:type="dxa"/>
            <w:vMerge w:val="restart"/>
            <w:tcBorders>
              <w:top w:val="nil"/>
              <w:left w:val="single" w:color="auto" w:sz="4" w:space="0"/>
              <w:bottom w:val="single" w:color="auto" w:sz="4" w:space="0"/>
              <w:right w:val="single" w:color="auto" w:sz="4" w:space="0"/>
            </w:tcBorders>
            <w:noWrap w:val="0"/>
            <w:vAlign w:val="center"/>
          </w:tcPr>
          <w:p w14:paraId="7E128EF3">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存在的问题分析及改进措施</w:t>
            </w:r>
          </w:p>
        </w:tc>
        <w:tc>
          <w:tcPr>
            <w:tcW w:w="1984" w:type="dxa"/>
            <w:tcBorders>
              <w:top w:val="single" w:color="auto" w:sz="4" w:space="0"/>
              <w:left w:val="nil"/>
              <w:bottom w:val="single" w:color="auto" w:sz="4" w:space="0"/>
              <w:right w:val="single" w:color="auto" w:sz="4" w:space="0"/>
            </w:tcBorders>
            <w:noWrap w:val="0"/>
            <w:vAlign w:val="center"/>
          </w:tcPr>
          <w:p w14:paraId="68AE701D">
            <w:pPr>
              <w:spacing w:line="576" w:lineRule="exact"/>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存在的问题</w:t>
            </w:r>
          </w:p>
        </w:tc>
        <w:tc>
          <w:tcPr>
            <w:tcW w:w="5673" w:type="dxa"/>
            <w:tcBorders>
              <w:top w:val="single" w:color="auto" w:sz="4" w:space="0"/>
              <w:left w:val="nil"/>
              <w:bottom w:val="single" w:color="auto" w:sz="4" w:space="0"/>
              <w:right w:val="single" w:color="auto" w:sz="4" w:space="0"/>
            </w:tcBorders>
            <w:noWrap w:val="0"/>
            <w:vAlign w:val="center"/>
          </w:tcPr>
          <w:p w14:paraId="4CF9B333">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1、20</w:t>
            </w:r>
            <w:r>
              <w:rPr>
                <w:rFonts w:hint="eastAsia" w:ascii="仿宋" w:hAnsi="仿宋" w:eastAsia="仿宋" w:cs="仿宋"/>
                <w:kern w:val="0"/>
                <w:sz w:val="24"/>
                <w:szCs w:val="24"/>
                <w:lang w:val="en-US" w:eastAsia="zh-CN"/>
              </w:rPr>
              <w:t>22</w:t>
            </w:r>
            <w:r>
              <w:rPr>
                <w:rFonts w:hint="eastAsia" w:ascii="仿宋" w:hAnsi="仿宋" w:eastAsia="仿宋" w:cs="仿宋"/>
                <w:kern w:val="0"/>
                <w:sz w:val="24"/>
                <w:szCs w:val="24"/>
              </w:rPr>
              <w:t>年绩效目标申报仅对预算的</w:t>
            </w:r>
            <w:r>
              <w:rPr>
                <w:rFonts w:hint="eastAsia" w:ascii="仿宋" w:hAnsi="仿宋" w:eastAsia="仿宋" w:cs="仿宋"/>
                <w:kern w:val="0"/>
                <w:sz w:val="24"/>
                <w:szCs w:val="24"/>
                <w:lang w:val="en-US" w:eastAsia="zh-CN"/>
              </w:rPr>
              <w:t>355</w:t>
            </w:r>
            <w:r>
              <w:rPr>
                <w:rFonts w:hint="eastAsia" w:ascii="仿宋" w:hAnsi="仿宋" w:eastAsia="仿宋" w:cs="仿宋"/>
                <w:kern w:val="0"/>
                <w:sz w:val="24"/>
                <w:szCs w:val="24"/>
              </w:rPr>
              <w:t>万元进行申报，因而专项工作经费支出产生了偏差；</w:t>
            </w:r>
          </w:p>
          <w:p w14:paraId="560A3CE3">
            <w:pPr>
              <w:widowControl/>
              <w:spacing w:line="360" w:lineRule="auto"/>
              <w:ind w:firstLine="480" w:firstLineChars="200"/>
              <w:jc w:val="left"/>
              <w:rPr>
                <w:rFonts w:hint="eastAsia" w:ascii="仿宋" w:hAnsi="仿宋" w:eastAsia="仿宋" w:cs="仿宋"/>
                <w:sz w:val="24"/>
                <w:szCs w:val="24"/>
                <w:lang w:val="en-US"/>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rPr>
              <w:t>本着厉行节约原则，规范支出，紧缩开支，因而部份支出减少。</w:t>
            </w:r>
          </w:p>
        </w:tc>
      </w:tr>
      <w:tr w14:paraId="0A0B5EFD">
        <w:tblPrEx>
          <w:tblCellMar>
            <w:top w:w="0" w:type="dxa"/>
            <w:left w:w="108" w:type="dxa"/>
            <w:bottom w:w="0" w:type="dxa"/>
            <w:right w:w="108" w:type="dxa"/>
          </w:tblCellMar>
        </w:tblPrEx>
        <w:trPr>
          <w:trHeight w:val="169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14:paraId="32B7B4F7">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14:paraId="2E0DEEFF">
            <w:pPr>
              <w:spacing w:line="576" w:lineRule="exact"/>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改进措施</w:t>
            </w:r>
          </w:p>
        </w:tc>
        <w:tc>
          <w:tcPr>
            <w:tcW w:w="5673" w:type="dxa"/>
            <w:tcBorders>
              <w:top w:val="single" w:color="auto" w:sz="4" w:space="0"/>
              <w:left w:val="nil"/>
              <w:bottom w:val="single" w:color="auto" w:sz="4" w:space="0"/>
              <w:right w:val="single" w:color="auto" w:sz="4" w:space="0"/>
            </w:tcBorders>
            <w:noWrap w:val="0"/>
            <w:vAlign w:val="center"/>
          </w:tcPr>
          <w:p w14:paraId="26C6B263">
            <w:pPr>
              <w:widowControl/>
              <w:shd w:val="clear" w:color="auto" w:fill="FFFFFF"/>
              <w:spacing w:line="360" w:lineRule="auto"/>
              <w:ind w:firstLine="480" w:firstLineChars="200"/>
              <w:jc w:val="both"/>
              <w:rPr>
                <w:rFonts w:hint="eastAsia" w:ascii="仿宋" w:hAnsi="仿宋" w:eastAsia="仿宋" w:cs="仿宋"/>
                <w:kern w:val="0"/>
                <w:sz w:val="24"/>
                <w:szCs w:val="24"/>
              </w:rPr>
            </w:pPr>
            <w:r>
              <w:rPr>
                <w:rFonts w:hint="eastAsia" w:ascii="仿宋" w:hAnsi="仿宋" w:eastAsia="仿宋" w:cs="仿宋"/>
                <w:kern w:val="0"/>
                <w:sz w:val="24"/>
                <w:szCs w:val="24"/>
              </w:rPr>
              <w:t>1、加强预算管理，降低偏差；</w:t>
            </w:r>
          </w:p>
          <w:p w14:paraId="0376C746">
            <w:pPr>
              <w:widowControl/>
              <w:shd w:val="clear" w:color="auto" w:fill="FFFFFF"/>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2、进一步规范支出，节约财政资金；</w:t>
            </w:r>
          </w:p>
          <w:p w14:paraId="3EEFCCAF">
            <w:pPr>
              <w:widowControl/>
              <w:shd w:val="clear" w:color="auto" w:fill="FFFFFF"/>
              <w:spacing w:line="360" w:lineRule="auto"/>
              <w:ind w:firstLine="480" w:firstLineChars="200"/>
              <w:jc w:val="left"/>
              <w:rPr>
                <w:rFonts w:hint="eastAsia" w:ascii="仿宋" w:hAnsi="仿宋" w:eastAsia="仿宋" w:cs="仿宋"/>
                <w:sz w:val="24"/>
                <w:szCs w:val="24"/>
                <w:lang w:val="en-US"/>
              </w:rPr>
            </w:pPr>
            <w:r>
              <w:rPr>
                <w:rFonts w:hint="eastAsia" w:ascii="仿宋" w:hAnsi="仿宋" w:eastAsia="仿宋" w:cs="仿宋"/>
                <w:kern w:val="0"/>
                <w:sz w:val="24"/>
                <w:szCs w:val="24"/>
              </w:rPr>
              <w:t>3、加强财务知识学习，规范财务管理。</w:t>
            </w:r>
          </w:p>
        </w:tc>
      </w:tr>
      <w:tr w14:paraId="5009A804">
        <w:tblPrEx>
          <w:tblCellMar>
            <w:top w:w="0" w:type="dxa"/>
            <w:left w:w="108" w:type="dxa"/>
            <w:bottom w:w="0" w:type="dxa"/>
            <w:right w:w="108" w:type="dxa"/>
          </w:tblCellMar>
        </w:tblPrEx>
        <w:trPr>
          <w:trHeight w:val="150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14:paraId="043D7CDD">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14:paraId="0FEFBA31">
            <w:pPr>
              <w:spacing w:line="576" w:lineRule="exact"/>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其他需要说明问题</w:t>
            </w:r>
          </w:p>
        </w:tc>
        <w:tc>
          <w:tcPr>
            <w:tcW w:w="5673" w:type="dxa"/>
            <w:tcBorders>
              <w:top w:val="single" w:color="auto" w:sz="4" w:space="0"/>
              <w:left w:val="nil"/>
              <w:bottom w:val="single" w:color="auto" w:sz="4" w:space="0"/>
              <w:right w:val="single" w:color="auto" w:sz="4" w:space="0"/>
            </w:tcBorders>
            <w:noWrap w:val="0"/>
            <w:vAlign w:val="center"/>
          </w:tcPr>
          <w:p w14:paraId="5D0707C3">
            <w:pPr>
              <w:keepNext w:val="0"/>
              <w:keepLines w:val="0"/>
              <w:widowControl w:val="0"/>
              <w:suppressLineNumbers w:val="0"/>
              <w:spacing w:before="0" w:beforeAutospacing="0" w:after="0" w:afterAutospacing="0" w:line="360" w:lineRule="auto"/>
              <w:ind w:left="0" w:right="879" w:rightChars="419"/>
              <w:jc w:val="left"/>
              <w:rPr>
                <w:rFonts w:hint="eastAsia" w:ascii="仿宋" w:hAnsi="仿宋" w:eastAsia="仿宋" w:cs="仿宋"/>
                <w:sz w:val="24"/>
                <w:szCs w:val="24"/>
                <w:lang w:val="en-US"/>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随着社会经济的发展，人民生活水平和物价的提高，在押人员给养费标准远远低于本地物价水平的发展，公务行政成本也不断提高，看守所年关押量逐年增加，房屋设备逐年老化，要保证看守所正常运转所必</w:t>
            </w:r>
            <w:r>
              <w:rPr>
                <w:rFonts w:hint="eastAsia" w:ascii="仿宋" w:hAnsi="仿宋" w:eastAsia="仿宋" w:cs="仿宋"/>
                <w:sz w:val="24"/>
                <w:szCs w:val="24"/>
                <w:lang w:eastAsia="zh-CN"/>
              </w:rPr>
              <w:t>需</w:t>
            </w:r>
            <w:r>
              <w:rPr>
                <w:rFonts w:hint="eastAsia" w:ascii="仿宋" w:hAnsi="仿宋" w:eastAsia="仿宋" w:cs="仿宋"/>
                <w:sz w:val="24"/>
                <w:szCs w:val="24"/>
              </w:rPr>
              <w:t>的专项经费还存在相当大的缺口，建议适当增加看守所专项经费预算。</w:t>
            </w:r>
          </w:p>
        </w:tc>
      </w:tr>
    </w:tbl>
    <w:p w14:paraId="67152F05">
      <w:pPr>
        <w:jc w:val="center"/>
        <w:rPr>
          <w:rFonts w:hint="eastAsia" w:ascii="宋体" w:hAnsi="宋体" w:eastAsia="宋体" w:cs="宋体"/>
          <w:b/>
          <w:bCs/>
          <w:color w:val="000000"/>
          <w:kern w:val="0"/>
          <w:sz w:val="44"/>
          <w:szCs w:val="44"/>
        </w:rPr>
      </w:pPr>
      <w:r>
        <w:rPr>
          <w:rFonts w:hint="default" w:ascii="仿宋_GB2312" w:hAnsi="宋体" w:eastAsia="仿宋_GB2312" w:cs="宋体"/>
          <w:kern w:val="0"/>
          <w:sz w:val="32"/>
          <w:szCs w:val="32"/>
          <w:lang w:val="en-US" w:eastAsia="zh-CN" w:bidi="ar"/>
        </w:rPr>
        <w:t xml:space="preserve"> </w:t>
      </w:r>
    </w:p>
    <w:p w14:paraId="3FB52E61">
      <w:pPr>
        <w:keepNext w:val="0"/>
        <w:keepLines w:val="0"/>
        <w:widowControl w:val="0"/>
        <w:suppressLineNumbers w:val="0"/>
        <w:spacing w:before="0" w:beforeAutospacing="0" w:after="0" w:afterAutospacing="0" w:line="560" w:lineRule="exact"/>
        <w:ind w:left="0" w:right="0"/>
        <w:jc w:val="both"/>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51016"/>
    <w:multiLevelType w:val="singleLevel"/>
    <w:tmpl w:val="86C51016"/>
    <w:lvl w:ilvl="0" w:tentative="0">
      <w:start w:val="10"/>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zBiNWZmNzg2YjE3YTNkNGE1ZTA2NWE4MWI0NGI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34D4E02"/>
    <w:rsid w:val="040273C7"/>
    <w:rsid w:val="04620670"/>
    <w:rsid w:val="07353815"/>
    <w:rsid w:val="07D714C1"/>
    <w:rsid w:val="095C0737"/>
    <w:rsid w:val="0B46744A"/>
    <w:rsid w:val="0BB401FC"/>
    <w:rsid w:val="0BC55049"/>
    <w:rsid w:val="0D1F46AC"/>
    <w:rsid w:val="0D282745"/>
    <w:rsid w:val="0F21463B"/>
    <w:rsid w:val="10436F90"/>
    <w:rsid w:val="11A14B00"/>
    <w:rsid w:val="1217123B"/>
    <w:rsid w:val="14CE1D56"/>
    <w:rsid w:val="16A728D3"/>
    <w:rsid w:val="16C12734"/>
    <w:rsid w:val="17E90E2A"/>
    <w:rsid w:val="19743823"/>
    <w:rsid w:val="1A947BE6"/>
    <w:rsid w:val="1BBB1329"/>
    <w:rsid w:val="1C7A60C9"/>
    <w:rsid w:val="1CD9106D"/>
    <w:rsid w:val="1D04501B"/>
    <w:rsid w:val="1D1D100A"/>
    <w:rsid w:val="1E7C040F"/>
    <w:rsid w:val="1F727D74"/>
    <w:rsid w:val="1F8F2F1E"/>
    <w:rsid w:val="210F74DE"/>
    <w:rsid w:val="21EE1334"/>
    <w:rsid w:val="222101F7"/>
    <w:rsid w:val="23DA443F"/>
    <w:rsid w:val="26CC7C68"/>
    <w:rsid w:val="27114F1E"/>
    <w:rsid w:val="284E65ED"/>
    <w:rsid w:val="2A0021F0"/>
    <w:rsid w:val="2E215B46"/>
    <w:rsid w:val="2EF13DD7"/>
    <w:rsid w:val="30C15F9C"/>
    <w:rsid w:val="30DF01E6"/>
    <w:rsid w:val="310174B4"/>
    <w:rsid w:val="31803F0C"/>
    <w:rsid w:val="321150C9"/>
    <w:rsid w:val="358E51DC"/>
    <w:rsid w:val="37A023AA"/>
    <w:rsid w:val="37A620B8"/>
    <w:rsid w:val="3A0348BA"/>
    <w:rsid w:val="3B31758B"/>
    <w:rsid w:val="3C705786"/>
    <w:rsid w:val="3D3834ED"/>
    <w:rsid w:val="3E6352D3"/>
    <w:rsid w:val="3F81382D"/>
    <w:rsid w:val="415F1098"/>
    <w:rsid w:val="42D20951"/>
    <w:rsid w:val="432C7C75"/>
    <w:rsid w:val="432F3BA5"/>
    <w:rsid w:val="45D5014C"/>
    <w:rsid w:val="474B2221"/>
    <w:rsid w:val="4AC60DBD"/>
    <w:rsid w:val="4B3F553C"/>
    <w:rsid w:val="4C352402"/>
    <w:rsid w:val="4C4706D5"/>
    <w:rsid w:val="4D895128"/>
    <w:rsid w:val="4E273A9C"/>
    <w:rsid w:val="50474601"/>
    <w:rsid w:val="51066D8E"/>
    <w:rsid w:val="514314C8"/>
    <w:rsid w:val="52C67A99"/>
    <w:rsid w:val="5538795D"/>
    <w:rsid w:val="55851DF3"/>
    <w:rsid w:val="573F4C1F"/>
    <w:rsid w:val="58320129"/>
    <w:rsid w:val="58FD4D7C"/>
    <w:rsid w:val="5BAD2DED"/>
    <w:rsid w:val="5CAA564F"/>
    <w:rsid w:val="5CEA2902"/>
    <w:rsid w:val="5F0E3023"/>
    <w:rsid w:val="601D7B53"/>
    <w:rsid w:val="60204897"/>
    <w:rsid w:val="60AA46B8"/>
    <w:rsid w:val="623D0A2B"/>
    <w:rsid w:val="625D523F"/>
    <w:rsid w:val="695D25E0"/>
    <w:rsid w:val="6A000404"/>
    <w:rsid w:val="6D46427E"/>
    <w:rsid w:val="6E1D6DE4"/>
    <w:rsid w:val="6EB05D4F"/>
    <w:rsid w:val="6F656A84"/>
    <w:rsid w:val="70002EB0"/>
    <w:rsid w:val="70160F96"/>
    <w:rsid w:val="73A4154F"/>
    <w:rsid w:val="73EB36FB"/>
    <w:rsid w:val="740D5678"/>
    <w:rsid w:val="76E14E07"/>
    <w:rsid w:val="777D1927"/>
    <w:rsid w:val="779030FD"/>
    <w:rsid w:val="7CE84274"/>
    <w:rsid w:val="7F5F42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0"/>
  </w:style>
  <w:style w:type="character" w:customStyle="1" w:styleId="10">
    <w:name w:val="Header Char"/>
    <w:basedOn w:val="8"/>
    <w:link w:val="5"/>
    <w:qFormat/>
    <w:locked/>
    <w:uiPriority w:val="99"/>
    <w:rPr>
      <w:sz w:val="18"/>
      <w:szCs w:val="18"/>
    </w:rPr>
  </w:style>
  <w:style w:type="character" w:customStyle="1" w:styleId="11">
    <w:name w:val="Footer Char"/>
    <w:basedOn w:val="8"/>
    <w:link w:val="4"/>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3">
    <w:name w:val="List Paragraph"/>
    <w:basedOn w:val="1"/>
    <w:qFormat/>
    <w:uiPriority w:val="99"/>
    <w:pPr>
      <w:ind w:firstLine="420" w:firstLineChars="200"/>
    </w:pPr>
  </w:style>
  <w:style w:type="character" w:customStyle="1" w:styleId="14">
    <w:name w:val="Balloon Text Char"/>
    <w:basedOn w:val="8"/>
    <w:link w:val="3"/>
    <w:semiHidden/>
    <w:qFormat/>
    <w:locked/>
    <w:uiPriority w:val="99"/>
    <w:rPr>
      <w:sz w:val="18"/>
      <w:szCs w:val="18"/>
    </w:rPr>
  </w:style>
  <w:style w:type="paragraph" w:customStyle="1" w:styleId="15">
    <w:name w:val="List Paragraph1"/>
    <w:basedOn w:val="1"/>
    <w:qFormat/>
    <w:uiPriority w:val="99"/>
    <w:pPr>
      <w:ind w:firstLine="420" w:firstLineChars="200"/>
    </w:pPr>
  </w:style>
  <w:style w:type="paragraph" w:styleId="16">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26</Pages>
  <Words>8435</Words>
  <Characters>9378</Characters>
  <Lines>0</Lines>
  <Paragraphs>0</Paragraphs>
  <TotalTime>0</TotalTime>
  <ScaleCrop>false</ScaleCrop>
  <LinksUpToDate>false</LinksUpToDate>
  <CharactersWithSpaces>10509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°Cn.</cp:lastModifiedBy>
  <cp:lastPrinted>2021-07-28T00:12:00Z</cp:lastPrinted>
  <dcterms:modified xsi:type="dcterms:W3CDTF">2024-08-29T07:25:18Z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2052-12.1.0.17827</vt:lpwstr>
  </property>
  <property fmtid="{D5CDD505-2E9C-101B-9397-08002B2CF9AE}" pid="4" name="ICV">
    <vt:lpwstr>7C2A466CC6864E98B8DA424C198C19D0</vt:lpwstr>
  </property>
</Properties>
</file>