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F7F25">
      <w:pPr>
        <w:spacing w:beforeLines="100" w:line="600" w:lineRule="exact"/>
        <w:jc w:val="center"/>
        <w:rPr>
          <w:rFonts w:ascii="黑体" w:hAnsi="黑体" w:eastAsia="黑体"/>
          <w:sz w:val="52"/>
          <w:szCs w:val="52"/>
        </w:rPr>
      </w:pPr>
      <w:r>
        <w:rPr>
          <w:rFonts w:ascii="黑体" w:hAnsi="黑体" w:eastAsia="黑体"/>
          <w:sz w:val="52"/>
          <w:szCs w:val="52"/>
        </w:rPr>
        <w:t>202</w:t>
      </w:r>
      <w:r>
        <w:rPr>
          <w:rFonts w:hint="eastAsia" w:ascii="黑体" w:hAnsi="黑体" w:eastAsia="黑体"/>
          <w:sz w:val="52"/>
          <w:szCs w:val="52"/>
        </w:rPr>
        <w:t>2</w:t>
      </w:r>
      <w:r>
        <w:rPr>
          <w:rFonts w:ascii="黑体" w:hAnsi="黑体" w:eastAsia="黑体"/>
          <w:sz w:val="52"/>
          <w:szCs w:val="52"/>
        </w:rPr>
        <w:t>年</w:t>
      </w:r>
      <w:r>
        <w:rPr>
          <w:rFonts w:hint="eastAsia" w:ascii="黑体" w:hAnsi="黑体" w:eastAsia="黑体"/>
          <w:sz w:val="52"/>
          <w:szCs w:val="52"/>
        </w:rPr>
        <w:t>度水利建设</w:t>
      </w:r>
      <w:r>
        <w:rPr>
          <w:rFonts w:ascii="黑体" w:hAnsi="黑体" w:eastAsia="黑体"/>
          <w:sz w:val="52"/>
          <w:szCs w:val="52"/>
        </w:rPr>
        <w:t>项目</w:t>
      </w:r>
    </w:p>
    <w:p w14:paraId="5F482FBB">
      <w:pPr>
        <w:spacing w:beforeLines="100" w:line="600" w:lineRule="exact"/>
        <w:jc w:val="center"/>
        <w:rPr>
          <w:rFonts w:ascii="黑体" w:hAnsi="黑体" w:eastAsia="黑体"/>
          <w:sz w:val="52"/>
          <w:szCs w:val="52"/>
        </w:rPr>
      </w:pPr>
      <w:r>
        <w:rPr>
          <w:rFonts w:ascii="黑体" w:hAnsi="黑体" w:eastAsia="黑体"/>
          <w:sz w:val="52"/>
          <w:szCs w:val="52"/>
        </w:rPr>
        <w:t>绩效</w:t>
      </w:r>
      <w:r>
        <w:rPr>
          <w:rFonts w:hint="eastAsia" w:ascii="黑体" w:hAnsi="黑体" w:eastAsia="黑体"/>
          <w:sz w:val="52"/>
          <w:szCs w:val="52"/>
        </w:rPr>
        <w:t>自评</w:t>
      </w:r>
      <w:r>
        <w:rPr>
          <w:rFonts w:ascii="黑体" w:hAnsi="黑体" w:eastAsia="黑体"/>
          <w:sz w:val="52"/>
          <w:szCs w:val="52"/>
        </w:rPr>
        <w:t>报告</w:t>
      </w:r>
    </w:p>
    <w:p w14:paraId="4EDAAFF3">
      <w:pPr>
        <w:spacing w:beforeLines="100" w:line="600" w:lineRule="exact"/>
        <w:ind w:firstLine="720"/>
        <w:jc w:val="center"/>
        <w:rPr>
          <w:rFonts w:ascii="黑体" w:hAnsi="黑体" w:eastAsia="黑体"/>
          <w:sz w:val="44"/>
          <w:szCs w:val="44"/>
        </w:rPr>
      </w:pPr>
    </w:p>
    <w:p w14:paraId="31343FF6">
      <w:pPr>
        <w:pStyle w:val="12"/>
        <w:spacing w:line="560" w:lineRule="exact"/>
        <w:ind w:firstLine="640" w:firstLineChars="200"/>
        <w:jc w:val="left"/>
        <w:rPr>
          <w:rFonts w:ascii="仿宋_GB2312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加强财政支出管理，提高财政资金使用效益，依据湖南省委办公厅、湖南省人民政府办公厅《关于全面实施预算绩效管理的实施意见》（湘办发〔2019〕10号）、湘潭县财政局《湘潭县2022年度预算绩效管理工作方案》（潭财发</w:t>
      </w:r>
      <w:r>
        <w:rPr>
          <w:rFonts w:ascii="仿宋" w:hAnsi="仿宋" w:eastAsia="仿宋"/>
          <w:sz w:val="32"/>
          <w:szCs w:val="32"/>
        </w:rPr>
        <w:t>[20</w:t>
      </w:r>
      <w:r>
        <w:rPr>
          <w:rFonts w:hint="eastAsia" w:ascii="仿宋" w:hAnsi="仿宋" w:eastAsia="仿宋"/>
          <w:sz w:val="32"/>
          <w:szCs w:val="32"/>
        </w:rPr>
        <w:t>22</w:t>
      </w:r>
      <w:r>
        <w:rPr>
          <w:rFonts w:ascii="仿宋" w:hAnsi="仿宋" w:eastAsia="仿宋"/>
          <w:sz w:val="32"/>
          <w:szCs w:val="32"/>
        </w:rPr>
        <w:t>]</w:t>
      </w:r>
      <w:r>
        <w:rPr>
          <w:rFonts w:hint="eastAsia" w:ascii="仿宋" w:hAnsi="仿宋" w:eastAsia="仿宋"/>
          <w:sz w:val="32"/>
          <w:szCs w:val="32"/>
        </w:rPr>
        <w:t>9号）等文件要求，</w:t>
      </w:r>
      <w:r>
        <w:rPr>
          <w:rFonts w:hint="eastAsia" w:ascii="仿宋_GB2312" w:hAnsi="仿宋" w:eastAsia="仿宋"/>
          <w:kern w:val="0"/>
          <w:sz w:val="32"/>
          <w:szCs w:val="32"/>
        </w:rPr>
        <w:t>我局对2022年水利建设资金使用管理工作开展了自我绩效评价，形成自评报告。</w:t>
      </w:r>
    </w:p>
    <w:p w14:paraId="11374A1C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一、项目概况</w:t>
      </w:r>
    </w:p>
    <w:p w14:paraId="148DF3F9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（一）项目单位基本情况。</w:t>
      </w:r>
    </w:p>
    <w:p w14:paraId="51AA8EBD">
      <w:pPr>
        <w:pStyle w:val="12"/>
        <w:spacing w:line="600" w:lineRule="exact"/>
        <w:ind w:firstLine="640" w:firstLineChars="200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ascii="仿宋" w:hAnsi="仿宋" w:eastAsia="仿宋"/>
          <w:color w:val="000000"/>
          <w:kern w:val="0"/>
          <w:sz w:val="32"/>
          <w:szCs w:val="32"/>
        </w:rPr>
        <w:t>湘潭县水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利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局位于湘潭县易俗河凤凰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中路288号，是湘潭县人民政府水行政主管部门。为县人民政府组成局，水利局共有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8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个内设机构、8个事业单位，下辖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个中型水管单位在编人数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131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人、在职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148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人，车辆编制数2辆，实有2辆，其中执法车辆1辆。</w:t>
      </w:r>
    </w:p>
    <w:p w14:paraId="796B21BA">
      <w:pPr>
        <w:pStyle w:val="12"/>
        <w:ind w:right="-328" w:rightChars="-156"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湘潭县水利局</w:t>
      </w:r>
      <w:r>
        <w:rPr>
          <w:rFonts w:ascii="仿宋" w:hAnsi="仿宋" w:eastAsia="仿宋"/>
          <w:kern w:val="0"/>
          <w:sz w:val="32"/>
          <w:szCs w:val="32"/>
        </w:rPr>
        <w:t>主要负责</w:t>
      </w:r>
      <w:r>
        <w:rPr>
          <w:rFonts w:hint="eastAsia" w:ascii="仿宋" w:hAnsi="仿宋" w:eastAsia="仿宋"/>
          <w:kern w:val="0"/>
          <w:sz w:val="32"/>
          <w:szCs w:val="32"/>
        </w:rPr>
        <w:t>全</w:t>
      </w:r>
      <w:r>
        <w:rPr>
          <w:rFonts w:ascii="仿宋" w:hAnsi="仿宋" w:eastAsia="仿宋"/>
          <w:kern w:val="0"/>
          <w:sz w:val="32"/>
          <w:szCs w:val="32"/>
        </w:rPr>
        <w:t>县各类水利工程规划、设计、施工、质监和节水灌溉综合经营</w:t>
      </w:r>
      <w:r>
        <w:rPr>
          <w:rFonts w:hint="eastAsia" w:ascii="仿宋" w:hAnsi="仿宋" w:eastAsia="仿宋"/>
          <w:kern w:val="0"/>
          <w:sz w:val="32"/>
          <w:szCs w:val="32"/>
        </w:rPr>
        <w:t>；移民后扶管理；</w:t>
      </w:r>
      <w:r>
        <w:rPr>
          <w:rFonts w:ascii="仿宋" w:hAnsi="仿宋" w:eastAsia="仿宋"/>
          <w:kern w:val="0"/>
          <w:sz w:val="32"/>
          <w:szCs w:val="32"/>
        </w:rPr>
        <w:t>抓好</w:t>
      </w:r>
      <w:r>
        <w:rPr>
          <w:rFonts w:hint="eastAsia" w:ascii="仿宋" w:hAnsi="仿宋" w:eastAsia="仿宋"/>
          <w:kern w:val="0"/>
          <w:sz w:val="32"/>
          <w:szCs w:val="32"/>
        </w:rPr>
        <w:t>水旱灾害防御</w:t>
      </w:r>
      <w:r>
        <w:rPr>
          <w:rFonts w:ascii="仿宋" w:hAnsi="仿宋" w:eastAsia="仿宋"/>
          <w:kern w:val="0"/>
          <w:sz w:val="32"/>
          <w:szCs w:val="32"/>
        </w:rPr>
        <w:t>、水资源</w:t>
      </w:r>
      <w:r>
        <w:rPr>
          <w:rFonts w:hint="eastAsia" w:ascii="仿宋" w:hAnsi="仿宋" w:eastAsia="仿宋"/>
          <w:kern w:val="0"/>
          <w:sz w:val="32"/>
          <w:szCs w:val="32"/>
        </w:rPr>
        <w:t>管</w:t>
      </w:r>
      <w:r>
        <w:rPr>
          <w:rFonts w:ascii="仿宋" w:hAnsi="仿宋" w:eastAsia="仿宋"/>
          <w:kern w:val="0"/>
          <w:sz w:val="32"/>
          <w:szCs w:val="32"/>
        </w:rPr>
        <w:t>理、河道清障、水政执法、水土保持、城镇供水、农村安全饮水工程、支干渠整修，增加水利蓄水、引、提水的能力。</w:t>
      </w:r>
    </w:p>
    <w:p w14:paraId="577D0BD9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（二）项目资金基本情况包括预算资金基本性质、用途和主要内容、涉及范围等。</w:t>
      </w:r>
    </w:p>
    <w:p w14:paraId="330BBC11">
      <w:pPr>
        <w:pStyle w:val="12"/>
        <w:spacing w:line="560" w:lineRule="exact"/>
        <w:ind w:firstLine="640" w:firstLineChars="200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2022年财政共计下达水利建设资金共计200万元，主要用于我县水利薄弱环节治理。</w:t>
      </w:r>
    </w:p>
    <w:p w14:paraId="402E6CA3">
      <w:pPr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全县共计完成17个乡镇61个村薄弱环节治理，山塘、渠道清淤3.4万方，山塘防渗8053平方米，渠道整修硬化1253米。</w:t>
      </w:r>
    </w:p>
    <w:p w14:paraId="23EE1D40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二、项目资金使用及管理情况</w:t>
      </w:r>
    </w:p>
    <w:p w14:paraId="112C0987">
      <w:pPr>
        <w:adjustRightInd w:val="0"/>
        <w:snapToGrid w:val="0"/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（一）项目资金及自筹资金的安排落实、总投入等情况。</w:t>
      </w:r>
    </w:p>
    <w:p w14:paraId="403C2221"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水利建设资金共计到位200万元，到位率100%。</w:t>
      </w:r>
    </w:p>
    <w:p w14:paraId="153103BB">
      <w:pPr>
        <w:adjustRightInd w:val="0"/>
        <w:snapToGrid w:val="0"/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（二）项目资金实际使用情况。</w:t>
      </w:r>
    </w:p>
    <w:p w14:paraId="7011DF32"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水利建设资金共计支出200万元，预算执行率为100%。</w:t>
      </w:r>
    </w:p>
    <w:p w14:paraId="48F19D38">
      <w:pPr>
        <w:adjustRightInd w:val="0"/>
        <w:snapToGrid w:val="0"/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（三）项目资金管理情况分析，主要包括管理制度、办法的制订及执行情况。</w:t>
      </w:r>
    </w:p>
    <w:p w14:paraId="32048A14"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为确保依法依规使用项目资金、规范项目管理，我局实行了项目专项管理，专项核算，严格专项资金专款专用；健全了项目资金管理制度，明确资金使用审批权限和程序，确保专项资金规范使用。</w:t>
      </w:r>
    </w:p>
    <w:p w14:paraId="4F22E98C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三、项目资金组织实施情况</w:t>
      </w:r>
    </w:p>
    <w:p w14:paraId="757F19C0">
      <w:pPr>
        <w:ind w:firstLine="640"/>
        <w:rPr>
          <w:rFonts w:ascii="仿宋_GB2312" w:hAnsi="华文仿宋" w:cs="Times New Roman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薄弱环节治理项目由村级组织实施，乡镇人民政府农业综合服务中心</w:t>
      </w:r>
      <w:r>
        <w:rPr>
          <w:rFonts w:hint="eastAsia" w:ascii="仿宋" w:hAnsi="仿宋" w:eastAsia="仿宋" w:cs="Times New Roman"/>
          <w:bCs/>
          <w:sz w:val="32"/>
          <w:szCs w:val="32"/>
        </w:rPr>
        <w:t>监</w:t>
      </w:r>
      <w:r>
        <w:rPr>
          <w:rFonts w:hint="eastAsia" w:ascii="仿宋" w:hAnsi="仿宋" w:eastAsia="仿宋" w:cs="Times New Roman"/>
          <w:sz w:val="32"/>
          <w:szCs w:val="32"/>
        </w:rPr>
        <w:t>管，在项目的实施过程中县水利局不定期进行检查监督。</w:t>
      </w:r>
    </w:p>
    <w:p w14:paraId="7DE80785"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009E02F1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</w:p>
    <w:p w14:paraId="067F4FF2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四、项目资金绩效情况</w:t>
      </w:r>
    </w:p>
    <w:p w14:paraId="7C67981C">
      <w:pPr>
        <w:pStyle w:val="12"/>
        <w:spacing w:line="560" w:lineRule="exact"/>
        <w:ind w:firstLine="640" w:firstLineChars="200"/>
        <w:jc w:val="left"/>
        <w:rPr>
          <w:rFonts w:ascii="仿宋" w:hAnsi="仿宋" w:eastAsia="仿宋" w:cs="仿宋_GB2312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至2022年12月底共计完成17个乡镇61个村薄弱环节治理，山塘、渠道清淤3.4万方，山塘防渗8053平方米，渠道整修硬化1253米。项目完成率100%，群众满意率90%。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根据《绩效评价指标》进行自我评分，得分95分，财政支出绩效为“优秀”。</w:t>
      </w:r>
    </w:p>
    <w:p w14:paraId="2E12D546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五、主要经验做法、存在的问题及原因分析</w:t>
      </w:r>
    </w:p>
    <w:p w14:paraId="748D7724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该项目从申报到实施全部按要求在县政府门户网站进行了公示。</w:t>
      </w:r>
    </w:p>
    <w:p w14:paraId="4720D383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六、其他需要说明的问题</w:t>
      </w:r>
    </w:p>
    <w:p w14:paraId="6EE3602A"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将结合本次绩效评价的结果对水利建设资金实施主体进行绩效评价，评价不合格的主体将纳入黑名单，评价优异者将优先获得项目的支持。</w:t>
      </w:r>
    </w:p>
    <w:p w14:paraId="3259640B">
      <w:pPr>
        <w:adjustRightInd w:val="0"/>
        <w:snapToGrid w:val="0"/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</w:p>
    <w:p w14:paraId="37432DC0">
      <w:pPr>
        <w:adjustRightInd w:val="0"/>
        <w:snapToGrid w:val="0"/>
        <w:spacing w:line="560" w:lineRule="exact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附：1、基础数据表</w:t>
      </w:r>
    </w:p>
    <w:p w14:paraId="1E64DA6A">
      <w:pPr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2、</w:t>
      </w:r>
      <w:r>
        <w:rPr>
          <w:rFonts w:hint="eastAsia" w:ascii="仿宋" w:hAnsi="仿宋" w:eastAsia="仿宋" w:cs="方正小标宋_GBK"/>
          <w:kern w:val="0"/>
          <w:sz w:val="28"/>
          <w:szCs w:val="28"/>
        </w:rPr>
        <w:t>专项支出绩效评价指标评分表</w:t>
      </w:r>
    </w:p>
    <w:p w14:paraId="3CC5D337">
      <w:pPr>
        <w:ind w:right="180"/>
        <w:jc w:val="righ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                </w:t>
      </w:r>
    </w:p>
    <w:p w14:paraId="1C9FB1C5">
      <w:pPr>
        <w:ind w:right="180" w:firstLine="5760" w:firstLineChars="18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>湘潭县</w:t>
      </w:r>
      <w:r>
        <w:rPr>
          <w:rFonts w:hint="eastAsia" w:ascii="仿宋" w:hAnsi="仿宋" w:eastAsia="仿宋" w:cs="Times New Roman"/>
          <w:sz w:val="32"/>
          <w:szCs w:val="32"/>
        </w:rPr>
        <w:t>水利局</w:t>
      </w:r>
    </w:p>
    <w:p w14:paraId="0756A552">
      <w:pPr>
        <w:adjustRightInd w:val="0"/>
        <w:snapToGrid w:val="0"/>
        <w:spacing w:line="560" w:lineRule="exact"/>
        <w:ind w:firstLine="640" w:firstLineChars="200"/>
        <w:jc w:val="left"/>
        <w:rPr>
          <w:rFonts w:ascii="黑体" w:hAnsi="黑体" w:eastAsia="黑体"/>
          <w:kern w:val="0"/>
          <w:sz w:val="32"/>
          <w:szCs w:val="32"/>
        </w:rPr>
      </w:pPr>
    </w:p>
    <w:p w14:paraId="7E4820A7">
      <w:pPr>
        <w:adjustRightInd w:val="0"/>
        <w:snapToGrid w:val="0"/>
        <w:spacing w:line="560" w:lineRule="exact"/>
        <w:ind w:firstLine="640" w:firstLineChars="200"/>
        <w:jc w:val="left"/>
        <w:rPr>
          <w:rFonts w:ascii="黑体" w:hAnsi="黑体" w:eastAsia="黑体"/>
          <w:kern w:val="0"/>
          <w:sz w:val="32"/>
          <w:szCs w:val="32"/>
        </w:rPr>
      </w:pPr>
    </w:p>
    <w:p w14:paraId="7AC69468">
      <w:pPr>
        <w:adjustRightInd w:val="0"/>
        <w:snapToGrid w:val="0"/>
        <w:spacing w:line="560" w:lineRule="exact"/>
        <w:ind w:firstLine="640" w:firstLineChars="200"/>
        <w:jc w:val="left"/>
        <w:rPr>
          <w:rFonts w:ascii="黑体" w:hAnsi="黑体" w:eastAsia="黑体"/>
          <w:kern w:val="0"/>
          <w:sz w:val="32"/>
          <w:szCs w:val="32"/>
        </w:rPr>
      </w:pPr>
      <w:bookmarkStart w:id="0" w:name="_GoBack"/>
      <w:bookmarkEnd w:id="0"/>
    </w:p>
    <w:p w14:paraId="79B0CF91"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</w:p>
    <w:p w14:paraId="642E7A67">
      <w:pPr>
        <w:adjustRightInd w:val="0"/>
        <w:snapToGrid w:val="0"/>
        <w:spacing w:line="56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附表1、基础数据表</w:t>
      </w:r>
    </w:p>
    <w:p w14:paraId="1180CA10">
      <w:pPr>
        <w:adjustRightInd w:val="0"/>
        <w:snapToGrid w:val="0"/>
        <w:spacing w:line="560" w:lineRule="exact"/>
        <w:jc w:val="left"/>
        <w:rPr>
          <w:rFonts w:ascii="黑体" w:hAnsi="黑体" w:eastAsia="黑体"/>
          <w:kern w:val="0"/>
          <w:sz w:val="32"/>
          <w:szCs w:val="32"/>
        </w:rPr>
      </w:pPr>
    </w:p>
    <w:p w14:paraId="3F3EEDAF">
      <w:pPr>
        <w:pStyle w:val="12"/>
        <w:adjustRightInd w:val="0"/>
        <w:snapToGrid w:val="0"/>
        <w:spacing w:line="360" w:lineRule="auto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b/>
          <w:kern w:val="0"/>
          <w:sz w:val="32"/>
          <w:szCs w:val="32"/>
        </w:rPr>
        <w:t>1.水利建设专项资金预算安排情况</w:t>
      </w:r>
    </w:p>
    <w:tbl>
      <w:tblPr>
        <w:tblStyle w:val="6"/>
        <w:tblW w:w="93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7"/>
        <w:gridCol w:w="1559"/>
        <w:gridCol w:w="2058"/>
        <w:gridCol w:w="1801"/>
        <w:gridCol w:w="1559"/>
      </w:tblGrid>
      <w:tr w14:paraId="389E5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2357" w:type="dxa"/>
            <w:vAlign w:val="center"/>
          </w:tcPr>
          <w:p w14:paraId="4D224A2C"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项  目</w:t>
            </w:r>
          </w:p>
        </w:tc>
        <w:tc>
          <w:tcPr>
            <w:tcW w:w="1559" w:type="dxa"/>
            <w:vAlign w:val="center"/>
          </w:tcPr>
          <w:p w14:paraId="50B8EF64">
            <w:pPr>
              <w:adjustRightInd w:val="0"/>
              <w:snapToGrid w:val="0"/>
              <w:ind w:right="174" w:rightChars="83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省级资金（万元）</w:t>
            </w:r>
          </w:p>
        </w:tc>
        <w:tc>
          <w:tcPr>
            <w:tcW w:w="2058" w:type="dxa"/>
            <w:vAlign w:val="center"/>
          </w:tcPr>
          <w:p w14:paraId="66A5FE90">
            <w:pPr>
              <w:adjustRightInd w:val="0"/>
              <w:snapToGrid w:val="0"/>
              <w:ind w:right="174" w:rightChars="83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市级资金（万元）</w:t>
            </w:r>
          </w:p>
        </w:tc>
        <w:tc>
          <w:tcPr>
            <w:tcW w:w="1801" w:type="dxa"/>
            <w:vAlign w:val="center"/>
          </w:tcPr>
          <w:p w14:paraId="2901568D">
            <w:pPr>
              <w:adjustRightInd w:val="0"/>
              <w:snapToGrid w:val="0"/>
              <w:ind w:right="174" w:rightChars="83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县级资金（万元）</w:t>
            </w:r>
          </w:p>
        </w:tc>
        <w:tc>
          <w:tcPr>
            <w:tcW w:w="1559" w:type="dxa"/>
            <w:vAlign w:val="center"/>
          </w:tcPr>
          <w:p w14:paraId="2F63FA62">
            <w:pPr>
              <w:adjustRightInd w:val="0"/>
              <w:snapToGrid w:val="0"/>
              <w:ind w:right="174" w:rightChars="83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合计（万元）</w:t>
            </w:r>
          </w:p>
        </w:tc>
      </w:tr>
      <w:tr w14:paraId="65685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57" w:type="dxa"/>
            <w:vAlign w:val="center"/>
          </w:tcPr>
          <w:p w14:paraId="3A5CAD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DE966B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058" w:type="dxa"/>
          </w:tcPr>
          <w:p w14:paraId="443F9FD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801" w:type="dxa"/>
            <w:vAlign w:val="center"/>
          </w:tcPr>
          <w:p w14:paraId="4BE3B87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200</w:t>
            </w:r>
          </w:p>
        </w:tc>
        <w:tc>
          <w:tcPr>
            <w:tcW w:w="1559" w:type="dxa"/>
            <w:vAlign w:val="center"/>
          </w:tcPr>
          <w:p w14:paraId="5C84A9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200</w:t>
            </w:r>
          </w:p>
        </w:tc>
      </w:tr>
      <w:tr w14:paraId="28368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2357" w:type="dxa"/>
            <w:vAlign w:val="center"/>
          </w:tcPr>
          <w:p w14:paraId="629C02D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合  计</w:t>
            </w:r>
          </w:p>
        </w:tc>
        <w:tc>
          <w:tcPr>
            <w:tcW w:w="1559" w:type="dxa"/>
            <w:vAlign w:val="center"/>
          </w:tcPr>
          <w:p w14:paraId="073B0C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2058" w:type="dxa"/>
          </w:tcPr>
          <w:p w14:paraId="535B5DE5">
            <w:pPr>
              <w:widowControl/>
              <w:adjustRightInd w:val="0"/>
              <w:snapToGrid w:val="0"/>
              <w:ind w:right="174" w:rightChars="83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1801" w:type="dxa"/>
            <w:vAlign w:val="center"/>
          </w:tcPr>
          <w:p w14:paraId="7596E0B0">
            <w:pPr>
              <w:widowControl/>
              <w:adjustRightInd w:val="0"/>
              <w:snapToGrid w:val="0"/>
              <w:ind w:right="174" w:rightChars="83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200</w:t>
            </w:r>
          </w:p>
        </w:tc>
        <w:tc>
          <w:tcPr>
            <w:tcW w:w="1559" w:type="dxa"/>
            <w:vAlign w:val="center"/>
          </w:tcPr>
          <w:p w14:paraId="34CF0C9F">
            <w:pPr>
              <w:widowControl/>
              <w:adjustRightInd w:val="0"/>
              <w:snapToGrid w:val="0"/>
              <w:ind w:right="174" w:rightChars="83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200</w:t>
            </w:r>
          </w:p>
        </w:tc>
      </w:tr>
    </w:tbl>
    <w:p w14:paraId="1C9444DA">
      <w:pPr>
        <w:pStyle w:val="12"/>
        <w:adjustRightInd w:val="0"/>
        <w:snapToGrid w:val="0"/>
        <w:spacing w:line="276" w:lineRule="auto"/>
        <w:ind w:firstLine="643" w:firstLineChars="200"/>
        <w:rPr>
          <w:rFonts w:ascii="宋体" w:hAnsi="宋体"/>
          <w:b/>
          <w:kern w:val="0"/>
          <w:sz w:val="32"/>
          <w:szCs w:val="32"/>
        </w:rPr>
      </w:pPr>
    </w:p>
    <w:p w14:paraId="5CEBE099">
      <w:pPr>
        <w:pStyle w:val="12"/>
        <w:adjustRightInd w:val="0"/>
        <w:snapToGrid w:val="0"/>
        <w:spacing w:line="276" w:lineRule="auto"/>
        <w:ind w:firstLine="643" w:firstLineChars="200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b/>
          <w:kern w:val="0"/>
          <w:sz w:val="32"/>
          <w:szCs w:val="32"/>
        </w:rPr>
        <w:t>2.全年专项资金预算执行情况</w:t>
      </w:r>
    </w:p>
    <w:tbl>
      <w:tblPr>
        <w:tblStyle w:val="6"/>
        <w:tblW w:w="9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2"/>
        <w:gridCol w:w="1635"/>
        <w:gridCol w:w="1703"/>
        <w:gridCol w:w="1688"/>
        <w:gridCol w:w="1549"/>
      </w:tblGrid>
      <w:tr w14:paraId="494FF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2672" w:type="dxa"/>
            <w:vAlign w:val="center"/>
          </w:tcPr>
          <w:p w14:paraId="7B0C3B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项  目</w:t>
            </w:r>
          </w:p>
        </w:tc>
        <w:tc>
          <w:tcPr>
            <w:tcW w:w="1635" w:type="dxa"/>
            <w:vAlign w:val="center"/>
          </w:tcPr>
          <w:p w14:paraId="210A1C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预算支出（万元）</w:t>
            </w:r>
          </w:p>
        </w:tc>
        <w:tc>
          <w:tcPr>
            <w:tcW w:w="1703" w:type="dxa"/>
            <w:vAlign w:val="center"/>
          </w:tcPr>
          <w:p w14:paraId="21342F0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实际支出（元）</w:t>
            </w:r>
          </w:p>
        </w:tc>
        <w:tc>
          <w:tcPr>
            <w:tcW w:w="1688" w:type="dxa"/>
            <w:vAlign w:val="center"/>
          </w:tcPr>
          <w:p w14:paraId="0EB6F90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超支（万元）</w:t>
            </w:r>
          </w:p>
        </w:tc>
        <w:tc>
          <w:tcPr>
            <w:tcW w:w="1549" w:type="dxa"/>
            <w:vAlign w:val="center"/>
          </w:tcPr>
          <w:p w14:paraId="6FC436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预算执行率</w:t>
            </w:r>
          </w:p>
        </w:tc>
      </w:tr>
      <w:tr w14:paraId="50B70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2672" w:type="dxa"/>
            <w:vAlign w:val="center"/>
          </w:tcPr>
          <w:p w14:paraId="0995C56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薄弱环节治理</w:t>
            </w:r>
          </w:p>
        </w:tc>
        <w:tc>
          <w:tcPr>
            <w:tcW w:w="1635" w:type="dxa"/>
            <w:vAlign w:val="center"/>
          </w:tcPr>
          <w:p w14:paraId="1BCDB09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200</w:t>
            </w:r>
          </w:p>
        </w:tc>
        <w:tc>
          <w:tcPr>
            <w:tcW w:w="1703" w:type="dxa"/>
            <w:vAlign w:val="center"/>
          </w:tcPr>
          <w:p w14:paraId="1C8B46E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200</w:t>
            </w:r>
          </w:p>
        </w:tc>
        <w:tc>
          <w:tcPr>
            <w:tcW w:w="1688" w:type="dxa"/>
            <w:vAlign w:val="center"/>
          </w:tcPr>
          <w:p w14:paraId="41F14C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</w:p>
        </w:tc>
        <w:tc>
          <w:tcPr>
            <w:tcW w:w="1549" w:type="dxa"/>
            <w:vAlign w:val="center"/>
          </w:tcPr>
          <w:p w14:paraId="3755BA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100%</w:t>
            </w:r>
          </w:p>
        </w:tc>
      </w:tr>
      <w:tr w14:paraId="28160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2672" w:type="dxa"/>
            <w:vAlign w:val="center"/>
          </w:tcPr>
          <w:p w14:paraId="1C173B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1635" w:type="dxa"/>
            <w:vAlign w:val="center"/>
          </w:tcPr>
          <w:p w14:paraId="1189C9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200</w:t>
            </w:r>
          </w:p>
        </w:tc>
        <w:tc>
          <w:tcPr>
            <w:tcW w:w="1703" w:type="dxa"/>
            <w:vAlign w:val="center"/>
          </w:tcPr>
          <w:p w14:paraId="4B33E6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200</w:t>
            </w:r>
          </w:p>
        </w:tc>
        <w:tc>
          <w:tcPr>
            <w:tcW w:w="1688" w:type="dxa"/>
            <w:vAlign w:val="center"/>
          </w:tcPr>
          <w:p w14:paraId="21A45FC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0</w:t>
            </w:r>
          </w:p>
        </w:tc>
        <w:tc>
          <w:tcPr>
            <w:tcW w:w="1549" w:type="dxa"/>
            <w:vAlign w:val="center"/>
          </w:tcPr>
          <w:p w14:paraId="45557BD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100%</w:t>
            </w:r>
          </w:p>
        </w:tc>
      </w:tr>
    </w:tbl>
    <w:p w14:paraId="721453AB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1C50DFA6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67B3E955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182C30A4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65C2963F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28E5BD84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2A8987F1">
      <w:pPr>
        <w:snapToGrid w:val="0"/>
        <w:ind w:firstLine="643" w:firstLineChars="20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231F625C">
      <w:pPr>
        <w:snapToGrid w:val="0"/>
        <w:rPr>
          <w:rFonts w:ascii="宋体" w:hAnsi="宋体" w:eastAsia="宋体" w:cs="黑体"/>
          <w:b/>
          <w:kern w:val="0"/>
          <w:sz w:val="32"/>
          <w:szCs w:val="32"/>
        </w:rPr>
      </w:pPr>
    </w:p>
    <w:p w14:paraId="4522A33D">
      <w:pPr>
        <w:widowControl/>
        <w:jc w:val="left"/>
        <w:rPr>
          <w:rFonts w:ascii="宋体" w:hAnsi="宋体" w:eastAsia="宋体" w:cs="黑体"/>
          <w:b/>
          <w:kern w:val="0"/>
          <w:sz w:val="32"/>
          <w:szCs w:val="32"/>
        </w:rPr>
      </w:pPr>
      <w:r>
        <w:rPr>
          <w:rFonts w:ascii="宋体" w:hAnsi="宋体" w:eastAsia="宋体" w:cs="黑体"/>
          <w:b/>
          <w:kern w:val="0"/>
          <w:sz w:val="32"/>
          <w:szCs w:val="32"/>
        </w:rPr>
        <w:br w:type="page"/>
      </w:r>
    </w:p>
    <w:p w14:paraId="24603D2A">
      <w:pPr>
        <w:snapToGrid w:val="0"/>
        <w:rPr>
          <w:rFonts w:ascii="宋体" w:hAnsi="宋体" w:eastAsia="宋体" w:cs="方正小标宋_GBK"/>
          <w:b/>
          <w:kern w:val="0"/>
          <w:sz w:val="32"/>
          <w:szCs w:val="32"/>
        </w:rPr>
      </w:pPr>
      <w:r>
        <w:rPr>
          <w:rFonts w:hint="eastAsia" w:ascii="宋体" w:hAnsi="宋体" w:eastAsia="宋体" w:cs="黑体"/>
          <w:b/>
          <w:kern w:val="0"/>
          <w:sz w:val="32"/>
          <w:szCs w:val="32"/>
        </w:rPr>
        <w:t>附表2、</w:t>
      </w:r>
      <w:r>
        <w:rPr>
          <w:rFonts w:hint="eastAsia" w:ascii="宋体" w:hAnsi="宋体" w:eastAsia="宋体" w:cs="方正小标宋_GBK"/>
          <w:b/>
          <w:kern w:val="0"/>
          <w:sz w:val="32"/>
          <w:szCs w:val="32"/>
        </w:rPr>
        <w:t>专项支出绩效评价指标评分表</w:t>
      </w:r>
    </w:p>
    <w:tbl>
      <w:tblPr>
        <w:tblStyle w:val="6"/>
        <w:tblW w:w="8932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38"/>
        <w:gridCol w:w="784"/>
        <w:gridCol w:w="953"/>
        <w:gridCol w:w="211"/>
        <w:gridCol w:w="573"/>
        <w:gridCol w:w="1080"/>
        <w:gridCol w:w="1079"/>
        <w:gridCol w:w="1096"/>
      </w:tblGrid>
      <w:tr w14:paraId="7ADC4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D4F1F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项目</w:t>
            </w:r>
          </w:p>
          <w:p w14:paraId="4EA1C63B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基本</w:t>
            </w:r>
          </w:p>
          <w:p w14:paraId="68CA84B3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信息</w:t>
            </w:r>
          </w:p>
        </w:tc>
        <w:tc>
          <w:tcPr>
            <w:tcW w:w="173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02A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73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051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水利建设资金</w:t>
            </w:r>
          </w:p>
        </w:tc>
        <w:tc>
          <w:tcPr>
            <w:tcW w:w="78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AA2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项目属性</w:t>
            </w:r>
          </w:p>
        </w:tc>
        <w:tc>
          <w:tcPr>
            <w:tcW w:w="3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E3C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  <w:t>延续专项</w:t>
            </w:r>
            <w:r>
              <w:rPr>
                <w:rFonts w:ascii="MS Mincho" w:hAnsi="MS Mincho" w:eastAsia="MS Mincho" w:cs="MS Mincho"/>
                <w:color w:val="000000"/>
                <w:kern w:val="0"/>
                <w:sz w:val="22"/>
              </w:rPr>
              <w:t>☑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  <w:t xml:space="preserve">   新增专项□ </w:t>
            </w:r>
          </w:p>
        </w:tc>
      </w:tr>
      <w:tr w14:paraId="5B720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F2325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D28C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8B9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湘潭县水利局</w:t>
            </w:r>
          </w:p>
        </w:tc>
        <w:tc>
          <w:tcPr>
            <w:tcW w:w="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E04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7301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1BA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92B3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57881511</w:t>
            </w:r>
          </w:p>
        </w:tc>
      </w:tr>
      <w:tr w14:paraId="0CC22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22E98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835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资金总额</w:t>
            </w:r>
          </w:p>
        </w:tc>
        <w:tc>
          <w:tcPr>
            <w:tcW w:w="5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BD32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200万元</w:t>
            </w:r>
          </w:p>
        </w:tc>
      </w:tr>
      <w:tr w14:paraId="1559E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588ED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7F08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项目起止时间</w:t>
            </w:r>
          </w:p>
        </w:tc>
        <w:tc>
          <w:tcPr>
            <w:tcW w:w="5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214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2022年10月至2022年12月 </w:t>
            </w:r>
          </w:p>
        </w:tc>
      </w:tr>
      <w:tr w14:paraId="72FB5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0ADFC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F675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项目概况</w:t>
            </w:r>
          </w:p>
        </w:tc>
        <w:tc>
          <w:tcPr>
            <w:tcW w:w="5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F0AD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为提高我县水旱灾害防御能力，县财政投入资金200万元，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完成17个乡镇61个村薄弱环节治理，完成山塘、渠道清淤3.4万方，山塘防渗8053平方米，渠道整修硬化1253米。</w:t>
            </w:r>
          </w:p>
        </w:tc>
      </w:tr>
      <w:tr w14:paraId="0F690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4410E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BAA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项目立</w:t>
            </w:r>
          </w:p>
          <w:p w14:paraId="5A490F6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项情况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81A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项目立</w:t>
            </w:r>
          </w:p>
          <w:p w14:paraId="08EF73A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项依据</w:t>
            </w:r>
          </w:p>
        </w:tc>
        <w:tc>
          <w:tcPr>
            <w:tcW w:w="49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8A014A"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潭县水发〔2022〕30号《关于下达2022年乡村振兴衔接水利薄弱环节治理资金的通知》</w:t>
            </w:r>
          </w:p>
          <w:p w14:paraId="2BAEB969"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 w14:paraId="04CF7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4374B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274E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4ADB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项目申报</w:t>
            </w:r>
          </w:p>
          <w:p w14:paraId="345D3E8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的可行性</w:t>
            </w:r>
          </w:p>
        </w:tc>
        <w:tc>
          <w:tcPr>
            <w:tcW w:w="49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45BA"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项目规划科学，具备实施条件，组织措施到位，项目申报是可行的</w:t>
            </w:r>
          </w:p>
        </w:tc>
      </w:tr>
      <w:tr w14:paraId="2118B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40339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A1CB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FBF9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项目申报</w:t>
            </w:r>
          </w:p>
          <w:p w14:paraId="2138FFC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的必要性</w:t>
            </w:r>
          </w:p>
        </w:tc>
        <w:tc>
          <w:tcPr>
            <w:tcW w:w="49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7060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为切实提高我县水旱灾害防御能力，加强水利薄弱环节治理。</w:t>
            </w:r>
          </w:p>
        </w:tc>
      </w:tr>
      <w:tr w14:paraId="6BDC9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E8CF54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965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项目实施</w:t>
            </w:r>
          </w:p>
          <w:p w14:paraId="72A021D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进度计划</w:t>
            </w: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12EE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项目实施内容</w:t>
            </w:r>
          </w:p>
        </w:tc>
        <w:tc>
          <w:tcPr>
            <w:tcW w:w="1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D99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计划开始时间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DE7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计划完成时间</w:t>
            </w:r>
          </w:p>
        </w:tc>
      </w:tr>
      <w:tr w14:paraId="6F101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7EA7F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965E7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243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17个乡镇61个村薄弱环节治理</w:t>
            </w:r>
          </w:p>
        </w:tc>
        <w:tc>
          <w:tcPr>
            <w:tcW w:w="1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39A9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2022年10月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B8E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2022年12月</w:t>
            </w:r>
          </w:p>
        </w:tc>
      </w:tr>
      <w:tr w14:paraId="58B86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6854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项目</w:t>
            </w:r>
          </w:p>
          <w:p w14:paraId="788B966B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支出</w:t>
            </w:r>
          </w:p>
          <w:p w14:paraId="1D604A29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绩效</w:t>
            </w:r>
          </w:p>
          <w:p w14:paraId="5599D744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目标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4322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项目长期</w:t>
            </w:r>
          </w:p>
          <w:p w14:paraId="0BF5CCB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绩效目标</w:t>
            </w:r>
          </w:p>
        </w:tc>
        <w:tc>
          <w:tcPr>
            <w:tcW w:w="5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7B6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通过薄弱环节治理，提高我县农村水旱灾害防能力，提升粮食安全基础保障。</w:t>
            </w:r>
          </w:p>
        </w:tc>
      </w:tr>
      <w:tr w14:paraId="4518A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4F230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3BC1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项目年度</w:t>
            </w:r>
          </w:p>
          <w:p w14:paraId="48C0F1F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绩效目标</w:t>
            </w:r>
          </w:p>
        </w:tc>
        <w:tc>
          <w:tcPr>
            <w:tcW w:w="5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0CDF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完成全县17个乡镇61个村薄弱环节治理。</w:t>
            </w:r>
          </w:p>
        </w:tc>
      </w:tr>
      <w:tr w14:paraId="0932D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020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项目</w:t>
            </w:r>
          </w:p>
          <w:p w14:paraId="7BE8B7CB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支出</w:t>
            </w:r>
          </w:p>
          <w:p w14:paraId="300B63B2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绩效</w:t>
            </w:r>
          </w:p>
          <w:p w14:paraId="131DCB7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目标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F9B7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5586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一级指标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47FE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二级指标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EC5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指标内容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6A2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指标值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0F8960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备注</w:t>
            </w:r>
          </w:p>
        </w:tc>
      </w:tr>
      <w:tr w14:paraId="0FE5B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65659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7186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0745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651FF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成本指标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56FC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全县17个乡镇61个村薄弱环节治理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FC5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完成进度100%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D93A70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3A8BE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0DB7D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0A41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C34D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4E48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质量指标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E808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项目（工程）验收合格率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83D8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3128C0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7DBFE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A5C9F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2BA7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9E00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DE51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时效指标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CD7E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2022年10月至12月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A7D6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及时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AC196F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3CA28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86E5C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DE19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6D20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效益指标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E479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经济效益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BCB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8BB4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010B57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1446F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044FC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8B36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280C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185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社会效益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B173D">
            <w:pPr>
              <w:widowControl/>
              <w:tabs>
                <w:tab w:val="left" w:pos="366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ab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改善脱贫（监测）户灌溉用水条件人数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48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9"/>
                <w:szCs w:val="19"/>
              </w:rPr>
            </w:pPr>
            <w:r>
              <w:rPr>
                <w:rStyle w:val="15"/>
                <w:rFonts w:eastAsia="宋体"/>
              </w:rPr>
              <w:t>≥1031</w:t>
            </w:r>
            <w:r>
              <w:rPr>
                <w:rStyle w:val="16"/>
                <w:rFonts w:hAnsi="Times New Roman"/>
              </w:rPr>
              <w:t>人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626F4B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4C756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6E2F7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4C9F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8E1D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F74F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可持续影响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BFAB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工程设计使用年限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8EB1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≥10年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57085F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2959A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34008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693E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388F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50D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生态效益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BB2F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水资源综合利用率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B1B7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较上年度提高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85F91D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7A525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36079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C3EC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D7AF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1EA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社会公众或服务对象满意度</w:t>
            </w:r>
          </w:p>
        </w:tc>
        <w:tc>
          <w:tcPr>
            <w:tcW w:w="1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C2CB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群众满意度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E616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90%以上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578EE1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 w14:paraId="17CEA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6452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75E7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单位已有的（或拟订的）保证项目实施的制度、措施</w:t>
            </w:r>
          </w:p>
        </w:tc>
        <w:tc>
          <w:tcPr>
            <w:tcW w:w="5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8D02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项目组织机构：湘潭县水利局</w:t>
            </w:r>
          </w:p>
          <w:p w14:paraId="2C8CDE3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相关管理制度：《专项资金管理办法》</w:t>
            </w:r>
          </w:p>
          <w:p w14:paraId="76CCC5C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工作措施 （方案、规划等）：</w:t>
            </w:r>
          </w:p>
        </w:tc>
      </w:tr>
      <w:tr w14:paraId="206FE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590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财政部门审核</w:t>
            </w:r>
          </w:p>
          <w:p w14:paraId="368A50DC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265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审核股室</w:t>
            </w:r>
          </w:p>
        </w:tc>
        <w:tc>
          <w:tcPr>
            <w:tcW w:w="25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B495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审核的主要内容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932C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审核意见</w:t>
            </w:r>
          </w:p>
        </w:tc>
      </w:tr>
      <w:tr w14:paraId="0236E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EF604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210B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财政归口</w:t>
            </w:r>
          </w:p>
          <w:p w14:paraId="7EAF570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业务股室</w:t>
            </w:r>
          </w:p>
          <w:p w14:paraId="530E373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25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191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1、是否立项及项目属性确定；</w:t>
            </w:r>
          </w:p>
          <w:p w14:paraId="030B8B3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2、绩效目标设定是否合理；</w:t>
            </w:r>
          </w:p>
          <w:p w14:paraId="4D53A69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3、预算资金可供量是否合理；</w:t>
            </w:r>
          </w:p>
          <w:p w14:paraId="3C4F7DE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4、项目、资金及财务管理措施；</w:t>
            </w:r>
          </w:p>
          <w:p w14:paraId="0F68F0B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5、其他。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22DF09D"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审核人：           年   月   日</w:t>
            </w:r>
          </w:p>
        </w:tc>
      </w:tr>
      <w:tr w14:paraId="6CDE9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A470E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B82B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绩效评价</w:t>
            </w:r>
          </w:p>
          <w:p w14:paraId="595E7AC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股审核意见</w:t>
            </w:r>
          </w:p>
        </w:tc>
        <w:tc>
          <w:tcPr>
            <w:tcW w:w="25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34A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1、填报内容是否完整；</w:t>
            </w:r>
          </w:p>
          <w:p w14:paraId="2AD6AA5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2、是否设定量化的绩效目标；</w:t>
            </w:r>
          </w:p>
          <w:p w14:paraId="46C8B8A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3、是否有适当、细化的绩效指标，及其与绩效目标的对应性；</w:t>
            </w:r>
          </w:p>
          <w:p w14:paraId="2F062B1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4、其他。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058FE77"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审核人：           年   月   日</w:t>
            </w:r>
          </w:p>
        </w:tc>
      </w:tr>
      <w:tr w14:paraId="79360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DD389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235C35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预算股</w:t>
            </w:r>
          </w:p>
          <w:p w14:paraId="76B0835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25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DC6518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1、县委、县政府已确定的项目；</w:t>
            </w:r>
          </w:p>
          <w:p w14:paraId="0B7C0B6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2、财政待安排项目；</w:t>
            </w:r>
          </w:p>
          <w:p w14:paraId="5ADC6AA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3、是否进入备选项目；</w:t>
            </w:r>
          </w:p>
          <w:p w14:paraId="484557C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4、财政项目预算资金安排可供量与完成项目绩效目标的保障度。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bottom"/>
          </w:tcPr>
          <w:p w14:paraId="107560F1"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审核人：           年   月   日</w:t>
            </w:r>
          </w:p>
        </w:tc>
      </w:tr>
    </w:tbl>
    <w:p w14:paraId="043918CD">
      <w:pPr>
        <w:ind w:right="160"/>
        <w:jc w:val="left"/>
        <w:rPr>
          <w:rFonts w:ascii="仿宋" w:hAnsi="仿宋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63002"/>
      <w:docPartObj>
        <w:docPartGallery w:val="autotext"/>
      </w:docPartObj>
    </w:sdtPr>
    <w:sdtContent>
      <w:p w14:paraId="792903B8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7AAF366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E0MTI1YjhmYTgwNzIyNGJiMGIyNmYyMTFjNTFiYzkifQ=="/>
  </w:docVars>
  <w:rsids>
    <w:rsidRoot w:val="00634A20"/>
    <w:rsid w:val="000251C7"/>
    <w:rsid w:val="000B5B84"/>
    <w:rsid w:val="001708B0"/>
    <w:rsid w:val="00180175"/>
    <w:rsid w:val="001C4CCE"/>
    <w:rsid w:val="001E070C"/>
    <w:rsid w:val="0020670F"/>
    <w:rsid w:val="00226A46"/>
    <w:rsid w:val="00236397"/>
    <w:rsid w:val="00252FC2"/>
    <w:rsid w:val="0025608F"/>
    <w:rsid w:val="00280943"/>
    <w:rsid w:val="002834CE"/>
    <w:rsid w:val="00291A25"/>
    <w:rsid w:val="002A26A2"/>
    <w:rsid w:val="002A6CCC"/>
    <w:rsid w:val="002B20E1"/>
    <w:rsid w:val="002C798D"/>
    <w:rsid w:val="003910E8"/>
    <w:rsid w:val="003B4236"/>
    <w:rsid w:val="003C2CE1"/>
    <w:rsid w:val="003D6629"/>
    <w:rsid w:val="004412E9"/>
    <w:rsid w:val="004475FB"/>
    <w:rsid w:val="004604A5"/>
    <w:rsid w:val="00482A7B"/>
    <w:rsid w:val="0048698F"/>
    <w:rsid w:val="00493517"/>
    <w:rsid w:val="00495AAA"/>
    <w:rsid w:val="004A2624"/>
    <w:rsid w:val="004D769F"/>
    <w:rsid w:val="004E1FCC"/>
    <w:rsid w:val="004E3676"/>
    <w:rsid w:val="004E7F4E"/>
    <w:rsid w:val="004F0F15"/>
    <w:rsid w:val="00507670"/>
    <w:rsid w:val="00523999"/>
    <w:rsid w:val="005254EB"/>
    <w:rsid w:val="005B504F"/>
    <w:rsid w:val="005F1E93"/>
    <w:rsid w:val="005F770D"/>
    <w:rsid w:val="00633DA7"/>
    <w:rsid w:val="00634A20"/>
    <w:rsid w:val="00634E04"/>
    <w:rsid w:val="0063608A"/>
    <w:rsid w:val="00640EF5"/>
    <w:rsid w:val="006918B1"/>
    <w:rsid w:val="006E77E0"/>
    <w:rsid w:val="00717EB9"/>
    <w:rsid w:val="00721BC8"/>
    <w:rsid w:val="00730E25"/>
    <w:rsid w:val="00736759"/>
    <w:rsid w:val="00746D8A"/>
    <w:rsid w:val="00767E25"/>
    <w:rsid w:val="00774DED"/>
    <w:rsid w:val="007C2BD3"/>
    <w:rsid w:val="007C78FE"/>
    <w:rsid w:val="007D5728"/>
    <w:rsid w:val="007F3901"/>
    <w:rsid w:val="007F46CD"/>
    <w:rsid w:val="00825E1C"/>
    <w:rsid w:val="00833E03"/>
    <w:rsid w:val="00841341"/>
    <w:rsid w:val="0087687A"/>
    <w:rsid w:val="00892CCF"/>
    <w:rsid w:val="008A239E"/>
    <w:rsid w:val="008A5BDA"/>
    <w:rsid w:val="008F08CF"/>
    <w:rsid w:val="009632E6"/>
    <w:rsid w:val="00966BE2"/>
    <w:rsid w:val="00974189"/>
    <w:rsid w:val="00975345"/>
    <w:rsid w:val="009B334A"/>
    <w:rsid w:val="009C1552"/>
    <w:rsid w:val="009C1AB9"/>
    <w:rsid w:val="009C78A2"/>
    <w:rsid w:val="009E297F"/>
    <w:rsid w:val="009F373F"/>
    <w:rsid w:val="00A06BF6"/>
    <w:rsid w:val="00A53293"/>
    <w:rsid w:val="00A67A82"/>
    <w:rsid w:val="00A76DFC"/>
    <w:rsid w:val="00AE2E70"/>
    <w:rsid w:val="00AF4F57"/>
    <w:rsid w:val="00B11A26"/>
    <w:rsid w:val="00B33512"/>
    <w:rsid w:val="00B56A6C"/>
    <w:rsid w:val="00BD4B08"/>
    <w:rsid w:val="00BD4CFD"/>
    <w:rsid w:val="00BE43E5"/>
    <w:rsid w:val="00BF379B"/>
    <w:rsid w:val="00BF52F6"/>
    <w:rsid w:val="00C13F4B"/>
    <w:rsid w:val="00C45CC5"/>
    <w:rsid w:val="00C53A6A"/>
    <w:rsid w:val="00C61FB3"/>
    <w:rsid w:val="00C958F7"/>
    <w:rsid w:val="00CB4988"/>
    <w:rsid w:val="00CC5E07"/>
    <w:rsid w:val="00CD4B52"/>
    <w:rsid w:val="00D014D3"/>
    <w:rsid w:val="00D03561"/>
    <w:rsid w:val="00D16C8E"/>
    <w:rsid w:val="00D24A7F"/>
    <w:rsid w:val="00D41C2D"/>
    <w:rsid w:val="00D7193E"/>
    <w:rsid w:val="00D81A73"/>
    <w:rsid w:val="00DA63D9"/>
    <w:rsid w:val="00DE7121"/>
    <w:rsid w:val="00E07A97"/>
    <w:rsid w:val="00E2269A"/>
    <w:rsid w:val="00E93989"/>
    <w:rsid w:val="00ED0263"/>
    <w:rsid w:val="00ED1169"/>
    <w:rsid w:val="00ED56CF"/>
    <w:rsid w:val="00EE25C9"/>
    <w:rsid w:val="00F07078"/>
    <w:rsid w:val="00F12B8B"/>
    <w:rsid w:val="00F335B9"/>
    <w:rsid w:val="00F33B65"/>
    <w:rsid w:val="00F35BCC"/>
    <w:rsid w:val="00F5231F"/>
    <w:rsid w:val="00F66115"/>
    <w:rsid w:val="00F840A1"/>
    <w:rsid w:val="00FA3353"/>
    <w:rsid w:val="00FB6C6E"/>
    <w:rsid w:val="00FC2DC7"/>
    <w:rsid w:val="00FD0325"/>
    <w:rsid w:val="00FF459E"/>
    <w:rsid w:val="04912485"/>
    <w:rsid w:val="053A48BD"/>
    <w:rsid w:val="0584246A"/>
    <w:rsid w:val="0805625C"/>
    <w:rsid w:val="0A182161"/>
    <w:rsid w:val="0B165B1E"/>
    <w:rsid w:val="0B8E0331"/>
    <w:rsid w:val="0BE438D8"/>
    <w:rsid w:val="0D316E09"/>
    <w:rsid w:val="0E457F38"/>
    <w:rsid w:val="0FCA6DC6"/>
    <w:rsid w:val="1042720D"/>
    <w:rsid w:val="10BE4C49"/>
    <w:rsid w:val="10D26947"/>
    <w:rsid w:val="118C0999"/>
    <w:rsid w:val="121B269A"/>
    <w:rsid w:val="16C62AAA"/>
    <w:rsid w:val="16FE13DF"/>
    <w:rsid w:val="170F3E70"/>
    <w:rsid w:val="19E5333D"/>
    <w:rsid w:val="1A1174C7"/>
    <w:rsid w:val="1A5A7BA6"/>
    <w:rsid w:val="1BC31D37"/>
    <w:rsid w:val="1DEF78A7"/>
    <w:rsid w:val="23D33E59"/>
    <w:rsid w:val="24530F6E"/>
    <w:rsid w:val="26893EF3"/>
    <w:rsid w:val="27C052F3"/>
    <w:rsid w:val="283F6F85"/>
    <w:rsid w:val="287675C9"/>
    <w:rsid w:val="287A31FB"/>
    <w:rsid w:val="28B06032"/>
    <w:rsid w:val="2BDF2F5A"/>
    <w:rsid w:val="2C2C2F57"/>
    <w:rsid w:val="30F713AF"/>
    <w:rsid w:val="315741C0"/>
    <w:rsid w:val="3231322A"/>
    <w:rsid w:val="32E91299"/>
    <w:rsid w:val="35500BC0"/>
    <w:rsid w:val="359F479A"/>
    <w:rsid w:val="35AE7DF7"/>
    <w:rsid w:val="360A35C3"/>
    <w:rsid w:val="36F874AC"/>
    <w:rsid w:val="386F5200"/>
    <w:rsid w:val="413A2EA3"/>
    <w:rsid w:val="413D193E"/>
    <w:rsid w:val="452C49AA"/>
    <w:rsid w:val="4932537A"/>
    <w:rsid w:val="4A1755AB"/>
    <w:rsid w:val="4A58343D"/>
    <w:rsid w:val="4AEB4D85"/>
    <w:rsid w:val="4B105793"/>
    <w:rsid w:val="4B307F16"/>
    <w:rsid w:val="4BC53867"/>
    <w:rsid w:val="4C6465D3"/>
    <w:rsid w:val="4CFF608E"/>
    <w:rsid w:val="4D780A88"/>
    <w:rsid w:val="51E93D19"/>
    <w:rsid w:val="534F55FA"/>
    <w:rsid w:val="546B4286"/>
    <w:rsid w:val="54CA0C82"/>
    <w:rsid w:val="55C933D7"/>
    <w:rsid w:val="57A0510A"/>
    <w:rsid w:val="581F1EEB"/>
    <w:rsid w:val="593908DE"/>
    <w:rsid w:val="5AF341D7"/>
    <w:rsid w:val="5BAB616A"/>
    <w:rsid w:val="5BB97AB4"/>
    <w:rsid w:val="5BC020F7"/>
    <w:rsid w:val="5D5E3966"/>
    <w:rsid w:val="5DD21998"/>
    <w:rsid w:val="5E0D0407"/>
    <w:rsid w:val="5E5B30A5"/>
    <w:rsid w:val="5EA5630E"/>
    <w:rsid w:val="5EE97824"/>
    <w:rsid w:val="609F6492"/>
    <w:rsid w:val="649A70DD"/>
    <w:rsid w:val="64DE1371"/>
    <w:rsid w:val="66D608CF"/>
    <w:rsid w:val="68205D76"/>
    <w:rsid w:val="6BA936A1"/>
    <w:rsid w:val="6F0532E4"/>
    <w:rsid w:val="7089618E"/>
    <w:rsid w:val="732A7F8D"/>
    <w:rsid w:val="7369681C"/>
    <w:rsid w:val="760A4914"/>
    <w:rsid w:val="76B26092"/>
    <w:rsid w:val="77974CF6"/>
    <w:rsid w:val="78C41BB8"/>
    <w:rsid w:val="7AC92BDB"/>
    <w:rsid w:val="7B1228E5"/>
    <w:rsid w:val="7EC3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99"/>
    <w:rPr>
      <w:rFonts w:ascii="宋体" w:hAnsi="Courier New" w:eastAsia="宋体" w:cs="Courier New"/>
      <w:kern w:val="0"/>
      <w:sz w:val="20"/>
      <w:szCs w:val="21"/>
    </w:r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0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日期 Char"/>
    <w:basedOn w:val="7"/>
    <w:link w:val="3"/>
    <w:semiHidden/>
    <w:qFormat/>
    <w:uiPriority w:val="99"/>
    <w:rPr>
      <w:kern w:val="2"/>
      <w:sz w:val="21"/>
      <w:szCs w:val="22"/>
    </w:rPr>
  </w:style>
  <w:style w:type="paragraph" w:styleId="1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纯文本 Char"/>
    <w:basedOn w:val="7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14">
    <w:name w:val="font51"/>
    <w:basedOn w:val="7"/>
    <w:qFormat/>
    <w:uiPriority w:val="0"/>
    <w:rPr>
      <w:rFonts w:hint="eastAsia" w:ascii="仿宋_GB2312" w:eastAsia="仿宋_GB2312"/>
      <w:color w:val="000000"/>
      <w:sz w:val="22"/>
      <w:szCs w:val="22"/>
      <w:u w:val="none"/>
    </w:rPr>
  </w:style>
  <w:style w:type="character" w:customStyle="1" w:styleId="15">
    <w:name w:val="font11"/>
    <w:basedOn w:val="7"/>
    <w:qFormat/>
    <w:uiPriority w:val="0"/>
    <w:rPr>
      <w:rFonts w:hint="default" w:ascii="Times New Roman" w:hAnsi="Times New Roman" w:cs="Times New Roman"/>
      <w:color w:val="000000"/>
      <w:sz w:val="19"/>
      <w:szCs w:val="19"/>
      <w:u w:val="none"/>
    </w:rPr>
  </w:style>
  <w:style w:type="character" w:customStyle="1" w:styleId="16">
    <w:name w:val="font21"/>
    <w:basedOn w:val="7"/>
    <w:qFormat/>
    <w:uiPriority w:val="0"/>
    <w:rPr>
      <w:rFonts w:ascii="仿宋_GB2312" w:eastAsia="仿宋_GB2312" w:cs="仿宋_GB2312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7</Pages>
  <Words>2073</Words>
  <Characters>2239</Characters>
  <Lines>18</Lines>
  <Paragraphs>5</Paragraphs>
  <TotalTime>11</TotalTime>
  <ScaleCrop>false</ScaleCrop>
  <LinksUpToDate>false</LinksUpToDate>
  <CharactersWithSpaces>2321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2021-12-28T06:34:00Z</dcterms:created>
  <dc:creator>1D208</dc:creator>
  <cp:lastModifiedBy>°Cn.</cp:lastModifiedBy>
  <cp:lastPrinted>2021-11-12T00:52:00Z</cp:lastPrinted>
  <dcterms:modified xsi:type="dcterms:W3CDTF">2024-08-30T02:52:15Z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8A9A622330A8446FAB91981727EB1C9C</vt:lpwstr>
  </property>
</Properties>
</file>