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line="560" w:lineRule="exact"/>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44"/>
          <w:szCs w:val="44"/>
          <w:lang w:eastAsia="zh-CN"/>
        </w:rPr>
        <w:t>湘潭县人民政府办公室</w:t>
      </w: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3</w:t>
      </w:r>
      <w:r>
        <w:rPr>
          <w:rFonts w:hint="eastAsia" w:ascii="方正小标宋_GBK" w:hAnsi="方正小标宋_GBK" w:eastAsia="方正小标宋_GBK" w:cs="方正小标宋_GBK"/>
          <w:sz w:val="44"/>
          <w:szCs w:val="44"/>
        </w:rPr>
        <w:t>年政府信息公开工作年度报告</w:t>
      </w:r>
    </w:p>
    <w:p>
      <w:pPr>
        <w:pStyle w:val="6"/>
        <w:spacing w:before="0" w:beforeAutospacing="0" w:after="0" w:afterAutospacing="0" w:line="560" w:lineRule="exact"/>
        <w:ind w:firstLine="420"/>
        <w:jc w:val="both"/>
        <w:rPr>
          <w:rFonts w:hint="eastAsia"/>
        </w:rPr>
      </w:pPr>
    </w:p>
    <w:p>
      <w:pPr>
        <w:pStyle w:val="6"/>
        <w:spacing w:before="0" w:beforeAutospacing="0" w:after="0" w:afterAutospacing="0" w:line="560" w:lineRule="exact"/>
        <w:ind w:firstLine="640" w:firstLineChars="200"/>
        <w:jc w:val="both"/>
        <w:rPr>
          <w:rFonts w:hint="eastAsia" w:ascii="仿宋_GB2312" w:hAnsi="仿宋_GB2312" w:eastAsia="仿宋_GB2312" w:cs="仿宋_GB2312"/>
          <w:sz w:val="32"/>
          <w:szCs w:val="32"/>
        </w:rPr>
      </w:pPr>
      <w:r>
        <w:rPr>
          <w:rFonts w:hint="eastAsia" w:ascii="Times New Roman" w:hAnsi="Times New Roman" w:eastAsia="仿宋_GB2312" w:cs="Times New Roman"/>
          <w:sz w:val="32"/>
          <w:u w:val="none" w:color="auto"/>
          <w:lang w:val="en-US" w:eastAsia="zh-CN"/>
        </w:rPr>
        <w:t>2023</w:t>
      </w:r>
      <w:r>
        <w:rPr>
          <w:rFonts w:hint="default" w:ascii="Times New Roman" w:hAnsi="Times New Roman" w:eastAsia="仿宋_GB2312" w:cs="Times New Roman"/>
          <w:sz w:val="32"/>
          <w:u w:val="none" w:color="auto"/>
        </w:rPr>
        <w:t>年，在县委、县政府的坚强领导下，</w:t>
      </w:r>
      <w:r>
        <w:rPr>
          <w:rFonts w:hint="default" w:ascii="Times New Roman" w:hAnsi="Times New Roman" w:eastAsia="仿宋_GB2312" w:cs="Times New Roman"/>
          <w:sz w:val="32"/>
          <w:u w:val="none" w:color="auto"/>
          <w:lang w:eastAsia="zh-CN"/>
        </w:rPr>
        <w:t>县政府办</w:t>
      </w:r>
      <w:r>
        <w:rPr>
          <w:rFonts w:hint="default" w:ascii="Times New Roman" w:hAnsi="Times New Roman" w:eastAsia="仿宋_GB2312" w:cs="Times New Roman"/>
          <w:sz w:val="32"/>
          <w:u w:val="none" w:color="auto"/>
        </w:rPr>
        <w:t>深入</w:t>
      </w:r>
      <w:r>
        <w:rPr>
          <w:rFonts w:hint="default" w:ascii="Times New Roman" w:hAnsi="Times New Roman" w:eastAsia="仿宋_GB2312" w:cs="Times New Roman"/>
          <w:sz w:val="32"/>
          <w:u w:val="none" w:color="auto"/>
          <w:lang w:eastAsia="zh-CN"/>
        </w:rPr>
        <w:t>学习</w:t>
      </w:r>
      <w:r>
        <w:rPr>
          <w:rFonts w:hint="default" w:ascii="Times New Roman" w:hAnsi="Times New Roman" w:eastAsia="仿宋_GB2312" w:cs="Times New Roman"/>
          <w:sz w:val="32"/>
          <w:u w:val="none" w:color="auto"/>
        </w:rPr>
        <w:t>贯彻</w:t>
      </w:r>
      <w:r>
        <w:rPr>
          <w:rFonts w:hint="default" w:ascii="Times New Roman" w:hAnsi="Times New Roman" w:eastAsia="仿宋_GB2312" w:cs="Times New Roman"/>
          <w:sz w:val="32"/>
          <w:u w:val="none" w:color="auto"/>
          <w:lang w:eastAsia="zh-CN"/>
        </w:rPr>
        <w:t>习近平新时代中国特色社会主义思想、党的二十大和二十届二中全会精神</w:t>
      </w:r>
      <w:r>
        <w:rPr>
          <w:rFonts w:hint="default" w:ascii="Times New Roman" w:hAnsi="Times New Roman" w:eastAsia="仿宋_GB2312" w:cs="Times New Roman"/>
          <w:sz w:val="32"/>
          <w:u w:val="none" w:color="auto"/>
        </w:rPr>
        <w:t>，</w:t>
      </w:r>
      <w:r>
        <w:rPr>
          <w:rFonts w:hint="default" w:ascii="Times New Roman" w:hAnsi="Times New Roman" w:eastAsia="仿宋_GB2312" w:cs="Times New Roman"/>
          <w:sz w:val="32"/>
          <w:u w:val="none" w:color="auto"/>
          <w:lang w:eastAsia="zh-CN"/>
        </w:rPr>
        <w:t>认真贯彻落实《中华人民共和国政府信息公开条例》等工作要求</w:t>
      </w:r>
      <w:r>
        <w:rPr>
          <w:rFonts w:hint="eastAsia" w:ascii="Times New Roman" w:hAnsi="Times New Roman" w:eastAsia="仿宋_GB2312" w:cs="Times New Roman"/>
          <w:sz w:val="32"/>
          <w:u w:val="none" w:color="auto"/>
          <w:lang w:eastAsia="zh-CN"/>
        </w:rPr>
        <w:t>，</w:t>
      </w:r>
      <w:r>
        <w:rPr>
          <w:rFonts w:hint="default" w:ascii="Times New Roman" w:hAnsi="Times New Roman" w:eastAsia="仿宋_GB2312" w:cs="Times New Roman"/>
          <w:sz w:val="32"/>
          <w:szCs w:val="32"/>
          <w:u w:val="none" w:color="auto"/>
          <w:shd w:val="clear" w:color="auto" w:fill="FFFFFF"/>
        </w:rPr>
        <w:t>立足参谋助手、统筹协调、办文办会、督查督办、服务保障等职能，</w:t>
      </w:r>
      <w:r>
        <w:rPr>
          <w:rFonts w:hint="default" w:ascii="Times New Roman" w:hAnsi="Times New Roman" w:eastAsia="仿宋_GB2312" w:cs="Times New Roman"/>
          <w:sz w:val="32"/>
          <w:szCs w:val="32"/>
          <w:u w:val="none" w:color="auto"/>
          <w:shd w:val="clear" w:color="auto" w:fill="FFFFFF"/>
          <w:lang w:eastAsia="zh-CN"/>
        </w:rPr>
        <w:t>聚焦打好打赢“发展六仗”，推动政府系统“走找想促”活动暨“三送三优三解”行动走深走实</w:t>
      </w:r>
      <w:r>
        <w:rPr>
          <w:rFonts w:hint="default" w:ascii="Times New Roman" w:hAnsi="Times New Roman" w:eastAsia="仿宋_GB2312" w:cs="Times New Roman"/>
          <w:sz w:val="32"/>
          <w:u w:val="none" w:color="auto"/>
        </w:rPr>
        <w:t>。</w:t>
      </w:r>
    </w:p>
    <w:p>
      <w:pPr>
        <w:pStyle w:val="6"/>
        <w:spacing w:before="0" w:beforeAutospacing="0" w:after="0" w:afterAutospacing="0" w:line="560" w:lineRule="exact"/>
        <w:ind w:firstLine="640" w:firstLineChars="200"/>
        <w:jc w:val="both"/>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一、总体情况</w:t>
      </w:r>
    </w:p>
    <w:p>
      <w:pPr>
        <w:pStyle w:val="9"/>
        <w:keepNext w:val="0"/>
        <w:keepLines w:val="0"/>
        <w:pageBreakBefore w:val="0"/>
        <w:widowControl w:val="0"/>
        <w:kinsoku/>
        <w:wordWrap/>
        <w:overflowPunct/>
        <w:topLinePunct w:val="0"/>
        <w:autoSpaceDE/>
        <w:autoSpaceDN/>
        <w:bidi w:val="0"/>
        <w:adjustRightInd/>
        <w:snapToGrid/>
        <w:spacing w:line="560" w:lineRule="exact"/>
        <w:ind w:firstLine="64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主动公开情况。围绕推动高质量发展深化政务公开，加强发展“六仗”、优化营商环境、减税降费、扩大有效投资、民生实事、乡村振兴等重点领域信息公开。聚焦法定主动公开内容加强公开，202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政府门户网站政府信息公开专栏发布</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政府办公</w:t>
      </w:r>
      <w:r>
        <w:rPr>
          <w:rFonts w:hint="eastAsia" w:ascii="仿宋_GB2312" w:hAnsi="仿宋_GB2312" w:eastAsia="仿宋_GB2312" w:cs="仿宋_GB2312"/>
          <w:sz w:val="32"/>
          <w:szCs w:val="32"/>
          <w:lang w:eastAsia="zh-CN"/>
        </w:rPr>
        <w:t>室</w:t>
      </w:r>
      <w:r>
        <w:rPr>
          <w:rFonts w:hint="eastAsia" w:ascii="仿宋_GB2312" w:hAnsi="仿宋_GB2312" w:eastAsia="仿宋_GB2312" w:cs="仿宋_GB2312"/>
          <w:sz w:val="32"/>
          <w:szCs w:val="32"/>
        </w:rPr>
        <w:t>文件</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件，详细公开了202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政府办公</w:t>
      </w:r>
      <w:r>
        <w:rPr>
          <w:rFonts w:hint="eastAsia" w:ascii="仿宋_GB2312" w:hAnsi="仿宋_GB2312" w:eastAsia="仿宋_GB2312" w:cs="仿宋_GB2312"/>
          <w:sz w:val="32"/>
          <w:szCs w:val="32"/>
          <w:lang w:eastAsia="zh-CN"/>
        </w:rPr>
        <w:t>室</w:t>
      </w:r>
      <w:r>
        <w:rPr>
          <w:rFonts w:hint="eastAsia" w:ascii="仿宋_GB2312" w:hAnsi="仿宋_GB2312" w:eastAsia="仿宋_GB2312" w:cs="仿宋_GB2312"/>
          <w:sz w:val="32"/>
          <w:szCs w:val="32"/>
        </w:rPr>
        <w:t>部门预算，包括预算说明和一般公共预算“三公”经费支出表等各类预算表。</w:t>
      </w:r>
      <w:r>
        <w:rPr>
          <w:rFonts w:hint="default" w:ascii="Times New Roman" w:hAnsi="Times New Roman" w:eastAsia="仿宋_GB2312" w:cs="Times New Roman"/>
          <w:color w:val="auto"/>
          <w:sz w:val="32"/>
          <w:u w:val="none" w:color="auto"/>
        </w:rPr>
        <w:t>牵头组织全县性会议</w:t>
      </w:r>
      <w:r>
        <w:rPr>
          <w:rFonts w:hint="default" w:ascii="Times New Roman" w:hAnsi="Times New Roman" w:eastAsia="仿宋_GB2312" w:cs="Times New Roman"/>
          <w:color w:val="auto"/>
          <w:sz w:val="32"/>
          <w:u w:val="none" w:color="auto"/>
          <w:lang w:val="en-US" w:eastAsia="zh-CN"/>
        </w:rPr>
        <w:t>10余</w:t>
      </w:r>
      <w:r>
        <w:rPr>
          <w:rFonts w:hint="default" w:ascii="Times New Roman" w:hAnsi="Times New Roman" w:eastAsia="仿宋_GB2312" w:cs="Times New Roman"/>
          <w:color w:val="auto"/>
          <w:sz w:val="32"/>
          <w:u w:val="none" w:color="auto"/>
        </w:rPr>
        <w:t>次，政府常务会议</w:t>
      </w:r>
      <w:r>
        <w:rPr>
          <w:rFonts w:hint="default" w:ascii="Times New Roman" w:hAnsi="Times New Roman" w:eastAsia="仿宋_GB2312" w:cs="Times New Roman"/>
          <w:color w:val="auto"/>
          <w:sz w:val="32"/>
          <w:u w:val="none" w:color="auto"/>
          <w:lang w:val="en-US" w:eastAsia="zh-CN"/>
        </w:rPr>
        <w:t>14</w:t>
      </w:r>
      <w:r>
        <w:rPr>
          <w:rFonts w:hint="default" w:ascii="Times New Roman" w:hAnsi="Times New Roman" w:eastAsia="仿宋_GB2312" w:cs="Times New Roman"/>
          <w:color w:val="auto"/>
          <w:sz w:val="32"/>
          <w:u w:val="none" w:color="auto"/>
        </w:rPr>
        <w:t>次。全年向国、省、市三级报送政务信息156条，高质量完成国、省、市专题约稿23次，上报信息《湘潭县</w:t>
      </w:r>
      <w:r>
        <w:rPr>
          <w:rFonts w:hint="default" w:ascii="Times New Roman" w:hAnsi="Times New Roman" w:eastAsia="仿宋_GB2312" w:cs="Times New Roman"/>
          <w:color w:val="auto"/>
          <w:sz w:val="32"/>
          <w:u w:val="none" w:color="auto"/>
          <w:lang w:eastAsia="zh-CN"/>
        </w:rPr>
        <w:t>“</w:t>
      </w:r>
      <w:r>
        <w:rPr>
          <w:rFonts w:hint="default" w:ascii="Times New Roman" w:hAnsi="Times New Roman" w:eastAsia="仿宋_GB2312" w:cs="Times New Roman"/>
          <w:color w:val="auto"/>
          <w:sz w:val="32"/>
          <w:u w:val="none" w:color="auto"/>
        </w:rPr>
        <w:t>四个一批”举措做好清退编外人员善后工作》省厅采用后推荐至国务院办公厅也被采用并获领导批示，《湘潭县全力推动低镉大米生产增质增量增效》《湘潭县</w:t>
      </w:r>
      <w:r>
        <w:rPr>
          <w:rFonts w:hint="default" w:ascii="Times New Roman" w:hAnsi="Times New Roman" w:eastAsia="仿宋_GB2312" w:cs="Times New Roman"/>
          <w:color w:val="auto"/>
          <w:sz w:val="32"/>
          <w:u w:val="none" w:color="auto"/>
          <w:lang w:eastAsia="zh-CN"/>
        </w:rPr>
        <w:t>“</w:t>
      </w:r>
      <w:r>
        <w:rPr>
          <w:rFonts w:hint="default" w:ascii="Times New Roman" w:hAnsi="Times New Roman" w:eastAsia="仿宋_GB2312" w:cs="Times New Roman"/>
          <w:color w:val="auto"/>
          <w:sz w:val="32"/>
          <w:u w:val="none" w:color="auto"/>
        </w:rPr>
        <w:t>四大行动”助力电商赋能乡村振兴》等6篇政务信息获省《政务要情与交流》刊发。</w:t>
      </w:r>
      <w:r>
        <w:rPr>
          <w:rFonts w:hint="eastAsia" w:ascii="仿宋_GB2312" w:hAnsi="仿宋_GB2312" w:eastAsia="仿宋_GB2312" w:cs="仿宋_GB2312"/>
          <w:sz w:val="32"/>
          <w:szCs w:val="32"/>
        </w:rPr>
        <w:t>  </w:t>
      </w:r>
    </w:p>
    <w:p>
      <w:pPr>
        <w:pStyle w:val="6"/>
        <w:spacing w:before="0" w:beforeAutospacing="0" w:after="0" w:afterAutospacing="0" w:line="560" w:lineRule="exact"/>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（二）依申请公开情况。严格对照《湘潭</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人民政府依申请公开政府信息工作规程》，规范政府信息依申请公开办理程序，加强对各级各部门依申请公开的日常指导，要求全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各级行政机关健全工作机制，明确工作职责，依法办理政府信息公开申请件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2023年，湘潭县人民</w:t>
      </w:r>
      <w:bookmarkStart w:id="0" w:name="_GoBack"/>
      <w:bookmarkEnd w:id="0"/>
      <w:r>
        <w:rPr>
          <w:rFonts w:hint="eastAsia" w:ascii="仿宋_GB2312" w:hAnsi="仿宋_GB2312" w:eastAsia="仿宋_GB2312" w:cs="仿宋_GB2312"/>
          <w:sz w:val="32"/>
          <w:szCs w:val="32"/>
          <w:lang w:val="en-US" w:eastAsia="zh-CN"/>
        </w:rPr>
        <w:t>政府办公室未收到依申请公开件。</w:t>
      </w:r>
    </w:p>
    <w:p>
      <w:pPr>
        <w:pStyle w:val="6"/>
        <w:spacing w:before="0" w:beforeAutospacing="0" w:after="0" w:afterAutospacing="0" w:line="560" w:lineRule="exact"/>
        <w:ind w:firstLine="640" w:firstLineChars="200"/>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rPr>
        <w:t>（三）政府信息管理情况。</w:t>
      </w:r>
      <w:r>
        <w:rPr>
          <w:rFonts w:hint="default" w:ascii="Times New Roman" w:hAnsi="Times New Roman" w:eastAsia="仿宋_GB2312" w:cs="Times New Roman"/>
          <w:sz w:val="32"/>
          <w:u w:val="none" w:color="auto"/>
        </w:rPr>
        <w:t>严格收发文制度，做到规范管理，准确高效。</w:t>
      </w:r>
      <w:r>
        <w:rPr>
          <w:rFonts w:hint="eastAsia" w:ascii="Times New Roman" w:hAnsi="Times New Roman" w:eastAsia="仿宋_GB2312" w:cs="Times New Roman"/>
          <w:sz w:val="32"/>
          <w:u w:val="none" w:color="auto"/>
          <w:lang w:eastAsia="zh-CN"/>
        </w:rPr>
        <w:t>在县人民政府门户网站上设置“政府全体会议”、“政府常务会议”，公开发布县政府全会和常务会议信息，202</w:t>
      </w:r>
      <w:r>
        <w:rPr>
          <w:rFonts w:hint="eastAsia" w:ascii="Times New Roman" w:hAnsi="Times New Roman" w:eastAsia="仿宋_GB2312" w:cs="Times New Roman"/>
          <w:sz w:val="32"/>
          <w:u w:val="none" w:color="auto"/>
          <w:lang w:val="en-US" w:eastAsia="zh-CN"/>
        </w:rPr>
        <w:t>3</w:t>
      </w:r>
      <w:r>
        <w:rPr>
          <w:rFonts w:hint="eastAsia" w:ascii="Times New Roman" w:hAnsi="Times New Roman" w:eastAsia="仿宋_GB2312" w:cs="Times New Roman"/>
          <w:sz w:val="32"/>
          <w:u w:val="none" w:color="auto"/>
          <w:lang w:eastAsia="zh-CN"/>
        </w:rPr>
        <w:t>年共制作发布</w:t>
      </w:r>
      <w:r>
        <w:rPr>
          <w:rFonts w:hint="eastAsia" w:ascii="Times New Roman" w:hAnsi="Times New Roman" w:eastAsia="仿宋_GB2312" w:cs="Times New Roman"/>
          <w:sz w:val="32"/>
          <w:u w:val="none" w:color="auto"/>
          <w:lang w:val="en-US" w:eastAsia="zh-CN"/>
        </w:rPr>
        <w:t>2期政府全体会议，16</w:t>
      </w:r>
      <w:r>
        <w:rPr>
          <w:rFonts w:hint="eastAsia" w:ascii="Times New Roman" w:hAnsi="Times New Roman" w:eastAsia="仿宋_GB2312" w:cs="Times New Roman"/>
          <w:sz w:val="32"/>
          <w:u w:val="none" w:color="auto"/>
          <w:lang w:eastAsia="zh-CN"/>
        </w:rPr>
        <w:t>期政府常务会议专题，内容包括会议研究议定事项、图解和视频解读等</w:t>
      </w:r>
      <w:r>
        <w:rPr>
          <w:rFonts w:hint="default" w:ascii="Times New Roman" w:hAnsi="Times New Roman" w:eastAsia="仿宋_GB2312" w:cs="Times New Roman"/>
          <w:sz w:val="32"/>
          <w:u w:val="none" w:color="auto"/>
          <w:lang w:val="en-US" w:eastAsia="zh-CN"/>
        </w:rPr>
        <w:t>。</w:t>
      </w:r>
    </w:p>
    <w:p>
      <w:pPr>
        <w:pStyle w:val="10"/>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（四）政府信息公开平台建设情况。</w:t>
      </w:r>
      <w:r>
        <w:rPr>
          <w:rFonts w:hint="eastAsia" w:ascii="仿宋_GB2312" w:hAnsi="仿宋_GB2312" w:eastAsia="仿宋_GB2312" w:cs="仿宋_GB2312"/>
          <w:sz w:val="32"/>
          <w:szCs w:val="32"/>
          <w:lang w:eastAsia="zh-CN"/>
        </w:rPr>
        <w:t>加强线下政务公开专区建设。按照“四有三会”的要求，升级县本级政务公开专区，各乡镇全部建设政务公开专区，打造一批村级政务公开样板。加强县人民政府门户网站建设。紧扣基层政务公开标准化规范化深化公开，完善32个领域基层政务公开事项目录，内容及时更新完善。</w:t>
      </w:r>
      <w:r>
        <w:rPr>
          <w:rFonts w:hint="eastAsia" w:ascii="仿宋_GB2312" w:hAnsi="仿宋_GB2312" w:eastAsia="仿宋_GB2312" w:cs="仿宋_GB2312"/>
          <w:sz w:val="32"/>
          <w:szCs w:val="32"/>
        </w:rPr>
        <w:t>创新举办推广政务公开屋场会等接地气、聚人气的政务公开活动</w:t>
      </w:r>
      <w:r>
        <w:rPr>
          <w:rFonts w:hint="eastAsia" w:ascii="仿宋_GB2312" w:hAnsi="仿宋_GB2312" w:eastAsia="仿宋_GB2312" w:cs="仿宋_GB2312"/>
          <w:sz w:val="32"/>
          <w:szCs w:val="32"/>
          <w:lang w:eastAsia="zh-CN"/>
        </w:rPr>
        <w:t>，打通服务群众最后</w:t>
      </w:r>
      <w:r>
        <w:rPr>
          <w:rFonts w:hint="eastAsia" w:ascii="仿宋_GB2312" w:hAnsi="仿宋_GB2312" w:eastAsia="仿宋_GB2312" w:cs="仿宋_GB2312"/>
          <w:sz w:val="32"/>
          <w:szCs w:val="32"/>
          <w:lang w:val="en-US" w:eastAsia="zh-CN"/>
        </w:rPr>
        <w:t>100米。</w:t>
      </w:r>
    </w:p>
    <w:p>
      <w:pPr>
        <w:pStyle w:val="10"/>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firstLine="0" w:firstLineChars="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精心推出</w:t>
      </w:r>
      <w:r>
        <w:rPr>
          <w:rFonts w:hint="eastAsia" w:ascii="仿宋_GB2312" w:hAnsi="仿宋_GB2312" w:eastAsia="仿宋_GB2312" w:cs="仿宋_GB2312"/>
          <w:sz w:val="32"/>
          <w:szCs w:val="32"/>
          <w:lang w:eastAsia="zh-CN"/>
        </w:rPr>
        <w:t>“十四五规划”“基层政务公开”“政务小莲说政策”</w:t>
      </w:r>
      <w:r>
        <w:rPr>
          <w:rFonts w:hint="eastAsia" w:ascii="仿宋_GB2312" w:hAnsi="仿宋_GB2312" w:eastAsia="仿宋_GB2312" w:cs="仿宋_GB2312"/>
          <w:sz w:val="32"/>
          <w:szCs w:val="32"/>
        </w:rPr>
        <w:t>“政务公开主题日”“行政执法信息公示”“优化营商环境”等信息公开专题。组织各级各部门采取线上线下相结合方式，就社会关切或与群众生产生活关系密切的重大项目、政策和民生信息进行“互动式”公开、“面对面”解读</w:t>
      </w:r>
      <w:r>
        <w:rPr>
          <w:rFonts w:hint="eastAsia" w:ascii="仿宋_GB2312" w:hAnsi="仿宋_GB2312" w:eastAsia="仿宋_GB2312" w:cs="仿宋_GB2312"/>
          <w:sz w:val="32"/>
          <w:szCs w:val="32"/>
          <w:lang w:eastAsia="zh-CN"/>
        </w:rPr>
        <w:t>。</w:t>
      </w:r>
      <w:r>
        <w:rPr>
          <w:rFonts w:hint="default" w:ascii="仿宋_GB2312" w:hAnsi="仿宋_GB2312" w:eastAsia="仿宋_GB2312" w:cs="仿宋_GB2312"/>
          <w:sz w:val="32"/>
          <w:szCs w:val="32"/>
          <w:lang w:val="en-US" w:eastAsia="zh-CN"/>
        </w:rPr>
        <w:t>开展优化营商环境“揭榜竞优”工作，“政务小莲当管家”“政务小莲说政策”“政务小莲解难题”等一系列创新经验，被《人民日报》《湖南日报》《新湖南》等国省媒体报道，被列为全市“揭榜竞优”优秀成果。</w:t>
      </w:r>
    </w:p>
    <w:p>
      <w:pPr>
        <w:pStyle w:val="6"/>
        <w:spacing w:before="0" w:beforeAutospacing="0" w:after="0" w:afterAutospacing="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（五）监督保障情况。我办高度重视政府信息公开工作，多次召开会议，专题研究部署政府信息公开工作，做到了政府信息公开工作与中心工作同安排、同布置、同检查、同考核，将落实情况纳入年终考核内容。</w:t>
      </w:r>
    </w:p>
    <w:p>
      <w:pPr>
        <w:pStyle w:val="6"/>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二、主动公开政府信息情况</w:t>
      </w:r>
    </w:p>
    <w:tbl>
      <w:tblPr>
        <w:tblStyle w:val="7"/>
        <w:tblW w:w="9064" w:type="dxa"/>
        <w:jc w:val="center"/>
        <w:tblLayout w:type="fixed"/>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ascii="宋体"/>
                <w:sz w:val="21"/>
                <w:szCs w:val="21"/>
              </w:rPr>
            </w:pPr>
            <w:r>
              <w:rPr>
                <w:rFonts w:ascii="宋体" w:cs="宋体"/>
                <w:sz w:val="21"/>
                <w:szCs w:val="21"/>
                <w:lang w:bidi="ar"/>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rPr>
              <w:t>本年制发件数</w:t>
            </w:r>
          </w:p>
        </w:tc>
        <w:tc>
          <w:tcPr>
            <w:tcW w:w="1979"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bidi="ar"/>
              </w:rPr>
              <w:t>行政</w:t>
            </w:r>
            <w:r>
              <w:rPr>
                <w:rFonts w:hint="eastAsia" w:ascii="宋体" w:hAnsi="宋体" w:eastAsia="宋体" w:cs="宋体"/>
                <w:sz w:val="21"/>
                <w:szCs w:val="21"/>
                <w:lang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979"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14</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bidi="ar"/>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val="en-US" w:bidi="ar"/>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bl>
    <w:p>
      <w:pPr>
        <w:pStyle w:val="6"/>
        <w:spacing w:before="0" w:beforeAutospacing="0" w:after="240" w:afterAutospacing="0"/>
        <w:jc w:val="both"/>
        <w:rPr>
          <w:rFonts w:hint="eastAsia" w:ascii="黑体" w:hAnsi="黑体" w:eastAsia="黑体" w:cs="黑体"/>
          <w:bCs/>
          <w:sz w:val="32"/>
          <w:szCs w:val="32"/>
        </w:rPr>
      </w:pPr>
    </w:p>
    <w:p>
      <w:pPr>
        <w:pStyle w:val="6"/>
        <w:spacing w:before="0" w:beforeAutospacing="0" w:after="240" w:afterAutospacing="0"/>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三、</w:t>
      </w:r>
      <w:r>
        <w:rPr>
          <w:rFonts w:hint="eastAsia" w:ascii="黑体" w:hAnsi="黑体" w:eastAsia="黑体" w:cs="黑体"/>
          <w:bCs/>
          <w:color w:val="333333"/>
          <w:sz w:val="32"/>
          <w:szCs w:val="32"/>
          <w:shd w:val="clear" w:color="auto" w:fill="FFFFFF"/>
        </w:rPr>
        <w:t>收到和处理政府信息公开申请情况</w:t>
      </w:r>
    </w:p>
    <w:tbl>
      <w:tblPr>
        <w:tblStyle w:val="7"/>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Cs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sz w:val="21"/>
                <w:szCs w:val="21"/>
                <w:lang w:bidi="ar"/>
              </w:rPr>
              <w:t>自然人</w:t>
            </w:r>
          </w:p>
        </w:tc>
        <w:tc>
          <w:tcPr>
            <w:tcW w:w="3641"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sz w:val="21"/>
                <w:szCs w:val="21"/>
                <w:lang w:bidi="ar"/>
              </w:rPr>
              <w:t>法人或其他组织</w:t>
            </w:r>
          </w:p>
        </w:tc>
        <w:tc>
          <w:tcPr>
            <w:tcW w:w="750"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ascii="宋体" w:hAnsi="宋体" w:eastAsia="宋体" w:cs="宋体"/>
                <w:sz w:val="21"/>
                <w:szCs w:val="21"/>
              </w:rPr>
            </w:pPr>
            <w:r>
              <w:rPr>
                <w:rFonts w:ascii="宋体" w:hAnsi="宋体" w:eastAsia="宋体" w:cs="宋体"/>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5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sz w:val="21"/>
                <w:szCs w:val="21"/>
                <w:lang w:bidi="ar"/>
              </w:rPr>
              <w:t>商业企业</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sz w:val="21"/>
                <w:szCs w:val="21"/>
                <w:lang w:bidi="ar"/>
              </w:rPr>
              <w:t>科研机构</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sz w:val="21"/>
                <w:szCs w:val="21"/>
                <w:lang w:bidi="ar"/>
              </w:rPr>
              <w:t>社会公益组织</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sz w:val="21"/>
                <w:szCs w:val="21"/>
                <w:lang w:bidi="ar"/>
              </w:rPr>
              <w:t>法律服务机构</w:t>
            </w:r>
          </w:p>
        </w:tc>
        <w:tc>
          <w:tcPr>
            <w:tcW w:w="7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260" w:lineRule="exact"/>
              <w:jc w:val="center"/>
              <w:rPr>
                <w:rFonts w:hint="eastAsia" w:ascii="宋体" w:hAnsi="宋体" w:eastAsia="宋体" w:cs="宋体"/>
                <w:sz w:val="21"/>
                <w:szCs w:val="21"/>
              </w:rPr>
            </w:pPr>
            <w:r>
              <w:rPr>
                <w:rFonts w:hint="eastAsia" w:ascii="宋体" w:hAnsi="宋体" w:eastAsia="宋体" w:cs="宋体"/>
                <w:sz w:val="21"/>
                <w:szCs w:val="21"/>
                <w:lang w:bidi="ar"/>
              </w:rPr>
              <w:t>其他</w:t>
            </w:r>
          </w:p>
        </w:tc>
        <w:tc>
          <w:tcPr>
            <w:tcW w:w="750"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ascii="宋体" w:hAnsi="宋体" w:eastAsia="宋体" w:cs="宋体"/>
                <w:sz w:val="21"/>
                <w:szCs w:val="21"/>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一、本年新收政府信息公开申请数量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二、上年结转政府信息公开申请数量</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三、本年度办理结果</w:t>
            </w: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（一）予以公开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240" w:lineRule="exact"/>
              <w:rPr>
                <w:rFonts w:hint="eastAsia" w:ascii="宋体" w:hAnsi="宋体" w:eastAsia="宋体" w:cs="宋体"/>
                <w:sz w:val="21"/>
                <w:szCs w:val="21"/>
              </w:rPr>
            </w:pPr>
            <w:r>
              <w:rPr>
                <w:rFonts w:hint="eastAsia" w:ascii="宋体" w:hAnsi="宋体" w:eastAsia="宋体" w:cs="宋体"/>
                <w:sz w:val="21"/>
                <w:szCs w:val="21"/>
                <w:lang w:bidi="ar"/>
              </w:rPr>
              <w:t>（二）部分公开（区分处理的，只计这一情形，不计其他情形）</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（三）不予公开</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1.属于国家秘密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2.其他法律行政法规禁止公开</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3.危及“三安全一稳定”</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4.保护第三方合法权益</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5.属于三类内部事务信息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6.属于四类过程性信息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7.属于行政执法案卷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8.属于行政查询事项</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（四）无法提供</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1.本机关不掌握相关政府信息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2.没有现成信息需要另行制作</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3.补正后申请内容仍不明确</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（五）不予处理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1.信访举报投诉类申请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2.重复申请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3.要求提供公开出版物</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4.无正当理由大量反复申请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240" w:lineRule="exact"/>
              <w:rPr>
                <w:rFonts w:hint="eastAsia" w:ascii="宋体" w:hAnsi="宋体" w:eastAsia="宋体" w:cs="宋体"/>
                <w:sz w:val="21"/>
                <w:szCs w:val="21"/>
              </w:rPr>
            </w:pPr>
            <w:r>
              <w:rPr>
                <w:rFonts w:hint="eastAsia" w:ascii="宋体" w:hAnsi="宋体" w:eastAsia="宋体" w:cs="宋体"/>
                <w:sz w:val="21"/>
                <w:szCs w:val="21"/>
                <w:lang w:bidi="ar"/>
              </w:rPr>
              <w:t>5.要求行政机关确认或重新出具已获取信息</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restart"/>
            <w:tcBorders>
              <w:top w:val="nil"/>
              <w:left w:val="nil"/>
              <w:right w:val="single" w:color="auto" w:sz="8" w:space="0"/>
            </w:tcBorders>
            <w:noWrap w:val="0"/>
            <w:tcMar>
              <w:left w:w="108" w:type="dxa"/>
              <w:right w:w="108" w:type="dxa"/>
            </w:tcMar>
            <w:vAlign w:val="center"/>
          </w:tcPr>
          <w:p>
            <w:pPr>
              <w:rPr>
                <w:rFonts w:hint="eastAsia" w:ascii="宋体" w:hAnsi="宋体" w:eastAsia="宋体" w:cs="宋体"/>
                <w:sz w:val="21"/>
                <w:szCs w:val="21"/>
              </w:rPr>
            </w:pPr>
            <w:r>
              <w:rPr>
                <w:rFonts w:hint="eastAsia" w:ascii="宋体" w:hAnsi="宋体" w:eastAsia="宋体" w:cs="宋体"/>
                <w:sz w:val="21"/>
                <w:szCs w:val="21"/>
                <w:lang w:bidi="ar"/>
              </w:rPr>
              <w:t>（</w:t>
            </w:r>
            <w:r>
              <w:rPr>
                <w:rFonts w:hint="eastAsia" w:ascii="宋体" w:hAnsi="宋体" w:eastAsia="宋体" w:cs="宋体"/>
                <w:sz w:val="21"/>
                <w:szCs w:val="21"/>
                <w:lang w:val="en-US" w:bidi="ar"/>
              </w:rPr>
              <w:t>六</w:t>
            </w:r>
            <w:r>
              <w:rPr>
                <w:rFonts w:hint="eastAsia" w:ascii="宋体" w:hAnsi="宋体" w:eastAsia="宋体" w:cs="宋体"/>
                <w:sz w:val="21"/>
                <w:szCs w:val="21"/>
                <w:lang w:bidi="ar"/>
              </w:rPr>
              <w:t>）</w:t>
            </w:r>
            <w:r>
              <w:rPr>
                <w:rFonts w:hint="eastAsia" w:ascii="宋体" w:hAnsi="宋体" w:eastAsia="宋体" w:cs="宋体"/>
                <w:sz w:val="21"/>
                <w:szCs w:val="21"/>
                <w:lang w:val="en-US" w:bidi="ar"/>
              </w:rPr>
              <w:t>其他</w:t>
            </w:r>
            <w:r>
              <w:rPr>
                <w:rFonts w:hint="eastAsia" w:ascii="宋体" w:hAnsi="宋体" w:eastAsia="宋体" w:cs="宋体"/>
                <w:sz w:val="21"/>
                <w:szCs w:val="21"/>
                <w:lang w:bidi="ar"/>
              </w:rPr>
              <w:t>处理</w:t>
            </w: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240" w:lineRule="exact"/>
              <w:rPr>
                <w:rFonts w:hint="eastAsia" w:ascii="宋体" w:hAnsi="宋体" w:eastAsia="宋体" w:cs="宋体"/>
                <w:sz w:val="21"/>
                <w:szCs w:val="21"/>
                <w:lang w:bidi="ar"/>
              </w:rPr>
            </w:pPr>
            <w:r>
              <w:rPr>
                <w:rFonts w:hint="eastAsia" w:ascii="宋体" w:hAnsi="宋体" w:eastAsia="宋体" w:cs="宋体"/>
                <w:sz w:val="21"/>
                <w:szCs w:val="21"/>
                <w:lang w:bidi="ar"/>
              </w:rPr>
              <w:t>1.申请人无正当理由逾期不补正、行政机关不再处理其政府信息公开申请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right w:val="single" w:color="auto" w:sz="8" w:space="0"/>
            </w:tcBorders>
            <w:noWrap w:val="0"/>
            <w:tcMar>
              <w:left w:w="108" w:type="dxa"/>
              <w:right w:w="108" w:type="dxa"/>
            </w:tcMar>
            <w:vAlign w:val="center"/>
          </w:tcPr>
          <w:p>
            <w:pPr>
              <w:rPr>
                <w:rFonts w:hint="eastAsia" w:ascii="宋体" w:hAnsi="宋体" w:eastAsia="宋体" w:cs="宋体"/>
                <w:sz w:val="21"/>
                <w:szCs w:val="21"/>
                <w:lang w:bidi="ar"/>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240" w:lineRule="exact"/>
              <w:rPr>
                <w:rFonts w:hint="eastAsia" w:ascii="宋体" w:hAnsi="宋体" w:eastAsia="宋体" w:cs="宋体"/>
                <w:sz w:val="21"/>
                <w:szCs w:val="21"/>
                <w:lang w:bidi="ar"/>
              </w:rPr>
            </w:pPr>
            <w:r>
              <w:rPr>
                <w:rFonts w:hint="eastAsia" w:ascii="宋体" w:hAnsi="宋体" w:eastAsia="宋体" w:cs="宋体"/>
                <w:sz w:val="21"/>
                <w:szCs w:val="21"/>
                <w:lang w:bidi="ar"/>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855" w:type="dxa"/>
            <w:vMerge w:val="continue"/>
            <w:tcBorders>
              <w:left w:val="nil"/>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299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lang w:bidi="ar"/>
              </w:rPr>
            </w:pPr>
            <w:r>
              <w:rPr>
                <w:rFonts w:hint="eastAsia" w:ascii="宋体" w:hAnsi="宋体" w:eastAsia="宋体" w:cs="宋体"/>
                <w:sz w:val="21"/>
                <w:szCs w:val="21"/>
                <w:lang w:bidi="ar"/>
              </w:rPr>
              <w:t>3.其他</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eastAsia="宋体" w:cs="宋体"/>
                <w:sz w:val="21"/>
                <w:szCs w:val="21"/>
              </w:rPr>
            </w:pPr>
          </w:p>
        </w:tc>
        <w:tc>
          <w:tcPr>
            <w:tcW w:w="38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（七）总计</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r>
              <w:rPr>
                <w:rFonts w:hint="eastAsia" w:ascii="宋体" w:hAnsi="宋体" w:eastAsia="宋体" w:cs="宋体"/>
                <w:sz w:val="21"/>
                <w:szCs w:val="21"/>
                <w:lang w:bidi="ar"/>
              </w:rPr>
              <w:t>四、结转下年度继续办理</w:t>
            </w:r>
          </w:p>
        </w:tc>
        <w:tc>
          <w:tcPr>
            <w:tcW w:w="55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76"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5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r>
    </w:tbl>
    <w:p>
      <w:pPr>
        <w:pStyle w:val="6"/>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四、</w:t>
      </w:r>
      <w:r>
        <w:rPr>
          <w:rFonts w:hint="eastAsia" w:ascii="黑体" w:hAnsi="黑体" w:eastAsia="黑体" w:cs="黑体"/>
          <w:bCs/>
          <w:color w:val="333333"/>
          <w:sz w:val="32"/>
          <w:szCs w:val="32"/>
          <w:shd w:val="clear" w:color="auto" w:fill="FFFFFF"/>
        </w:rPr>
        <w:t>政府信息公开行政复议、行政诉讼情况</w:t>
      </w:r>
    </w:p>
    <w:tbl>
      <w:tblPr>
        <w:tblStyle w:val="7"/>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宋体" w:hAnsi="宋体" w:eastAsia="宋体" w:cs="宋体"/>
                <w:sz w:val="21"/>
                <w:szCs w:val="21"/>
              </w:rPr>
            </w:pPr>
            <w:r>
              <w:rPr>
                <w:rFonts w:hint="eastAsia" w:ascii="宋体" w:hAnsi="宋体" w:eastAsia="宋体" w:cs="宋体"/>
                <w:sz w:val="21"/>
                <w:szCs w:val="21"/>
                <w:lang w:bidi="ar"/>
              </w:rPr>
              <w:t>行政复议</w:t>
            </w:r>
          </w:p>
        </w:tc>
        <w:tc>
          <w:tcPr>
            <w:tcW w:w="6790"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rFonts w:hint="eastAsia" w:ascii="宋体" w:hAnsi="宋体" w:eastAsia="宋体" w:cs="宋体"/>
                <w:sz w:val="21"/>
                <w:szCs w:val="21"/>
              </w:rPr>
            </w:pPr>
            <w:r>
              <w:rPr>
                <w:rFonts w:hint="eastAsia" w:ascii="宋体" w:hAnsi="宋体" w:eastAsia="宋体" w:cs="宋体"/>
                <w:sz w:val="21"/>
                <w:szCs w:val="21"/>
                <w:lang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结果维持</w:t>
            </w:r>
          </w:p>
        </w:tc>
        <w:tc>
          <w:tcPr>
            <w:tcW w:w="658"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结果纠正</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其他结果</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尚未审结</w:t>
            </w:r>
          </w:p>
        </w:tc>
        <w:tc>
          <w:tcPr>
            <w:tcW w:w="661"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总计</w:t>
            </w:r>
          </w:p>
        </w:tc>
        <w:tc>
          <w:tcPr>
            <w:tcW w:w="335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未经复议直接起诉</w:t>
            </w:r>
          </w:p>
        </w:tc>
        <w:tc>
          <w:tcPr>
            <w:tcW w:w="3435"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p>
        </w:tc>
        <w:tc>
          <w:tcPr>
            <w:tcW w:w="658" w:type="dxa"/>
            <w:vMerge w:val="continue"/>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p>
        </w:tc>
        <w:tc>
          <w:tcPr>
            <w:tcW w:w="661"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宋体" w:hAnsi="宋体" w:eastAsia="宋体" w:cs="宋体"/>
                <w:sz w:val="21"/>
                <w:szCs w:val="21"/>
              </w:rPr>
            </w:pPr>
          </w:p>
        </w:tc>
        <w:tc>
          <w:tcPr>
            <w:tcW w:w="691"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结果维持</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结果纠正</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尚未审结</w:t>
            </w:r>
          </w:p>
        </w:tc>
        <w:tc>
          <w:tcPr>
            <w:tcW w:w="64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总计</w:t>
            </w:r>
          </w:p>
        </w:tc>
        <w:tc>
          <w:tcPr>
            <w:tcW w:w="72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结果维持</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结果纠正</w:t>
            </w:r>
          </w:p>
        </w:tc>
        <w:tc>
          <w:tcPr>
            <w:tcW w:w="67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其他结果</w:t>
            </w:r>
          </w:p>
        </w:tc>
        <w:tc>
          <w:tcPr>
            <w:tcW w:w="69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尚未审结</w:t>
            </w:r>
          </w:p>
        </w:tc>
        <w:tc>
          <w:tcPr>
            <w:tcW w:w="66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sz w:val="21"/>
                <w:szCs w:val="21"/>
              </w:rPr>
            </w:pPr>
            <w:r>
              <w:rPr>
                <w:rFonts w:hint="eastAsia" w:ascii="宋体" w:hAnsi="宋体" w:eastAsia="宋体" w:cs="宋体"/>
                <w:sz w:val="21"/>
                <w:szCs w:val="21"/>
                <w:lang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1"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91"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39"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4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72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7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jc w:val="center"/>
              <w:rPr>
                <w:rFonts w:hint="eastAsia" w:ascii="宋体" w:hAnsi="宋体" w:eastAsia="宋体" w:cs="宋体"/>
                <w:color w:val="000000"/>
                <w:sz w:val="21"/>
                <w:szCs w:val="21"/>
                <w:lang w:val="en-US" w:eastAsia="zh-CN" w:bidi="ar-SA"/>
              </w:rPr>
            </w:pPr>
            <w:r>
              <w:rPr>
                <w:rFonts w:hint="eastAsia" w:ascii="宋体" w:hAnsi="宋体" w:eastAsia="宋体" w:cs="宋体"/>
                <w:sz w:val="21"/>
                <w:szCs w:val="21"/>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0</w:t>
            </w:r>
          </w:p>
        </w:tc>
      </w:tr>
    </w:tbl>
    <w:p>
      <w:pPr>
        <w:pStyle w:val="6"/>
        <w:spacing w:before="0" w:beforeAutospacing="0" w:after="0" w:afterAutospacing="0" w:line="560" w:lineRule="exact"/>
        <w:jc w:val="both"/>
        <w:rPr>
          <w:rFonts w:hint="eastAsia" w:ascii="黑体" w:hAnsi="黑体" w:eastAsia="黑体" w:cs="黑体"/>
          <w:bCs/>
          <w:sz w:val="32"/>
          <w:szCs w:val="32"/>
        </w:rPr>
      </w:pPr>
    </w:p>
    <w:p>
      <w:pPr>
        <w:pStyle w:val="6"/>
        <w:spacing w:before="0" w:beforeAutospacing="0" w:after="0" w:afterAutospacing="0" w:line="560" w:lineRule="exact"/>
        <w:ind w:firstLine="640" w:firstLineChars="200"/>
        <w:jc w:val="both"/>
        <w:rPr>
          <w:rFonts w:hint="eastAsia"/>
        </w:rPr>
      </w:pPr>
      <w:r>
        <w:rPr>
          <w:rFonts w:hint="eastAsia" w:ascii="黑体" w:hAnsi="黑体" w:eastAsia="黑体" w:cs="黑体"/>
          <w:bCs/>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kern w:val="2"/>
          <w:sz w:val="32"/>
          <w:szCs w:val="32"/>
          <w:u w:val="none" w:color="auto"/>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以来，我办在政府信息公开工作</w:t>
      </w:r>
      <w:r>
        <w:rPr>
          <w:rFonts w:hint="default" w:ascii="Times New Roman" w:hAnsi="Times New Roman" w:eastAsia="仿宋_GB2312" w:cs="Times New Roman"/>
          <w:kern w:val="2"/>
          <w:sz w:val="32"/>
          <w:szCs w:val="32"/>
          <w:u w:val="none" w:color="auto"/>
          <w:lang w:val="en-US" w:eastAsia="zh-CN"/>
        </w:rPr>
        <w:t>然</w:t>
      </w:r>
      <w:r>
        <w:rPr>
          <w:rFonts w:hint="default" w:ascii="Times New Roman" w:hAnsi="Times New Roman" w:eastAsia="仿宋_GB2312" w:cs="Times New Roman"/>
          <w:kern w:val="2"/>
          <w:sz w:val="32"/>
          <w:szCs w:val="32"/>
          <w:u w:val="none" w:color="auto"/>
          <w:lang w:val="en-US"/>
        </w:rPr>
        <w:t>做了大量工作，取得</w:t>
      </w:r>
      <w:r>
        <w:rPr>
          <w:rFonts w:hint="default" w:ascii="Times New Roman" w:hAnsi="Times New Roman" w:eastAsia="仿宋_GB2312" w:cs="Times New Roman"/>
          <w:kern w:val="2"/>
          <w:sz w:val="32"/>
          <w:szCs w:val="32"/>
          <w:u w:val="none" w:color="auto"/>
          <w:lang w:val="en-US" w:eastAsia="zh-CN"/>
        </w:rPr>
        <w:t>了一些</w:t>
      </w:r>
      <w:r>
        <w:rPr>
          <w:rFonts w:hint="default" w:ascii="Times New Roman" w:hAnsi="Times New Roman" w:eastAsia="仿宋_GB2312" w:cs="Times New Roman"/>
          <w:kern w:val="2"/>
          <w:sz w:val="32"/>
          <w:szCs w:val="32"/>
          <w:u w:val="none" w:color="auto"/>
          <w:lang w:val="en-US"/>
        </w:rPr>
        <w:t>成绩，</w:t>
      </w:r>
      <w:r>
        <w:rPr>
          <w:rFonts w:hint="eastAsia" w:eastAsia="仿宋_GB2312" w:cs="Times New Roman"/>
          <w:kern w:val="2"/>
          <w:sz w:val="32"/>
          <w:szCs w:val="32"/>
          <w:u w:val="none" w:color="auto"/>
          <w:lang w:val="en-US" w:eastAsia="zh-CN"/>
        </w:rPr>
        <w:t>但仍然存在</w:t>
      </w:r>
      <w:r>
        <w:rPr>
          <w:rFonts w:hint="eastAsia" w:ascii="仿宋_GB2312" w:hAnsi="仿宋_GB2312" w:eastAsia="仿宋_GB2312" w:cs="仿宋_GB2312"/>
          <w:sz w:val="32"/>
          <w:szCs w:val="32"/>
        </w:rPr>
        <w:t>政务公开业务培训有待加强</w:t>
      </w:r>
      <w:r>
        <w:rPr>
          <w:rFonts w:hint="eastAsia" w:ascii="仿宋_GB2312" w:hAnsi="仿宋_GB2312" w:eastAsia="仿宋_GB2312" w:cs="仿宋_GB2312"/>
          <w:sz w:val="32"/>
          <w:szCs w:val="32"/>
          <w:lang w:eastAsia="zh-CN"/>
        </w:rPr>
        <w:t>，政务信息</w:t>
      </w:r>
      <w:r>
        <w:rPr>
          <w:rFonts w:hint="eastAsia" w:ascii="仿宋_GB2312" w:hAnsi="仿宋_GB2312" w:eastAsia="仿宋_GB2312" w:cs="仿宋_GB2312"/>
          <w:sz w:val="32"/>
          <w:szCs w:val="32"/>
        </w:rPr>
        <w:t>公开形式和渠道有待进一步拓宽，</w:t>
      </w:r>
      <w:r>
        <w:rPr>
          <w:rFonts w:hint="eastAsia" w:ascii="仿宋_GB2312" w:hAnsi="仿宋_GB2312" w:eastAsia="仿宋_GB2312" w:cs="仿宋_GB2312"/>
          <w:sz w:val="32"/>
          <w:szCs w:val="32"/>
          <w:lang w:eastAsia="zh-CN"/>
        </w:rPr>
        <w:t>政务</w:t>
      </w:r>
      <w:r>
        <w:rPr>
          <w:rFonts w:hint="eastAsia" w:ascii="仿宋_GB2312" w:hAnsi="仿宋_GB2312" w:eastAsia="仿宋_GB2312" w:cs="仿宋_GB2312"/>
          <w:sz w:val="32"/>
          <w:szCs w:val="32"/>
        </w:rPr>
        <w:t>信息公开质量有待提升等问题。</w:t>
      </w:r>
      <w:r>
        <w:rPr>
          <w:rFonts w:hint="default" w:ascii="Times New Roman" w:hAnsi="Times New Roman" w:eastAsia="仿宋_GB2312" w:cs="Times New Roman"/>
          <w:kern w:val="2"/>
          <w:sz w:val="32"/>
          <w:szCs w:val="32"/>
          <w:u w:val="none" w:color="auto"/>
          <w:lang w:val="en-US"/>
        </w:rPr>
        <w:t>针对以上问题，我们将</w:t>
      </w:r>
      <w:r>
        <w:rPr>
          <w:rFonts w:hint="eastAsia" w:eastAsia="仿宋_GB2312" w:cs="Times New Roman"/>
          <w:kern w:val="2"/>
          <w:sz w:val="32"/>
          <w:szCs w:val="32"/>
          <w:u w:val="none" w:color="auto"/>
          <w:lang w:val="en-US" w:eastAsia="zh-CN"/>
        </w:rPr>
        <w:t>进一步加大政务公开的工作力度、进一步创新政务公开的形式，进一步完善政务公开的合机制，切实发挥好政务公开在推进法治政府建设中的重要作用。</w:t>
      </w:r>
    </w:p>
    <w:p>
      <w:pPr>
        <w:pStyle w:val="6"/>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六、其他需要报告的事项</w:t>
      </w:r>
    </w:p>
    <w:p>
      <w:pPr>
        <w:pStyle w:val="6"/>
        <w:spacing w:before="0" w:beforeAutospacing="0" w:after="0" w:afterAutospacing="0" w:line="560" w:lineRule="exact"/>
        <w:ind w:firstLine="420"/>
        <w:jc w:val="both"/>
      </w:pPr>
      <w:r>
        <w:rPr>
          <w:rFonts w:hint="eastAsia" w:ascii="仿宋_GB2312" w:hAnsi="仿宋_GB2312" w:eastAsia="仿宋_GB2312" w:cs="仿宋_GB2312"/>
          <w:sz w:val="32"/>
          <w:szCs w:val="32"/>
        </w:rPr>
        <w:t>依据《湖南省财政厅湖南省发展和改革委员会关于政府信息公开信息处理费管理有关事项的通知》（湘财税〔2021〕3号）文件，本年度未收取信息处理费。</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yYzQwZWI2ZGE5Y2ZlNzdlNmRkMmMwZjY3NmI1ZGMifQ=="/>
  </w:docVars>
  <w:rsids>
    <w:rsidRoot w:val="3F407FCB"/>
    <w:rsid w:val="033F34D5"/>
    <w:rsid w:val="0A5A017E"/>
    <w:rsid w:val="0C231852"/>
    <w:rsid w:val="13936861"/>
    <w:rsid w:val="19262D57"/>
    <w:rsid w:val="1B1F6C2C"/>
    <w:rsid w:val="20CE48C1"/>
    <w:rsid w:val="20D36564"/>
    <w:rsid w:val="29C976D6"/>
    <w:rsid w:val="2CC338BC"/>
    <w:rsid w:val="303720CE"/>
    <w:rsid w:val="313729C1"/>
    <w:rsid w:val="33852B74"/>
    <w:rsid w:val="35956B5C"/>
    <w:rsid w:val="36327B03"/>
    <w:rsid w:val="39A16D33"/>
    <w:rsid w:val="3B2A61EB"/>
    <w:rsid w:val="3D6F6DEB"/>
    <w:rsid w:val="3DAC45F4"/>
    <w:rsid w:val="3F407FCB"/>
    <w:rsid w:val="410B53D9"/>
    <w:rsid w:val="41A55B6E"/>
    <w:rsid w:val="44BA4EE0"/>
    <w:rsid w:val="4C16451C"/>
    <w:rsid w:val="530812B1"/>
    <w:rsid w:val="55316B6F"/>
    <w:rsid w:val="56EE0C86"/>
    <w:rsid w:val="5BD108C9"/>
    <w:rsid w:val="5CD62A14"/>
    <w:rsid w:val="5F1A1225"/>
    <w:rsid w:val="5F6FF9C1"/>
    <w:rsid w:val="607B53F1"/>
    <w:rsid w:val="61121FFE"/>
    <w:rsid w:val="66AA0E18"/>
    <w:rsid w:val="67E9197F"/>
    <w:rsid w:val="6DC63C7F"/>
    <w:rsid w:val="7200428B"/>
    <w:rsid w:val="77895FA4"/>
    <w:rsid w:val="7B954904"/>
    <w:rsid w:val="7E5C3743"/>
    <w:rsid w:val="7FF52668"/>
    <w:rsid w:val="F89D9AF7"/>
    <w:rsid w:val="FD7619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99"/>
    <w:pPr>
      <w:widowControl w:val="0"/>
    </w:pPr>
    <w:rPr>
      <w:rFonts w:hint="eastAsia" w:ascii="Times New Roman" w:hAnsi="Times New Roman" w:eastAsia="Times New Roman" w:cs="Times New Roman"/>
      <w:color w:val="000000"/>
      <w:sz w:val="24"/>
      <w:lang w:val="zh-CN" w:eastAsia="zh-CN"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Normal Indent_3abb13be-7f2e-479c-b6ca-8380e2ddcedb"/>
    <w:qFormat/>
    <w:uiPriority w:val="0"/>
    <w:pPr>
      <w:widowControl w:val="0"/>
      <w:ind w:firstLine="420" w:firstLineChars="200"/>
      <w:jc w:val="both"/>
    </w:pPr>
    <w:rPr>
      <w:rFonts w:ascii="Times New Roman" w:hAnsi="Times New Roman" w:eastAsia="宋体" w:cs="Times New Roman"/>
      <w:kern w:val="2"/>
      <w:sz w:val="21"/>
      <w:szCs w:val="20"/>
      <w:lang w:val="en-US" w:eastAsia="zh-CN" w:bidi="ar-SA"/>
    </w:rPr>
  </w:style>
  <w:style w:type="paragraph" w:styleId="3">
    <w:name w:val="endnote text"/>
    <w:basedOn w:val="1"/>
    <w:qFormat/>
    <w:uiPriority w:val="0"/>
    <w:rPr>
      <w:rFonts w:cs="Times New Roma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next w:val="5"/>
    <w:autoRedefine/>
    <w:unhideWhenUsed/>
    <w:qFormat/>
    <w:uiPriority w:val="99"/>
    <w:pPr>
      <w:widowControl/>
      <w:spacing w:before="100" w:beforeAutospacing="1" w:after="100" w:afterAutospacing="1"/>
    </w:pPr>
    <w:rPr>
      <w:rFonts w:hint="default" w:ascii="宋体" w:hAnsi="宋体" w:eastAsia="宋体" w:cs="宋体"/>
      <w:color w:val="auto"/>
      <w:szCs w:val="24"/>
      <w:lang w:val="en-US"/>
    </w:rPr>
  </w:style>
  <w:style w:type="paragraph" w:customStyle="1" w:styleId="9">
    <w:name w:val="正  文"/>
    <w:next w:val="1"/>
    <w:autoRedefine/>
    <w:qFormat/>
    <w:uiPriority w:val="0"/>
    <w:pPr>
      <w:widowControl w:val="0"/>
      <w:spacing w:line="360" w:lineRule="auto"/>
      <w:ind w:firstLine="560" w:firstLineChars="200"/>
      <w:jc w:val="both"/>
    </w:pPr>
    <w:rPr>
      <w:rFonts w:ascii="宋体" w:hAnsi="宋体" w:eastAsia="宋体" w:cs="仿宋_GB2312"/>
      <w:kern w:val="2"/>
      <w:sz w:val="24"/>
      <w:szCs w:val="28"/>
      <w:lang w:val="en-US" w:eastAsia="zh-CN" w:bidi="ar-SA"/>
    </w:rPr>
  </w:style>
  <w:style w:type="paragraph" w:customStyle="1" w:styleId="10">
    <w:name w:val="正文格式"/>
    <w:qFormat/>
    <w:uiPriority w:val="0"/>
    <w:pPr>
      <w:spacing w:before="156" w:beforeLines="50" w:after="156" w:afterLines="50" w:line="360" w:lineRule="auto"/>
      <w:ind w:firstLine="480" w:firstLineChars="200"/>
    </w:pPr>
    <w:rPr>
      <w:rFonts w:ascii="Calibri"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2024-01-12T23:24:00Z</dcterms:created>
  <dc:creator>hn</dc:creator>
  <cp:lastModifiedBy>WPS_1687622167</cp:lastModifiedBy>
  <dcterms:modified xsi:type="dcterms:W3CDTF">2024-01-22T02:04:22Z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C60B6144C9199A4D89D4A96543963B0D</vt:lpwstr>
  </property>
</Properties>
</file>