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黑体" w:hAnsi="黑体" w:eastAsia="黑体" w:cs="黑体"/>
          <w:sz w:val="32"/>
          <w:szCs w:val="32"/>
          <w:lang w:val="en" w:eastAsia="zh-CN"/>
        </w:rPr>
      </w:pPr>
      <w:bookmarkStart w:id="0" w:name="_Toc8282"/>
      <w:r>
        <w:rPr>
          <w:rFonts w:hint="eastAsia" w:ascii="黑体" w:hAnsi="黑体" w:eastAsia="黑体" w:cs="黑体"/>
          <w:sz w:val="32"/>
          <w:szCs w:val="32"/>
        </w:rPr>
        <w:t>XTDR</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01002</w:t>
      </w:r>
    </w:p>
    <w:p>
      <w:pPr>
        <w:pageBreakBefore w:val="0"/>
        <w:widowControl w:val="0"/>
        <w:kinsoku/>
        <w:wordWrap/>
        <w:overflowPunct w:val="0"/>
        <w:topLinePunct w:val="0"/>
        <w:autoSpaceDE/>
        <w:autoSpaceDN/>
        <w:bidi w:val="0"/>
        <w:spacing w:before="0" w:after="0" w:line="586" w:lineRule="atLeast"/>
        <w:ind w:firstLine="639" w:firstLineChars="0"/>
        <w:jc w:val="center"/>
        <w:textAlignment w:val="auto"/>
        <w:rPr>
          <w:rFonts w:hint="eastAsia" w:eastAsia="仿宋_GB2312"/>
          <w:sz w:val="32"/>
        </w:rPr>
      </w:pPr>
    </w:p>
    <w:p>
      <w:pPr>
        <w:pageBreakBefore w:val="0"/>
        <w:widowControl w:val="0"/>
        <w:kinsoku/>
        <w:wordWrap/>
        <w:overflowPunct w:val="0"/>
        <w:topLinePunct w:val="0"/>
        <w:autoSpaceDE/>
        <w:autoSpaceDN/>
        <w:bidi w:val="0"/>
        <w:spacing w:before="0" w:after="0" w:line="628" w:lineRule="atLeast"/>
        <w:ind w:firstLine="720" w:firstLineChars="0"/>
        <w:jc w:val="center"/>
        <w:textAlignment w:val="auto"/>
        <w:rPr>
          <w:rFonts w:hint="eastAsia" w:eastAsia="仿宋_GB2312"/>
          <w:sz w:val="36"/>
        </w:rPr>
      </w:pPr>
    </w:p>
    <w:p>
      <w:pPr>
        <w:pageBreakBefore w:val="0"/>
        <w:widowControl w:val="0"/>
        <w:kinsoku/>
        <w:wordWrap/>
        <w:overflowPunct w:val="0"/>
        <w:topLinePunct w:val="0"/>
        <w:autoSpaceDE/>
        <w:autoSpaceDN/>
        <w:bidi w:val="0"/>
        <w:spacing w:before="0" w:after="0" w:line="357" w:lineRule="atLeast"/>
        <w:ind w:firstLine="199" w:firstLineChars="0"/>
        <w:jc w:val="center"/>
        <w:textAlignment w:val="auto"/>
        <w:rPr>
          <w:rFonts w:hint="eastAsia" w:eastAsia="仿宋_GB2312"/>
          <w:sz w:val="10"/>
        </w:rPr>
      </w:pPr>
    </w:p>
    <w:p>
      <w:pPr>
        <w:pageBreakBefore w:val="0"/>
        <w:widowControl w:val="0"/>
        <w:kinsoku/>
        <w:wordWrap/>
        <w:overflowPunct w:val="0"/>
        <w:topLinePunct w:val="0"/>
        <w:autoSpaceDE/>
        <w:autoSpaceDN/>
        <w:bidi w:val="0"/>
        <w:spacing w:before="0" w:after="0" w:line="586" w:lineRule="atLeast"/>
        <w:ind w:firstLine="639" w:firstLineChars="0"/>
        <w:jc w:val="center"/>
        <w:textAlignment w:val="auto"/>
        <w:rPr>
          <w:rFonts w:hint="eastAsia" w:eastAsia="仿宋_GB2312"/>
          <w:sz w:val="32"/>
        </w:rPr>
      </w:pPr>
    </w:p>
    <w:p>
      <w:pPr>
        <w:pageBreakBefore w:val="0"/>
        <w:widowControl w:val="0"/>
        <w:kinsoku/>
        <w:wordWrap/>
        <w:overflowPunct w:val="0"/>
        <w:topLinePunct w:val="0"/>
        <w:autoSpaceDE/>
        <w:autoSpaceDN/>
        <w:bidi w:val="0"/>
        <w:spacing w:before="0" w:after="0" w:line="586" w:lineRule="atLeast"/>
        <w:ind w:firstLine="639" w:firstLineChars="0"/>
        <w:jc w:val="center"/>
        <w:textAlignment w:val="auto"/>
        <w:rPr>
          <w:rFonts w:hint="eastAsia" w:eastAsia="仿宋_GB2312"/>
          <w:sz w:val="32"/>
        </w:rPr>
      </w:pPr>
    </w:p>
    <w:p>
      <w:pPr>
        <w:pageBreakBefore w:val="0"/>
        <w:widowControl w:val="0"/>
        <w:kinsoku/>
        <w:wordWrap/>
        <w:overflowPunct w:val="0"/>
        <w:topLinePunct w:val="0"/>
        <w:autoSpaceDE/>
        <w:autoSpaceDN/>
        <w:bidi w:val="0"/>
        <w:spacing w:before="0" w:after="0" w:line="586" w:lineRule="atLeast"/>
        <w:ind w:firstLine="639" w:firstLineChars="0"/>
        <w:jc w:val="center"/>
        <w:textAlignment w:val="auto"/>
        <w:rPr>
          <w:rFonts w:hint="eastAsia" w:eastAsia="仿宋_GB2312"/>
          <w:sz w:val="32"/>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rPr>
          <w:rFonts w:hint="eastAsia" w:ascii="仿宋_GB2312" w:eastAsia="仿宋_GB2312"/>
          <w:sz w:val="32"/>
          <w:szCs w:val="32"/>
        </w:rPr>
      </w:pPr>
      <w:r>
        <w:rPr>
          <w:rFonts w:hint="eastAsia" w:ascii="仿宋_GB2312" w:eastAsia="仿宋_GB2312"/>
          <w:sz w:val="32"/>
          <w:szCs w:val="32"/>
        </w:rPr>
        <w:t>潭县政</w:t>
      </w:r>
      <w:r>
        <w:rPr>
          <w:rFonts w:hint="eastAsia" w:ascii="仿宋_GB2312" w:eastAsia="仿宋_GB2312"/>
          <w:sz w:val="32"/>
          <w:szCs w:val="32"/>
          <w:lang w:eastAsia="zh-CN"/>
        </w:rPr>
        <w:t>办</w:t>
      </w:r>
      <w:r>
        <w:rPr>
          <w:rFonts w:hint="eastAsia" w:ascii="仿宋_GB2312" w:eastAsia="仿宋_GB2312"/>
          <w:sz w:val="32"/>
          <w:szCs w:val="32"/>
        </w:rPr>
        <w:t>发</w:t>
      </w:r>
      <w:r>
        <w:rPr>
          <w:rFonts w:hint="eastAsia" w:ascii="Times New Roman" w:hAnsi="Times New Roman" w:eastAsia="仿宋_GB2312" w:cs="Times New Roman"/>
          <w:color w:val="000000"/>
          <w:kern w:val="0"/>
          <w:sz w:val="32"/>
          <w:szCs w:val="32"/>
          <w:lang w:val="en-US" w:eastAsia="zh-CN" w:bidi="ar-SA"/>
        </w:rPr>
        <w:t>〔2024〕4</w:t>
      </w:r>
      <w:r>
        <w:rPr>
          <w:rFonts w:hint="eastAsia" w:ascii="仿宋_GB2312" w:eastAsia="仿宋_GB2312"/>
          <w:sz w:val="32"/>
          <w:szCs w:val="32"/>
        </w:rPr>
        <w:t>号</w:t>
      </w:r>
    </w:p>
    <w:p>
      <w:pPr>
        <w:keepNext w:val="0"/>
        <w:keepLines w:val="0"/>
        <w:pageBreakBefore w:val="0"/>
        <w:widowControl w:val="0"/>
        <w:kinsoku/>
        <w:wordWrap/>
        <w:overflowPunct w:val="0"/>
        <w:topLinePunct w:val="0"/>
        <w:autoSpaceDE/>
        <w:autoSpaceDN/>
        <w:bidi w:val="0"/>
        <w:adjustRightInd/>
        <w:snapToGrid/>
        <w:spacing w:before="0" w:after="0" w:line="576" w:lineRule="atLeast"/>
        <w:jc w:val="center"/>
        <w:textAlignment w:val="auto"/>
        <w:rPr>
          <w:rFonts w:hint="eastAsia"/>
          <w:sz w:val="32"/>
        </w:rPr>
      </w:pPr>
    </w:p>
    <w:p>
      <w:pPr>
        <w:keepNext w:val="0"/>
        <w:keepLines w:val="0"/>
        <w:pageBreakBefore w:val="0"/>
        <w:widowControl w:val="0"/>
        <w:kinsoku/>
        <w:wordWrap/>
        <w:overflowPunct w:val="0"/>
        <w:topLinePunct w:val="0"/>
        <w:autoSpaceDE/>
        <w:autoSpaceDN/>
        <w:bidi w:val="0"/>
        <w:adjustRightInd/>
        <w:snapToGrid/>
        <w:spacing w:before="0" w:after="0" w:line="576" w:lineRule="atLeast"/>
        <w:jc w:val="center"/>
        <w:textAlignment w:val="auto"/>
        <w:rPr>
          <w:rFonts w:hint="eastAsia" w:eastAsia="华文中宋"/>
          <w:sz w:val="32"/>
        </w:rPr>
      </w:pP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湘潭县人民政府办公室</w:t>
      </w: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关于印发《湘潭县重污染天气应急预案》的</w:t>
      </w: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hint="eastAsia"/>
          <w:lang w:val="en-US" w:eastAsia="zh-CN"/>
        </w:rPr>
      </w:pPr>
      <w:r>
        <w:rPr>
          <w:rFonts w:hint="eastAsia" w:ascii="方正小标宋简体" w:hAnsi="方正小标宋简体" w:eastAsia="方正小标宋简体" w:cs="方正小标宋简体"/>
          <w:sz w:val="44"/>
          <w:szCs w:val="44"/>
          <w:lang w:val="en-US" w:eastAsia="zh-CN"/>
        </w:rPr>
        <w:t>通     知</w:t>
      </w:r>
    </w:p>
    <w:p>
      <w:pPr>
        <w:keepNext w:val="0"/>
        <w:keepLines w:val="0"/>
        <w:pageBreakBefore w:val="0"/>
        <w:widowControl w:val="0"/>
        <w:kinsoku/>
        <w:wordWrap/>
        <w:overflowPunct w:val="0"/>
        <w:topLinePunct w:val="0"/>
        <w:autoSpaceDE/>
        <w:autoSpaceDN/>
        <w:bidi w:val="0"/>
        <w:adjustRightInd/>
        <w:snapToGrid/>
        <w:spacing w:line="480" w:lineRule="exact"/>
        <w:jc w:val="center"/>
        <w:textAlignment w:val="auto"/>
        <w:rPr>
          <w:rFonts w:hint="eastAsia"/>
          <w:sz w:val="3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480" w:lineRule="exact"/>
        <w:jc w:val="left"/>
        <w:textAlignment w:val="auto"/>
        <w:rPr>
          <w:rFonts w:hint="eastAsia" w:ascii="Times New Roman" w:hAnsi="Times New Roman" w:eastAsia="仿宋" w:cs="仿宋_GB2312"/>
          <w:sz w:val="32"/>
          <w:szCs w:val="32"/>
          <w:lang w:val="en-US" w:eastAsia="zh-CN"/>
        </w:rPr>
      </w:pPr>
      <w:r>
        <w:rPr>
          <w:rFonts w:hint="eastAsia" w:ascii="Times New Roman" w:hAnsi="Times New Roman" w:eastAsia="仿宋" w:cs="仿宋_GB2312"/>
          <w:sz w:val="32"/>
          <w:szCs w:val="32"/>
          <w:lang w:val="en-US" w:eastAsia="zh-CN"/>
        </w:rPr>
        <w:t>各乡镇人民政府，县直机关各单位，天易经开区各局室，县属和驻县各企事业单位：</w:t>
      </w:r>
    </w:p>
    <w:p>
      <w:pPr>
        <w:keepNext w:val="0"/>
        <w:keepLines w:val="0"/>
        <w:pageBreakBefore w:val="0"/>
        <w:widowControl w:val="0"/>
        <w:kinsoku/>
        <w:wordWrap/>
        <w:overflowPunct w:val="0"/>
        <w:topLinePunct w:val="0"/>
        <w:autoSpaceDE/>
        <w:autoSpaceDN/>
        <w:bidi w:val="0"/>
        <w:adjustRightInd/>
        <w:snapToGrid/>
        <w:spacing w:line="480" w:lineRule="exact"/>
        <w:jc w:val="left"/>
        <w:textAlignment w:val="auto"/>
        <w:rPr>
          <w:rFonts w:hint="eastAsia" w:ascii="Times New Roman" w:hAnsi="Times New Roman" w:eastAsia="仿宋" w:cs="仿宋_GB2312"/>
          <w:sz w:val="32"/>
          <w:szCs w:val="32"/>
          <w:lang w:val="en-US" w:eastAsia="zh-CN"/>
        </w:rPr>
      </w:pPr>
      <w:r>
        <w:rPr>
          <w:rFonts w:hint="eastAsia" w:ascii="Times New Roman" w:hAnsi="Times New Roman" w:eastAsia="仿宋" w:cs="仿宋_GB2312"/>
          <w:sz w:val="32"/>
          <w:szCs w:val="32"/>
          <w:lang w:val="en-US" w:eastAsia="zh-CN"/>
        </w:rPr>
        <w:t xml:space="preserve">   《湘潭县重污染天气应急预案》已经县人民政府同意，现予印发，请认真组织实施。</w:t>
      </w:r>
    </w:p>
    <w:p>
      <w:pPr>
        <w:keepNext w:val="0"/>
        <w:keepLines w:val="0"/>
        <w:pageBreakBefore w:val="0"/>
        <w:widowControl w:val="0"/>
        <w:kinsoku/>
        <w:wordWrap/>
        <w:overflowPunct w:val="0"/>
        <w:topLinePunct w:val="0"/>
        <w:autoSpaceDE/>
        <w:autoSpaceDN/>
        <w:bidi w:val="0"/>
        <w:adjustRightInd/>
        <w:snapToGrid/>
        <w:spacing w:line="480" w:lineRule="exact"/>
        <w:jc w:val="left"/>
        <w:textAlignment w:val="auto"/>
        <w:rPr>
          <w:rFonts w:hint="eastAsia" w:ascii="Times New Roman" w:hAnsi="Times New Roman" w:eastAsia="仿宋" w:cs="仿宋_GB2312"/>
          <w:sz w:val="3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480" w:lineRule="exact"/>
        <w:jc w:val="left"/>
        <w:textAlignment w:val="auto"/>
        <w:rPr>
          <w:rFonts w:hint="eastAsia" w:ascii="Times New Roman" w:hAnsi="Times New Roman" w:eastAsia="仿宋" w:cs="仿宋_GB2312"/>
          <w:sz w:val="3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480" w:lineRule="exact"/>
        <w:jc w:val="left"/>
        <w:textAlignment w:val="auto"/>
        <w:rPr>
          <w:rFonts w:hint="eastAsia" w:ascii="Times New Roman" w:hAnsi="Times New Roman" w:eastAsia="仿宋" w:cs="仿宋_GB2312"/>
          <w:sz w:val="32"/>
          <w:szCs w:val="32"/>
          <w:lang w:val="en-US" w:eastAsia="zh-CN"/>
        </w:rPr>
      </w:pPr>
      <w:r>
        <w:rPr>
          <w:rFonts w:hint="eastAsia" w:ascii="Times New Roman" w:hAnsi="Times New Roman" w:eastAsia="仿宋" w:cs="仿宋_GB2312"/>
          <w:sz w:val="32"/>
          <w:szCs w:val="32"/>
          <w:lang w:val="en-US" w:eastAsia="zh-CN"/>
        </w:rPr>
        <w:t xml:space="preserve">                               湘潭县人民政府办公室</w:t>
      </w:r>
    </w:p>
    <w:p>
      <w:pPr>
        <w:keepNext w:val="0"/>
        <w:keepLines w:val="0"/>
        <w:pageBreakBefore w:val="0"/>
        <w:widowControl w:val="0"/>
        <w:kinsoku/>
        <w:wordWrap/>
        <w:overflowPunct w:val="0"/>
        <w:topLinePunct w:val="0"/>
        <w:autoSpaceDE/>
        <w:autoSpaceDN/>
        <w:bidi w:val="0"/>
        <w:adjustRightInd/>
        <w:snapToGrid/>
        <w:spacing w:line="480" w:lineRule="exact"/>
        <w:jc w:val="left"/>
        <w:textAlignment w:val="auto"/>
        <w:rPr>
          <w:rFonts w:hint="eastAsia" w:ascii="Times New Roman" w:hAnsi="Times New Roman" w:eastAsia="仿宋" w:cs="仿宋_GB2312"/>
          <w:sz w:val="32"/>
          <w:szCs w:val="32"/>
          <w:lang w:val="en-US" w:eastAsia="zh-CN"/>
        </w:rPr>
      </w:pPr>
      <w:r>
        <w:rPr>
          <w:rFonts w:hint="eastAsia" w:ascii="Times New Roman" w:hAnsi="Times New Roman" w:eastAsia="仿宋" w:cs="仿宋_GB2312"/>
          <w:sz w:val="32"/>
          <w:szCs w:val="32"/>
          <w:lang w:val="en-US" w:eastAsia="zh-CN"/>
        </w:rPr>
        <w:t xml:space="preserve">                                 2024年7月19日</w:t>
      </w:r>
    </w:p>
    <w:p>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left"/>
        <w:textAlignment w:val="auto"/>
        <w:rPr>
          <w:rFonts w:hint="eastAsia" w:ascii="Times New Roman" w:hAnsi="Times New Roman" w:eastAsia="仿宋" w:cs="仿宋_GB2312"/>
          <w:sz w:val="32"/>
          <w:szCs w:val="32"/>
          <w:lang w:val="en-US" w:eastAsia="zh-CN"/>
        </w:rPr>
      </w:pPr>
      <w:r>
        <w:rPr>
          <w:rFonts w:hint="eastAsia" w:ascii="Times New Roman" w:hAnsi="Times New Roman" w:eastAsia="仿宋" w:cs="仿宋_GB2312"/>
          <w:sz w:val="32"/>
          <w:szCs w:val="32"/>
          <w:lang w:val="en-US" w:eastAsia="zh-CN"/>
        </w:rPr>
        <w:t>（此件主动公开）</w:t>
      </w:r>
    </w:p>
    <w:p>
      <w:pPr>
        <w:pageBreakBefore w:val="0"/>
        <w:kinsoku/>
        <w:wordWrap/>
        <w:overflowPunct w:val="0"/>
        <w:topLinePunct w:val="0"/>
        <w:autoSpaceDE/>
        <w:autoSpaceDN/>
        <w:bidi w:val="0"/>
        <w:adjustRightInd w:val="0"/>
        <w:snapToGrid w:val="0"/>
        <w:jc w:val="center"/>
        <w:textAlignment w:val="auto"/>
        <w:outlineLvl w:val="0"/>
        <w:rPr>
          <w:rFonts w:hint="eastAsia" w:ascii="Times New Roman" w:hAnsi="Times New Roman" w:eastAsia="仿宋" w:cs="仿宋"/>
          <w:b/>
          <w:bCs/>
          <w:sz w:val="44"/>
          <w:szCs w:val="44"/>
        </w:rPr>
      </w:pPr>
    </w:p>
    <w:p>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auto"/>
        <w:outlineLvl w:val="0"/>
        <w:rPr>
          <w:rFonts w:hint="eastAsia" w:ascii="Times New Roman" w:hAnsi="Times New Roman" w:eastAsia="仿宋" w:cs="仿宋"/>
          <w:b/>
          <w:bCs/>
          <w:sz w:val="44"/>
          <w:szCs w:val="44"/>
        </w:rPr>
      </w:pPr>
      <w:r>
        <w:rPr>
          <w:rFonts w:hint="eastAsia" w:ascii="方正小标宋简体" w:hAnsi="方正小标宋简体" w:eastAsia="方正小标宋简体" w:cs="方正小标宋简体"/>
          <w:sz w:val="44"/>
          <w:szCs w:val="44"/>
          <w:lang w:val="en-US" w:eastAsia="zh-CN"/>
        </w:rPr>
        <w:t>湘潭县重污染天气应急预案</w:t>
      </w:r>
    </w:p>
    <w:bookmarkEnd w:id="0"/>
    <w:p>
      <w:pPr>
        <w:pStyle w:val="12"/>
        <w:keepNext w:val="0"/>
        <w:keepLines w:val="0"/>
        <w:pageBreakBefore w:val="0"/>
        <w:widowControl w:val="0"/>
        <w:tabs>
          <w:tab w:val="right" w:leader="dot" w:pos="8306"/>
        </w:tabs>
        <w:kinsoku/>
        <w:wordWrap/>
        <w:overflowPunct w:val="0"/>
        <w:topLinePunct w:val="0"/>
        <w:autoSpaceDE/>
        <w:autoSpaceDN/>
        <w:bidi w:val="0"/>
        <w:spacing w:line="560" w:lineRule="exact"/>
        <w:ind w:left="0" w:leftChars="0" w:firstLine="0" w:firstLineChars="0"/>
        <w:jc w:val="center"/>
        <w:textAlignment w:val="auto"/>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目  录</w:t>
      </w:r>
    </w:p>
    <w:p>
      <w:pPr>
        <w:keepNext w:val="0"/>
        <w:keepLines w:val="0"/>
        <w:pageBreakBefore w:val="0"/>
        <w:widowControl w:val="0"/>
        <w:kinsoku/>
        <w:wordWrap/>
        <w:overflowPunct w:val="0"/>
        <w:topLinePunct w:val="0"/>
        <w:autoSpaceDE/>
        <w:autoSpaceDN/>
        <w:bidi w:val="0"/>
        <w:spacing w:line="360" w:lineRule="auto"/>
        <w:textAlignment w:val="auto"/>
        <w:rPr>
          <w:rFonts w:hint="eastAsia"/>
          <w:lang w:val="en-US" w:eastAsia="zh-CN"/>
        </w:rPr>
      </w:pPr>
    </w:p>
    <w:p>
      <w:pPr>
        <w:pStyle w:val="11"/>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hint="eastAsia" w:ascii="仿宋_GB2312" w:hAnsi="仿宋_GB2312" w:eastAsia="仿宋_GB2312" w:cs="仿宋_GB2312"/>
          <w:b/>
          <w:bCs/>
          <w:kern w:val="2"/>
          <w:sz w:val="32"/>
          <w:szCs w:val="32"/>
          <w:lang w:val="en-US" w:eastAsia="zh-CN" w:bidi="ar-SA"/>
        </w:rPr>
      </w:pPr>
      <w:r>
        <w:rPr>
          <w:rFonts w:ascii="Times New Roman" w:hAnsi="Times New Roman" w:eastAsia="仿宋"/>
          <w:sz w:val="32"/>
          <w:szCs w:val="32"/>
        </w:rPr>
        <w:fldChar w:fldCharType="begin"/>
      </w:r>
      <w:r>
        <w:rPr>
          <w:rFonts w:ascii="Times New Roman" w:hAnsi="Times New Roman" w:eastAsia="仿宋"/>
          <w:sz w:val="32"/>
          <w:szCs w:val="32"/>
        </w:rPr>
        <w:instrText xml:space="preserve">TOC \o "1-2" \h \u </w:instrText>
      </w:r>
      <w:r>
        <w:rPr>
          <w:rFonts w:ascii="Times New Roman" w:hAnsi="Times New Roman" w:eastAsia="仿宋"/>
          <w:sz w:val="32"/>
          <w:szCs w:val="32"/>
        </w:rPr>
        <w:fldChar w:fldCharType="separate"/>
      </w:r>
      <w:r>
        <w:rPr>
          <w:rFonts w:hint="eastAsia" w:ascii="仿宋_GB2312" w:hAnsi="仿宋_GB2312" w:eastAsia="仿宋_GB2312" w:cs="仿宋_GB2312"/>
          <w:b/>
          <w:bCs/>
          <w:kern w:val="2"/>
          <w:sz w:val="32"/>
          <w:szCs w:val="32"/>
          <w:lang w:val="en-US" w:eastAsia="zh-CN" w:bidi="ar-SA"/>
        </w:rPr>
        <w:fldChar w:fldCharType="begin"/>
      </w:r>
      <w:r>
        <w:rPr>
          <w:rFonts w:hint="eastAsia" w:ascii="仿宋_GB2312" w:hAnsi="仿宋_GB2312" w:eastAsia="仿宋_GB2312" w:cs="仿宋_GB2312"/>
          <w:b/>
          <w:bCs/>
          <w:kern w:val="2"/>
          <w:sz w:val="32"/>
          <w:szCs w:val="32"/>
          <w:lang w:val="en-US" w:eastAsia="zh-CN" w:bidi="ar-SA"/>
        </w:rPr>
        <w:instrText xml:space="preserve"> HYPERLINK \l "_Toc25758" </w:instrText>
      </w:r>
      <w:r>
        <w:rPr>
          <w:rFonts w:hint="eastAsia" w:ascii="仿宋_GB2312" w:hAnsi="仿宋_GB2312" w:eastAsia="仿宋_GB2312" w:cs="仿宋_GB2312"/>
          <w:b/>
          <w:bCs/>
          <w:kern w:val="2"/>
          <w:sz w:val="32"/>
          <w:szCs w:val="32"/>
          <w:lang w:val="en-US" w:eastAsia="zh-CN" w:bidi="ar-SA"/>
        </w:rPr>
        <w:fldChar w:fldCharType="separate"/>
      </w:r>
      <w:r>
        <w:rPr>
          <w:rFonts w:hint="eastAsia" w:ascii="仿宋_GB2312" w:hAnsi="仿宋_GB2312" w:eastAsia="仿宋_GB2312" w:cs="仿宋_GB2312"/>
          <w:b/>
          <w:bCs/>
          <w:kern w:val="2"/>
          <w:sz w:val="32"/>
          <w:szCs w:val="32"/>
          <w:lang w:val="en-US" w:eastAsia="zh-CN" w:bidi="ar-SA"/>
        </w:rPr>
        <w:t>1.总则</w:t>
      </w:r>
      <w:r>
        <w:rPr>
          <w:rFonts w:hint="eastAsia" w:ascii="仿宋_GB2312" w:hAnsi="仿宋_GB2312" w:eastAsia="仿宋_GB2312" w:cs="仿宋_GB2312"/>
          <w:b/>
          <w:bCs/>
          <w:kern w:val="2"/>
          <w:sz w:val="32"/>
          <w:szCs w:val="32"/>
          <w:lang w:val="en-US" w:eastAsia="zh-CN" w:bidi="ar-SA"/>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"_Toc23340" </w:instrText>
      </w:r>
      <w:r>
        <w:rPr>
          <w:sz w:val="32"/>
          <w:szCs w:val="32"/>
        </w:rPr>
        <w:fldChar w:fldCharType="separate"/>
      </w:r>
      <w:r>
        <w:rPr>
          <w:rFonts w:hint="eastAsia" w:ascii="Times New Roman" w:hAnsi="Times New Roman" w:eastAsia="仿宋"/>
          <w:sz w:val="32"/>
          <w:szCs w:val="32"/>
        </w:rPr>
        <w:t>1.1编制目的</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"_Toc4606" </w:instrText>
      </w:r>
      <w:r>
        <w:rPr>
          <w:sz w:val="32"/>
          <w:szCs w:val="32"/>
        </w:rPr>
        <w:fldChar w:fldCharType="separate"/>
      </w:r>
      <w:r>
        <w:rPr>
          <w:rFonts w:hint="eastAsia" w:ascii="Times New Roman" w:hAnsi="Times New Roman" w:eastAsia="仿宋"/>
          <w:sz w:val="32"/>
          <w:szCs w:val="32"/>
        </w:rPr>
        <w:t>1.2编制依据</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"_Toc18954" </w:instrText>
      </w:r>
      <w:r>
        <w:rPr>
          <w:sz w:val="32"/>
          <w:szCs w:val="32"/>
        </w:rPr>
        <w:fldChar w:fldCharType="separate"/>
      </w:r>
      <w:r>
        <w:rPr>
          <w:rFonts w:hint="eastAsia" w:ascii="Times New Roman" w:hAnsi="Times New Roman" w:eastAsia="仿宋"/>
          <w:sz w:val="32"/>
          <w:szCs w:val="32"/>
        </w:rPr>
        <w:t>1.3适用范围</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"_Toc18577" </w:instrText>
      </w:r>
      <w:r>
        <w:rPr>
          <w:sz w:val="32"/>
          <w:szCs w:val="32"/>
        </w:rPr>
        <w:fldChar w:fldCharType="separate"/>
      </w:r>
      <w:r>
        <w:rPr>
          <w:rFonts w:hint="eastAsia" w:ascii="Times New Roman" w:hAnsi="Times New Roman" w:eastAsia="仿宋"/>
          <w:sz w:val="32"/>
          <w:szCs w:val="32"/>
        </w:rPr>
        <w:t>1.4预案体系</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"_Toc25702" </w:instrText>
      </w:r>
      <w:r>
        <w:rPr>
          <w:sz w:val="32"/>
          <w:szCs w:val="32"/>
        </w:rPr>
        <w:fldChar w:fldCharType="separate"/>
      </w:r>
      <w:r>
        <w:rPr>
          <w:rFonts w:hint="eastAsia" w:ascii="Times New Roman" w:hAnsi="Times New Roman" w:eastAsia="仿宋"/>
          <w:sz w:val="32"/>
          <w:szCs w:val="32"/>
        </w:rPr>
        <w:t>1.5工作原则</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2" w:firstLineChars="200"/>
        <w:textAlignment w:val="auto"/>
        <w:rPr>
          <w:rFonts w:hint="eastAsia" w:ascii="仿宋_GB2312" w:hAnsi="仿宋_GB2312" w:eastAsia="仿宋_GB2312" w:cs="仿宋_GB2312"/>
          <w:b/>
          <w:bCs/>
          <w:sz w:val="32"/>
          <w:szCs w:val="32"/>
          <w:lang w:val="en-US" w:eastAsia="zh-CN" w:bidi="ar-SA"/>
        </w:rPr>
      </w:pPr>
      <w:r>
        <w:rPr>
          <w:rFonts w:hint="eastAsia" w:ascii="仿宋_GB2312" w:hAnsi="仿宋_GB2312" w:eastAsia="仿宋_GB2312" w:cs="仿宋_GB2312"/>
          <w:b/>
          <w:bCs/>
          <w:sz w:val="32"/>
          <w:szCs w:val="32"/>
          <w:lang w:val="en-US" w:eastAsia="zh-CN" w:bidi="ar-SA"/>
        </w:rPr>
        <w:fldChar w:fldCharType="begin"/>
      </w:r>
      <w:r>
        <w:rPr>
          <w:rFonts w:hint="eastAsia" w:ascii="仿宋_GB2312" w:hAnsi="仿宋_GB2312" w:eastAsia="仿宋_GB2312" w:cs="仿宋_GB2312"/>
          <w:b/>
          <w:bCs/>
          <w:sz w:val="32"/>
          <w:szCs w:val="32"/>
          <w:lang w:val="en-US" w:eastAsia="zh-CN" w:bidi="ar-SA"/>
        </w:rPr>
        <w:instrText xml:space="preserve"> HYPERLINK \l "_Toc26709" </w:instrText>
      </w:r>
      <w:r>
        <w:rPr>
          <w:rFonts w:hint="eastAsia" w:ascii="仿宋_GB2312" w:hAnsi="仿宋_GB2312" w:eastAsia="仿宋_GB2312" w:cs="仿宋_GB2312"/>
          <w:b/>
          <w:bCs/>
          <w:sz w:val="32"/>
          <w:szCs w:val="32"/>
          <w:lang w:val="en-US" w:eastAsia="zh-CN" w:bidi="ar-SA"/>
        </w:rPr>
        <w:fldChar w:fldCharType="separate"/>
      </w:r>
      <w:r>
        <w:rPr>
          <w:rFonts w:hint="eastAsia" w:ascii="仿宋_GB2312" w:hAnsi="仿宋_GB2312" w:eastAsia="仿宋_GB2312" w:cs="仿宋_GB2312"/>
          <w:b/>
          <w:bCs/>
          <w:sz w:val="32"/>
          <w:szCs w:val="32"/>
          <w:lang w:val="en-US" w:eastAsia="zh-CN" w:bidi="ar-SA"/>
        </w:rPr>
        <w:t>2.应急组织体系及职责</w:t>
      </w:r>
      <w:r>
        <w:rPr>
          <w:rFonts w:hint="eastAsia" w:ascii="仿宋_GB2312" w:hAnsi="仿宋_GB2312" w:eastAsia="仿宋_GB2312" w:cs="仿宋_GB2312"/>
          <w:b/>
          <w:bCs/>
          <w:sz w:val="32"/>
          <w:szCs w:val="32"/>
          <w:lang w:val="en-US" w:eastAsia="zh-CN" w:bidi="ar-SA"/>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"_Toc15665" </w:instrText>
      </w:r>
      <w:r>
        <w:rPr>
          <w:sz w:val="32"/>
          <w:szCs w:val="32"/>
        </w:rPr>
        <w:fldChar w:fldCharType="separate"/>
      </w:r>
      <w:r>
        <w:rPr>
          <w:rFonts w:hint="eastAsia" w:ascii="Times New Roman" w:hAnsi="Times New Roman" w:eastAsia="仿宋"/>
          <w:sz w:val="32"/>
          <w:szCs w:val="32"/>
        </w:rPr>
        <w:t>2.1县重污染天气应急指挥部</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"_Toc10195" </w:instrText>
      </w:r>
      <w:r>
        <w:rPr>
          <w:sz w:val="32"/>
          <w:szCs w:val="32"/>
        </w:rPr>
        <w:fldChar w:fldCharType="separate"/>
      </w:r>
      <w:r>
        <w:rPr>
          <w:rFonts w:hint="eastAsia" w:ascii="Times New Roman" w:hAnsi="Times New Roman" w:eastAsia="仿宋"/>
          <w:sz w:val="32"/>
          <w:szCs w:val="32"/>
        </w:rPr>
        <w:t>2.2县重污染天气应急指挥部办公室</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"_Toc19135" </w:instrText>
      </w:r>
      <w:r>
        <w:rPr>
          <w:sz w:val="32"/>
          <w:szCs w:val="32"/>
        </w:rPr>
        <w:fldChar w:fldCharType="separate"/>
      </w:r>
      <w:r>
        <w:rPr>
          <w:rFonts w:hint="eastAsia" w:ascii="Times New Roman" w:hAnsi="Times New Roman" w:eastAsia="仿宋"/>
          <w:sz w:val="32"/>
          <w:szCs w:val="32"/>
        </w:rPr>
        <w:t>2.3县重污染天气应急指挥部成员单位</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"_Toc7734" </w:instrText>
      </w:r>
      <w:r>
        <w:rPr>
          <w:sz w:val="32"/>
          <w:szCs w:val="32"/>
        </w:rPr>
        <w:fldChar w:fldCharType="separate"/>
      </w:r>
      <w:r>
        <w:rPr>
          <w:rFonts w:hint="eastAsia" w:ascii="Times New Roman" w:hAnsi="Times New Roman" w:eastAsia="仿宋"/>
          <w:sz w:val="32"/>
          <w:szCs w:val="32"/>
        </w:rPr>
        <w:t>2.4县重污染天气应对专家组</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2" w:firstLineChars="200"/>
        <w:textAlignment w:val="auto"/>
        <w:rPr>
          <w:rFonts w:hint="eastAsia" w:ascii="仿宋_GB2312" w:hAnsi="仿宋_GB2312" w:eastAsia="仿宋_GB2312" w:cs="仿宋_GB2312"/>
          <w:b/>
          <w:bCs/>
          <w:sz w:val="32"/>
          <w:szCs w:val="32"/>
          <w:lang w:val="en-US" w:eastAsia="zh-CN" w:bidi="ar-SA"/>
        </w:rPr>
      </w:pPr>
      <w:r>
        <w:rPr>
          <w:rFonts w:hint="eastAsia" w:ascii="仿宋_GB2312" w:hAnsi="仿宋_GB2312" w:eastAsia="仿宋_GB2312" w:cs="仿宋_GB2312"/>
          <w:b/>
          <w:bCs/>
          <w:sz w:val="32"/>
          <w:szCs w:val="32"/>
          <w:lang w:val="en-US" w:eastAsia="zh-CN" w:bidi="ar-SA"/>
        </w:rPr>
        <w:fldChar w:fldCharType="begin"/>
      </w:r>
      <w:r>
        <w:rPr>
          <w:rFonts w:hint="eastAsia" w:ascii="仿宋_GB2312" w:hAnsi="仿宋_GB2312" w:eastAsia="仿宋_GB2312" w:cs="仿宋_GB2312"/>
          <w:b/>
          <w:bCs/>
          <w:sz w:val="32"/>
          <w:szCs w:val="32"/>
          <w:lang w:val="en-US" w:eastAsia="zh-CN" w:bidi="ar-SA"/>
        </w:rPr>
        <w:instrText xml:space="preserve"> HYPERLINK \l "_Toc268" </w:instrText>
      </w:r>
      <w:r>
        <w:rPr>
          <w:rFonts w:hint="eastAsia" w:ascii="仿宋_GB2312" w:hAnsi="仿宋_GB2312" w:eastAsia="仿宋_GB2312" w:cs="仿宋_GB2312"/>
          <w:b/>
          <w:bCs/>
          <w:sz w:val="32"/>
          <w:szCs w:val="32"/>
          <w:lang w:val="en-US" w:eastAsia="zh-CN" w:bidi="ar-SA"/>
        </w:rPr>
        <w:fldChar w:fldCharType="separate"/>
      </w:r>
      <w:r>
        <w:rPr>
          <w:rFonts w:hint="eastAsia" w:ascii="仿宋_GB2312" w:hAnsi="仿宋_GB2312" w:eastAsia="仿宋_GB2312" w:cs="仿宋_GB2312"/>
          <w:b/>
          <w:bCs/>
          <w:sz w:val="32"/>
          <w:szCs w:val="32"/>
          <w:lang w:val="en-US" w:eastAsia="zh-CN" w:bidi="ar-SA"/>
        </w:rPr>
        <w:t>3.应急准备</w:t>
      </w:r>
      <w:r>
        <w:rPr>
          <w:rFonts w:hint="eastAsia" w:ascii="仿宋_GB2312" w:hAnsi="仿宋_GB2312" w:eastAsia="仿宋_GB2312" w:cs="仿宋_GB2312"/>
          <w:b/>
          <w:bCs/>
          <w:sz w:val="32"/>
          <w:szCs w:val="32"/>
          <w:lang w:val="en-US" w:eastAsia="zh-CN" w:bidi="ar-SA"/>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"_Toc19205" </w:instrText>
      </w:r>
      <w:r>
        <w:rPr>
          <w:sz w:val="32"/>
          <w:szCs w:val="32"/>
        </w:rPr>
        <w:fldChar w:fldCharType="separate"/>
      </w:r>
      <w:r>
        <w:rPr>
          <w:rFonts w:hint="eastAsia" w:ascii="Times New Roman" w:hAnsi="Times New Roman" w:eastAsia="仿宋"/>
          <w:sz w:val="32"/>
          <w:szCs w:val="32"/>
        </w:rPr>
        <w:t>3.1修订应急减排项目清单</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"_Toc14110" </w:instrText>
      </w:r>
      <w:r>
        <w:rPr>
          <w:sz w:val="32"/>
          <w:szCs w:val="32"/>
        </w:rPr>
        <w:fldChar w:fldCharType="separate"/>
      </w:r>
      <w:r>
        <w:rPr>
          <w:rFonts w:hint="eastAsia" w:ascii="Times New Roman" w:hAnsi="Times New Roman" w:eastAsia="仿宋"/>
          <w:sz w:val="32"/>
          <w:szCs w:val="32"/>
        </w:rPr>
        <w:t>3.2夯实应急减排措施</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"_Toc28791" </w:instrText>
      </w:r>
      <w:r>
        <w:rPr>
          <w:sz w:val="32"/>
          <w:szCs w:val="32"/>
        </w:rPr>
        <w:fldChar w:fldCharType="separate"/>
      </w:r>
      <w:r>
        <w:rPr>
          <w:rFonts w:hint="eastAsia" w:ascii="Times New Roman" w:hAnsi="Times New Roman" w:eastAsia="仿宋"/>
          <w:sz w:val="32"/>
          <w:szCs w:val="32"/>
        </w:rPr>
        <w:t>3.3指导企业制定“一厂一策”实施方案</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2" w:firstLineChars="200"/>
        <w:textAlignment w:val="auto"/>
        <w:rPr>
          <w:rFonts w:hint="eastAsia" w:ascii="仿宋_GB2312" w:hAnsi="仿宋_GB2312" w:eastAsia="仿宋_GB2312" w:cs="仿宋_GB2312"/>
          <w:b/>
          <w:bCs/>
          <w:sz w:val="32"/>
          <w:szCs w:val="32"/>
          <w:lang w:val="en-US" w:eastAsia="zh-CN" w:bidi="ar-SA"/>
        </w:rPr>
      </w:pPr>
      <w:r>
        <w:rPr>
          <w:rFonts w:hint="eastAsia" w:ascii="仿宋_GB2312" w:hAnsi="仿宋_GB2312" w:eastAsia="仿宋_GB2312" w:cs="仿宋_GB2312"/>
          <w:b/>
          <w:bCs/>
          <w:sz w:val="32"/>
          <w:szCs w:val="32"/>
          <w:lang w:val="en-US" w:eastAsia="zh-CN" w:bidi="ar-SA"/>
        </w:rPr>
        <w:fldChar w:fldCharType="begin"/>
      </w:r>
      <w:r>
        <w:rPr>
          <w:rFonts w:hint="eastAsia" w:ascii="仿宋_GB2312" w:hAnsi="仿宋_GB2312" w:eastAsia="仿宋_GB2312" w:cs="仿宋_GB2312"/>
          <w:b/>
          <w:bCs/>
          <w:sz w:val="32"/>
          <w:szCs w:val="32"/>
          <w:lang w:val="en-US" w:eastAsia="zh-CN" w:bidi="ar-SA"/>
        </w:rPr>
        <w:instrText xml:space="preserve"> HYPERLINK \l "_Toc30825" </w:instrText>
      </w:r>
      <w:r>
        <w:rPr>
          <w:rFonts w:hint="eastAsia" w:ascii="仿宋_GB2312" w:hAnsi="仿宋_GB2312" w:eastAsia="仿宋_GB2312" w:cs="仿宋_GB2312"/>
          <w:b/>
          <w:bCs/>
          <w:sz w:val="32"/>
          <w:szCs w:val="32"/>
          <w:lang w:val="en-US" w:eastAsia="zh-CN" w:bidi="ar-SA"/>
        </w:rPr>
        <w:fldChar w:fldCharType="separate"/>
      </w:r>
      <w:r>
        <w:rPr>
          <w:rFonts w:hint="eastAsia" w:ascii="仿宋_GB2312" w:hAnsi="仿宋_GB2312" w:eastAsia="仿宋_GB2312" w:cs="仿宋_GB2312"/>
          <w:b/>
          <w:bCs/>
          <w:sz w:val="32"/>
          <w:szCs w:val="32"/>
          <w:lang w:val="en-US" w:eastAsia="zh-CN" w:bidi="ar-SA"/>
        </w:rPr>
        <w:t>4.监测与预警</w:t>
      </w:r>
      <w:r>
        <w:rPr>
          <w:rFonts w:hint="eastAsia" w:ascii="仿宋_GB2312" w:hAnsi="仿宋_GB2312" w:eastAsia="仿宋_GB2312" w:cs="仿宋_GB2312"/>
          <w:b/>
          <w:bCs/>
          <w:sz w:val="32"/>
          <w:szCs w:val="32"/>
          <w:lang w:val="en-US" w:eastAsia="zh-CN" w:bidi="ar-SA"/>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"_Toc32206" </w:instrText>
      </w:r>
      <w:r>
        <w:rPr>
          <w:sz w:val="32"/>
          <w:szCs w:val="32"/>
        </w:rPr>
        <w:fldChar w:fldCharType="separate"/>
      </w:r>
      <w:r>
        <w:rPr>
          <w:rFonts w:hint="eastAsia" w:ascii="Times New Roman" w:hAnsi="Times New Roman" w:eastAsia="仿宋"/>
          <w:sz w:val="32"/>
          <w:szCs w:val="32"/>
        </w:rPr>
        <w:t>4.1监测与预报</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"_Toc10849" </w:instrText>
      </w:r>
      <w:r>
        <w:rPr>
          <w:sz w:val="32"/>
          <w:szCs w:val="32"/>
        </w:rPr>
        <w:fldChar w:fldCharType="separate"/>
      </w:r>
      <w:r>
        <w:rPr>
          <w:rFonts w:hint="eastAsia" w:ascii="Times New Roman" w:hAnsi="Times New Roman" w:eastAsia="仿宋"/>
          <w:sz w:val="32"/>
          <w:szCs w:val="32"/>
        </w:rPr>
        <w:t>4.2预警分级</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"_Toc28948" </w:instrText>
      </w:r>
      <w:r>
        <w:rPr>
          <w:sz w:val="32"/>
          <w:szCs w:val="32"/>
        </w:rPr>
        <w:fldChar w:fldCharType="separate"/>
      </w:r>
      <w:r>
        <w:rPr>
          <w:rFonts w:hint="eastAsia" w:ascii="Times New Roman" w:hAnsi="Times New Roman" w:eastAsia="仿宋"/>
          <w:sz w:val="32"/>
          <w:szCs w:val="32"/>
        </w:rPr>
        <w:t>4.3预警会商</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"_Toc28579" </w:instrText>
      </w:r>
      <w:r>
        <w:rPr>
          <w:sz w:val="32"/>
          <w:szCs w:val="32"/>
        </w:rPr>
        <w:fldChar w:fldCharType="separate"/>
      </w:r>
      <w:r>
        <w:rPr>
          <w:rFonts w:hint="eastAsia" w:ascii="Times New Roman" w:hAnsi="Times New Roman" w:eastAsia="仿宋"/>
          <w:sz w:val="32"/>
          <w:szCs w:val="32"/>
        </w:rPr>
        <w:t>4.4预警发布</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"_Toc5165" </w:instrText>
      </w:r>
      <w:r>
        <w:rPr>
          <w:sz w:val="32"/>
          <w:szCs w:val="32"/>
        </w:rPr>
        <w:fldChar w:fldCharType="separate"/>
      </w:r>
      <w:r>
        <w:rPr>
          <w:rFonts w:hint="eastAsia" w:ascii="Times New Roman" w:hAnsi="Times New Roman" w:eastAsia="仿宋"/>
          <w:sz w:val="32"/>
          <w:szCs w:val="32"/>
        </w:rPr>
        <w:t>4.5预警变更</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"_Toc15706" </w:instrText>
      </w:r>
      <w:r>
        <w:rPr>
          <w:sz w:val="32"/>
          <w:szCs w:val="32"/>
        </w:rPr>
        <w:fldChar w:fldCharType="separate"/>
      </w:r>
      <w:r>
        <w:rPr>
          <w:rFonts w:hint="eastAsia" w:ascii="Times New Roman" w:hAnsi="Times New Roman" w:eastAsia="仿宋"/>
          <w:sz w:val="32"/>
          <w:szCs w:val="32"/>
        </w:rPr>
        <w:t>4.6预警解除</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2" w:firstLineChars="200"/>
        <w:textAlignment w:val="auto"/>
        <w:rPr>
          <w:rFonts w:hint="eastAsia" w:ascii="仿宋_GB2312" w:hAnsi="仿宋_GB2312" w:eastAsia="仿宋_GB2312" w:cs="仿宋_GB2312"/>
          <w:b/>
          <w:bCs/>
          <w:sz w:val="32"/>
          <w:szCs w:val="32"/>
          <w:lang w:val="en-US" w:eastAsia="zh-CN" w:bidi="ar-SA"/>
        </w:rPr>
      </w:pPr>
      <w:r>
        <w:rPr>
          <w:rFonts w:hint="eastAsia" w:ascii="仿宋_GB2312" w:hAnsi="仿宋_GB2312" w:eastAsia="仿宋_GB2312" w:cs="仿宋_GB2312"/>
          <w:b/>
          <w:bCs/>
          <w:sz w:val="32"/>
          <w:szCs w:val="32"/>
          <w:lang w:val="en-US" w:eastAsia="zh-CN" w:bidi="ar-SA"/>
        </w:rPr>
        <w:fldChar w:fldCharType="begin"/>
      </w:r>
      <w:r>
        <w:rPr>
          <w:rFonts w:hint="eastAsia" w:ascii="仿宋_GB2312" w:hAnsi="仿宋_GB2312" w:eastAsia="仿宋_GB2312" w:cs="仿宋_GB2312"/>
          <w:b/>
          <w:bCs/>
          <w:sz w:val="32"/>
          <w:szCs w:val="32"/>
          <w:lang w:val="en-US" w:eastAsia="zh-CN" w:bidi="ar-SA"/>
        </w:rPr>
        <w:instrText xml:space="preserve"> HYPERLINK \l "_Toc22308" </w:instrText>
      </w:r>
      <w:r>
        <w:rPr>
          <w:rFonts w:hint="eastAsia" w:ascii="仿宋_GB2312" w:hAnsi="仿宋_GB2312" w:eastAsia="仿宋_GB2312" w:cs="仿宋_GB2312"/>
          <w:b/>
          <w:bCs/>
          <w:sz w:val="32"/>
          <w:szCs w:val="32"/>
          <w:lang w:val="en-US" w:eastAsia="zh-CN" w:bidi="ar-SA"/>
        </w:rPr>
        <w:fldChar w:fldCharType="separate"/>
      </w:r>
      <w:r>
        <w:rPr>
          <w:rFonts w:hint="eastAsia" w:ascii="仿宋_GB2312" w:hAnsi="仿宋_GB2312" w:eastAsia="仿宋_GB2312" w:cs="仿宋_GB2312"/>
          <w:b/>
          <w:bCs/>
          <w:sz w:val="32"/>
          <w:szCs w:val="32"/>
          <w:lang w:val="en-US" w:eastAsia="zh-CN" w:bidi="ar-SA"/>
        </w:rPr>
        <w:t>5.应急响应</w:t>
      </w:r>
      <w:r>
        <w:rPr>
          <w:rFonts w:hint="eastAsia" w:ascii="仿宋_GB2312" w:hAnsi="仿宋_GB2312" w:eastAsia="仿宋_GB2312" w:cs="仿宋_GB2312"/>
          <w:b/>
          <w:bCs/>
          <w:sz w:val="32"/>
          <w:szCs w:val="32"/>
          <w:lang w:val="en-US" w:eastAsia="zh-CN" w:bidi="ar-SA"/>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"_Toc31942" </w:instrText>
      </w:r>
      <w:r>
        <w:rPr>
          <w:sz w:val="32"/>
          <w:szCs w:val="32"/>
        </w:rPr>
        <w:fldChar w:fldCharType="separate"/>
      </w:r>
      <w:r>
        <w:rPr>
          <w:rFonts w:hint="eastAsia" w:ascii="Times New Roman" w:hAnsi="Times New Roman" w:eastAsia="仿宋"/>
          <w:sz w:val="32"/>
          <w:szCs w:val="32"/>
        </w:rPr>
        <w:t>5.1响应分级及启动</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fldChar w:fldCharType="begin"/>
      </w:r>
      <w:r>
        <w:rPr>
          <w:rFonts w:hint="eastAsia" w:ascii="Times New Roman" w:hAnsi="Times New Roman" w:eastAsia="仿宋"/>
          <w:sz w:val="32"/>
          <w:szCs w:val="32"/>
        </w:rPr>
        <w:instrText xml:space="preserve"> HYPERLINK \l "_Toc23054" </w:instrText>
      </w:r>
      <w:r>
        <w:rPr>
          <w:rFonts w:hint="eastAsia" w:ascii="Times New Roman" w:hAnsi="Times New Roman" w:eastAsia="仿宋"/>
          <w:sz w:val="32"/>
          <w:szCs w:val="32"/>
        </w:rPr>
        <w:fldChar w:fldCharType="separate"/>
      </w:r>
      <w:r>
        <w:rPr>
          <w:rFonts w:hint="eastAsia" w:ascii="Times New Roman" w:hAnsi="Times New Roman" w:eastAsia="仿宋"/>
          <w:sz w:val="32"/>
          <w:szCs w:val="32"/>
        </w:rPr>
        <w:t>5.2</w:t>
      </w:r>
      <w:r>
        <w:rPr>
          <w:rFonts w:hint="eastAsia" w:ascii="Times New Roman" w:hAnsi="Times New Roman" w:eastAsia="仿宋"/>
          <w:sz w:val="32"/>
          <w:szCs w:val="32"/>
          <w:lang w:val="en-US" w:eastAsia="zh-CN"/>
        </w:rPr>
        <w:t>黄</w:t>
      </w:r>
      <w:r>
        <w:rPr>
          <w:rFonts w:hint="eastAsia" w:ascii="Times New Roman" w:hAnsi="Times New Roman" w:eastAsia="仿宋"/>
          <w:b w:val="0"/>
          <w:sz w:val="32"/>
          <w:szCs w:val="32"/>
        </w:rPr>
        <w:t>色（</w:t>
      </w:r>
      <w:r>
        <w:rPr>
          <w:rFonts w:hint="eastAsia" w:ascii="Times New Roman" w:hAnsi="Times New Roman" w:eastAsia="仿宋" w:cs="Times New Roman"/>
          <w:sz w:val="32"/>
          <w:szCs w:val="32"/>
        </w:rPr>
        <w:t>Ⅲ</w:t>
      </w:r>
      <w:r>
        <w:rPr>
          <w:rFonts w:hint="eastAsia" w:ascii="Times New Roman" w:hAnsi="Times New Roman" w:eastAsia="仿宋"/>
          <w:b w:val="0"/>
          <w:sz w:val="32"/>
          <w:szCs w:val="32"/>
        </w:rPr>
        <w:t>级）预警应急响应措施</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fldChar w:fldCharType="begin"/>
      </w:r>
      <w:r>
        <w:rPr>
          <w:rFonts w:hint="eastAsia" w:ascii="Times New Roman" w:hAnsi="Times New Roman" w:eastAsia="仿宋"/>
          <w:sz w:val="32"/>
          <w:szCs w:val="32"/>
        </w:rPr>
        <w:instrText xml:space="preserve"> HYPERLINK \l "_Toc8727" </w:instrText>
      </w:r>
      <w:r>
        <w:rPr>
          <w:rFonts w:hint="eastAsia" w:ascii="Times New Roman" w:hAnsi="Times New Roman" w:eastAsia="仿宋"/>
          <w:sz w:val="32"/>
          <w:szCs w:val="32"/>
        </w:rPr>
        <w:fldChar w:fldCharType="separate"/>
      </w:r>
      <w:r>
        <w:rPr>
          <w:rFonts w:hint="eastAsia" w:ascii="Times New Roman" w:hAnsi="Times New Roman" w:eastAsia="仿宋"/>
          <w:sz w:val="32"/>
          <w:szCs w:val="32"/>
        </w:rPr>
        <w:t>5.3</w:t>
      </w:r>
      <w:r>
        <w:rPr>
          <w:rFonts w:hint="eastAsia" w:ascii="Times New Roman" w:hAnsi="Times New Roman" w:eastAsia="仿宋"/>
          <w:b w:val="0"/>
          <w:sz w:val="32"/>
          <w:szCs w:val="32"/>
        </w:rPr>
        <w:t>橙色（</w:t>
      </w:r>
      <w:r>
        <w:rPr>
          <w:rFonts w:hint="eastAsia" w:ascii="Times New Roman" w:hAnsi="Times New Roman" w:eastAsia="仿宋" w:cs="Times New Roman"/>
          <w:sz w:val="32"/>
          <w:szCs w:val="32"/>
        </w:rPr>
        <w:t>Ⅱ</w:t>
      </w:r>
      <w:r>
        <w:rPr>
          <w:rFonts w:hint="eastAsia" w:ascii="Times New Roman" w:hAnsi="Times New Roman" w:eastAsia="仿宋"/>
          <w:b w:val="0"/>
          <w:sz w:val="32"/>
          <w:szCs w:val="32"/>
        </w:rPr>
        <w:t>级）预警应急响应措施</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fldChar w:fldCharType="begin"/>
      </w:r>
      <w:r>
        <w:rPr>
          <w:rFonts w:hint="eastAsia" w:ascii="Times New Roman" w:hAnsi="Times New Roman" w:eastAsia="仿宋"/>
          <w:sz w:val="32"/>
          <w:szCs w:val="32"/>
        </w:rPr>
        <w:instrText xml:space="preserve"> HYPERLINK \l "_Toc24791" </w:instrText>
      </w:r>
      <w:r>
        <w:rPr>
          <w:rFonts w:hint="eastAsia" w:ascii="Times New Roman" w:hAnsi="Times New Roman" w:eastAsia="仿宋"/>
          <w:sz w:val="32"/>
          <w:szCs w:val="32"/>
        </w:rPr>
        <w:fldChar w:fldCharType="separate"/>
      </w:r>
      <w:r>
        <w:rPr>
          <w:rFonts w:hint="eastAsia" w:ascii="Times New Roman" w:hAnsi="Times New Roman" w:eastAsia="仿宋"/>
          <w:sz w:val="32"/>
          <w:szCs w:val="32"/>
        </w:rPr>
        <w:t>5.4</w:t>
      </w:r>
      <w:r>
        <w:rPr>
          <w:rFonts w:hint="eastAsia" w:ascii="Times New Roman" w:hAnsi="Times New Roman" w:eastAsia="仿宋"/>
          <w:sz w:val="32"/>
          <w:szCs w:val="32"/>
          <w:lang w:val="en-US" w:eastAsia="zh-CN"/>
        </w:rPr>
        <w:t>红</w:t>
      </w:r>
      <w:r>
        <w:rPr>
          <w:rFonts w:hint="eastAsia" w:ascii="Times New Roman" w:hAnsi="Times New Roman" w:eastAsia="仿宋"/>
          <w:b w:val="0"/>
          <w:sz w:val="32"/>
          <w:szCs w:val="32"/>
        </w:rPr>
        <w:t>色（</w:t>
      </w:r>
      <w:r>
        <w:rPr>
          <w:rFonts w:hint="eastAsia" w:ascii="Times New Roman" w:hAnsi="Times New Roman" w:eastAsia="仿宋" w:cs="Times New Roman"/>
          <w:sz w:val="32"/>
          <w:szCs w:val="32"/>
        </w:rPr>
        <w:t>Ⅰ</w:t>
      </w:r>
      <w:r>
        <w:rPr>
          <w:rFonts w:hint="eastAsia" w:ascii="Times New Roman" w:hAnsi="Times New Roman" w:eastAsia="仿宋"/>
          <w:b w:val="0"/>
          <w:sz w:val="32"/>
          <w:szCs w:val="32"/>
        </w:rPr>
        <w:t>级）预警应急响应措施</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"_Toc22425" </w:instrText>
      </w:r>
      <w:r>
        <w:rPr>
          <w:sz w:val="32"/>
          <w:szCs w:val="32"/>
        </w:rPr>
        <w:fldChar w:fldCharType="separate"/>
      </w:r>
      <w:r>
        <w:rPr>
          <w:rFonts w:hint="eastAsia" w:ascii="Times New Roman" w:hAnsi="Times New Roman" w:eastAsia="仿宋"/>
          <w:sz w:val="32"/>
          <w:szCs w:val="32"/>
        </w:rPr>
        <w:t>5.5响应级别调整与终止</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2" w:firstLineChars="200"/>
        <w:textAlignment w:val="auto"/>
        <w:rPr>
          <w:rFonts w:hint="eastAsia" w:ascii="仿宋_GB2312" w:hAnsi="仿宋_GB2312" w:eastAsia="仿宋_GB2312" w:cs="仿宋_GB2312"/>
          <w:b/>
          <w:bCs/>
          <w:sz w:val="32"/>
          <w:szCs w:val="32"/>
          <w:lang w:val="en-US" w:eastAsia="zh-CN" w:bidi="ar-SA"/>
        </w:rPr>
      </w:pPr>
      <w:r>
        <w:rPr>
          <w:rFonts w:hint="eastAsia" w:ascii="仿宋_GB2312" w:hAnsi="仿宋_GB2312" w:eastAsia="仿宋_GB2312" w:cs="仿宋_GB2312"/>
          <w:b/>
          <w:bCs/>
          <w:sz w:val="32"/>
          <w:szCs w:val="32"/>
          <w:lang w:val="en-US" w:eastAsia="zh-CN" w:bidi="ar-SA"/>
        </w:rPr>
        <w:fldChar w:fldCharType="begin"/>
      </w:r>
      <w:r>
        <w:rPr>
          <w:rFonts w:hint="eastAsia" w:ascii="仿宋_GB2312" w:hAnsi="仿宋_GB2312" w:eastAsia="仿宋_GB2312" w:cs="仿宋_GB2312"/>
          <w:b/>
          <w:bCs/>
          <w:sz w:val="32"/>
          <w:szCs w:val="32"/>
          <w:lang w:val="en-US" w:eastAsia="zh-CN" w:bidi="ar-SA"/>
        </w:rPr>
        <w:instrText xml:space="preserve"> HYPERLINK \l "_Toc17266" </w:instrText>
      </w:r>
      <w:r>
        <w:rPr>
          <w:rFonts w:hint="eastAsia" w:ascii="仿宋_GB2312" w:hAnsi="仿宋_GB2312" w:eastAsia="仿宋_GB2312" w:cs="仿宋_GB2312"/>
          <w:b/>
          <w:bCs/>
          <w:sz w:val="32"/>
          <w:szCs w:val="32"/>
          <w:lang w:val="en-US" w:eastAsia="zh-CN" w:bidi="ar-SA"/>
        </w:rPr>
        <w:fldChar w:fldCharType="separate"/>
      </w:r>
      <w:r>
        <w:rPr>
          <w:rFonts w:hint="eastAsia" w:ascii="仿宋_GB2312" w:hAnsi="仿宋_GB2312" w:eastAsia="仿宋_GB2312" w:cs="仿宋_GB2312"/>
          <w:b/>
          <w:bCs/>
          <w:sz w:val="32"/>
          <w:szCs w:val="32"/>
          <w:lang w:val="en-US" w:eastAsia="zh-CN" w:bidi="ar-SA"/>
        </w:rPr>
        <w:t>6.区域应急联动</w:t>
      </w:r>
      <w:r>
        <w:rPr>
          <w:rFonts w:hint="eastAsia" w:ascii="仿宋_GB2312" w:hAnsi="仿宋_GB2312" w:eastAsia="仿宋_GB2312" w:cs="仿宋_GB2312"/>
          <w:b/>
          <w:bCs/>
          <w:sz w:val="32"/>
          <w:szCs w:val="32"/>
          <w:lang w:val="en-US" w:eastAsia="zh-CN" w:bidi="ar-SA"/>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2" w:firstLineChars="200"/>
        <w:textAlignment w:val="auto"/>
        <w:rPr>
          <w:rFonts w:hint="eastAsia" w:ascii="仿宋_GB2312" w:hAnsi="仿宋_GB2312" w:eastAsia="仿宋_GB2312" w:cs="仿宋_GB2312"/>
          <w:b/>
          <w:bCs/>
          <w:sz w:val="32"/>
          <w:szCs w:val="32"/>
          <w:lang w:val="en-US" w:eastAsia="zh-CN" w:bidi="ar-SA"/>
        </w:rPr>
      </w:pPr>
      <w:r>
        <w:rPr>
          <w:rFonts w:hint="eastAsia" w:ascii="仿宋_GB2312" w:hAnsi="仿宋_GB2312" w:eastAsia="仿宋_GB2312" w:cs="仿宋_GB2312"/>
          <w:b/>
          <w:bCs/>
          <w:sz w:val="32"/>
          <w:szCs w:val="32"/>
          <w:lang w:val="en-US" w:eastAsia="zh-CN" w:bidi="ar-SA"/>
        </w:rPr>
        <w:fldChar w:fldCharType="begin"/>
      </w:r>
      <w:r>
        <w:rPr>
          <w:rFonts w:hint="eastAsia" w:ascii="仿宋_GB2312" w:hAnsi="仿宋_GB2312" w:eastAsia="仿宋_GB2312" w:cs="仿宋_GB2312"/>
          <w:b/>
          <w:bCs/>
          <w:sz w:val="32"/>
          <w:szCs w:val="32"/>
          <w:lang w:val="en-US" w:eastAsia="zh-CN" w:bidi="ar-SA"/>
        </w:rPr>
        <w:instrText xml:space="preserve"> HYPERLINK \l "_Toc21368" </w:instrText>
      </w:r>
      <w:r>
        <w:rPr>
          <w:rFonts w:hint="eastAsia" w:ascii="仿宋_GB2312" w:hAnsi="仿宋_GB2312" w:eastAsia="仿宋_GB2312" w:cs="仿宋_GB2312"/>
          <w:b/>
          <w:bCs/>
          <w:sz w:val="32"/>
          <w:szCs w:val="32"/>
          <w:lang w:val="en-US" w:eastAsia="zh-CN" w:bidi="ar-SA"/>
        </w:rPr>
        <w:fldChar w:fldCharType="separate"/>
      </w:r>
      <w:r>
        <w:rPr>
          <w:rFonts w:hint="eastAsia" w:ascii="仿宋_GB2312" w:hAnsi="仿宋_GB2312" w:eastAsia="仿宋_GB2312" w:cs="仿宋_GB2312"/>
          <w:b/>
          <w:bCs/>
          <w:sz w:val="32"/>
          <w:szCs w:val="32"/>
          <w:lang w:val="en-US" w:eastAsia="zh-CN" w:bidi="ar-SA"/>
        </w:rPr>
        <w:t>7.总结评估</w:t>
      </w:r>
      <w:r>
        <w:rPr>
          <w:rFonts w:hint="eastAsia" w:ascii="仿宋_GB2312" w:hAnsi="仿宋_GB2312" w:eastAsia="仿宋_GB2312" w:cs="仿宋_GB2312"/>
          <w:b/>
          <w:bCs/>
          <w:sz w:val="32"/>
          <w:szCs w:val="32"/>
          <w:lang w:val="en-US" w:eastAsia="zh-CN" w:bidi="ar-SA"/>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2" w:firstLineChars="200"/>
        <w:textAlignment w:val="auto"/>
        <w:rPr>
          <w:rFonts w:hint="eastAsia" w:ascii="仿宋_GB2312" w:hAnsi="仿宋_GB2312" w:eastAsia="仿宋_GB2312" w:cs="仿宋_GB2312"/>
          <w:b/>
          <w:bCs/>
          <w:sz w:val="32"/>
          <w:szCs w:val="32"/>
          <w:lang w:val="en-US" w:eastAsia="zh-CN" w:bidi="ar-SA"/>
        </w:rPr>
      </w:pPr>
      <w:r>
        <w:rPr>
          <w:rFonts w:hint="eastAsia" w:ascii="仿宋_GB2312" w:hAnsi="仿宋_GB2312" w:eastAsia="仿宋_GB2312" w:cs="仿宋_GB2312"/>
          <w:b/>
          <w:bCs/>
          <w:sz w:val="32"/>
          <w:szCs w:val="32"/>
          <w:lang w:val="en-US" w:eastAsia="zh-CN" w:bidi="ar-SA"/>
        </w:rPr>
        <w:fldChar w:fldCharType="begin"/>
      </w:r>
      <w:r>
        <w:rPr>
          <w:rFonts w:hint="eastAsia" w:ascii="仿宋_GB2312" w:hAnsi="仿宋_GB2312" w:eastAsia="仿宋_GB2312" w:cs="仿宋_GB2312"/>
          <w:b/>
          <w:bCs/>
          <w:sz w:val="32"/>
          <w:szCs w:val="32"/>
          <w:lang w:val="en-US" w:eastAsia="zh-CN" w:bidi="ar-SA"/>
        </w:rPr>
        <w:instrText xml:space="preserve"> HYPERLINK \l "_Toc7398" </w:instrText>
      </w:r>
      <w:r>
        <w:rPr>
          <w:rFonts w:hint="eastAsia" w:ascii="仿宋_GB2312" w:hAnsi="仿宋_GB2312" w:eastAsia="仿宋_GB2312" w:cs="仿宋_GB2312"/>
          <w:b/>
          <w:bCs/>
          <w:sz w:val="32"/>
          <w:szCs w:val="32"/>
          <w:lang w:val="en-US" w:eastAsia="zh-CN" w:bidi="ar-SA"/>
        </w:rPr>
        <w:fldChar w:fldCharType="separate"/>
      </w:r>
      <w:r>
        <w:rPr>
          <w:rFonts w:hint="eastAsia" w:ascii="仿宋_GB2312" w:hAnsi="仿宋_GB2312" w:eastAsia="仿宋_GB2312" w:cs="仿宋_GB2312"/>
          <w:b/>
          <w:bCs/>
          <w:sz w:val="32"/>
          <w:szCs w:val="32"/>
          <w:lang w:val="en-US" w:eastAsia="zh-CN" w:bidi="ar-SA"/>
        </w:rPr>
        <w:t>8.应急保障</w:t>
      </w:r>
      <w:r>
        <w:rPr>
          <w:rFonts w:hint="eastAsia" w:ascii="仿宋_GB2312" w:hAnsi="仿宋_GB2312" w:eastAsia="仿宋_GB2312" w:cs="仿宋_GB2312"/>
          <w:b/>
          <w:bCs/>
          <w:sz w:val="32"/>
          <w:szCs w:val="32"/>
          <w:lang w:val="en-US" w:eastAsia="zh-CN" w:bidi="ar-SA"/>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"_Toc14215" </w:instrText>
      </w:r>
      <w:r>
        <w:rPr>
          <w:sz w:val="32"/>
          <w:szCs w:val="32"/>
        </w:rPr>
        <w:fldChar w:fldCharType="separate"/>
      </w:r>
      <w:r>
        <w:rPr>
          <w:rFonts w:hint="eastAsia" w:ascii="Times New Roman" w:hAnsi="Times New Roman" w:eastAsia="仿宋"/>
          <w:sz w:val="32"/>
          <w:szCs w:val="32"/>
        </w:rPr>
        <w:t>8.1组织保障</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"_Toc6294" </w:instrText>
      </w:r>
      <w:r>
        <w:rPr>
          <w:sz w:val="32"/>
          <w:szCs w:val="32"/>
        </w:rPr>
        <w:fldChar w:fldCharType="separate"/>
      </w:r>
      <w:r>
        <w:rPr>
          <w:rFonts w:hint="eastAsia" w:ascii="Times New Roman" w:hAnsi="Times New Roman" w:eastAsia="仿宋"/>
          <w:sz w:val="32"/>
          <w:szCs w:val="32"/>
        </w:rPr>
        <w:t>8.2资金保障</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"_Toc24960" </w:instrText>
      </w:r>
      <w:r>
        <w:rPr>
          <w:sz w:val="32"/>
          <w:szCs w:val="32"/>
        </w:rPr>
        <w:fldChar w:fldCharType="separate"/>
      </w:r>
      <w:r>
        <w:rPr>
          <w:rFonts w:hint="eastAsia" w:ascii="Times New Roman" w:hAnsi="Times New Roman" w:eastAsia="仿宋"/>
          <w:sz w:val="32"/>
          <w:szCs w:val="32"/>
        </w:rPr>
        <w:t>8.3技术保障</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"_Toc1454" </w:instrText>
      </w:r>
      <w:r>
        <w:rPr>
          <w:sz w:val="32"/>
          <w:szCs w:val="32"/>
        </w:rPr>
        <w:fldChar w:fldCharType="separate"/>
      </w:r>
      <w:r>
        <w:rPr>
          <w:rFonts w:hint="eastAsia" w:ascii="Times New Roman" w:hAnsi="Times New Roman" w:eastAsia="仿宋"/>
          <w:sz w:val="32"/>
          <w:szCs w:val="32"/>
        </w:rPr>
        <w:t>8.4通信保障</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"_Toc4820" </w:instrText>
      </w:r>
      <w:r>
        <w:rPr>
          <w:sz w:val="32"/>
          <w:szCs w:val="32"/>
        </w:rPr>
        <w:fldChar w:fldCharType="separate"/>
      </w:r>
      <w:r>
        <w:rPr>
          <w:rFonts w:hint="eastAsia" w:ascii="Times New Roman" w:hAnsi="Times New Roman" w:eastAsia="仿宋"/>
          <w:sz w:val="32"/>
          <w:szCs w:val="32"/>
        </w:rPr>
        <w:t>8.5宣传保障</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2" w:firstLineChars="200"/>
        <w:textAlignment w:val="auto"/>
        <w:rPr>
          <w:rFonts w:hint="eastAsia" w:ascii="仿宋_GB2312" w:hAnsi="仿宋_GB2312" w:eastAsia="仿宋_GB2312" w:cs="仿宋_GB2312"/>
          <w:b/>
          <w:bCs/>
          <w:sz w:val="32"/>
          <w:szCs w:val="32"/>
          <w:lang w:val="en-US" w:eastAsia="zh-CN" w:bidi="ar-SA"/>
        </w:rPr>
      </w:pPr>
      <w:r>
        <w:rPr>
          <w:rFonts w:hint="eastAsia" w:ascii="仿宋_GB2312" w:hAnsi="仿宋_GB2312" w:eastAsia="仿宋_GB2312" w:cs="仿宋_GB2312"/>
          <w:b/>
          <w:bCs/>
          <w:sz w:val="32"/>
          <w:szCs w:val="32"/>
          <w:lang w:val="en-US" w:eastAsia="zh-CN" w:bidi="ar-SA"/>
        </w:rPr>
        <w:fldChar w:fldCharType="begin"/>
      </w:r>
      <w:r>
        <w:rPr>
          <w:rFonts w:hint="eastAsia" w:ascii="仿宋_GB2312" w:hAnsi="仿宋_GB2312" w:eastAsia="仿宋_GB2312" w:cs="仿宋_GB2312"/>
          <w:b/>
          <w:bCs/>
          <w:sz w:val="32"/>
          <w:szCs w:val="32"/>
          <w:lang w:val="en-US" w:eastAsia="zh-CN" w:bidi="ar-SA"/>
        </w:rPr>
        <w:instrText xml:space="preserve"> HYPERLINK \l "_Toc23933" </w:instrText>
      </w:r>
      <w:r>
        <w:rPr>
          <w:rFonts w:hint="eastAsia" w:ascii="仿宋_GB2312" w:hAnsi="仿宋_GB2312" w:eastAsia="仿宋_GB2312" w:cs="仿宋_GB2312"/>
          <w:b/>
          <w:bCs/>
          <w:sz w:val="32"/>
          <w:szCs w:val="32"/>
          <w:lang w:val="en-US" w:eastAsia="zh-CN" w:bidi="ar-SA"/>
        </w:rPr>
        <w:fldChar w:fldCharType="separate"/>
      </w:r>
      <w:r>
        <w:rPr>
          <w:rFonts w:hint="eastAsia" w:ascii="仿宋_GB2312" w:hAnsi="仿宋_GB2312" w:eastAsia="仿宋_GB2312" w:cs="仿宋_GB2312"/>
          <w:b/>
          <w:bCs/>
          <w:sz w:val="32"/>
          <w:szCs w:val="32"/>
          <w:lang w:val="en-US" w:eastAsia="zh-CN" w:bidi="ar-SA"/>
        </w:rPr>
        <w:t>9.预案管理</w:t>
      </w:r>
      <w:r>
        <w:rPr>
          <w:rFonts w:hint="eastAsia" w:ascii="仿宋_GB2312" w:hAnsi="仿宋_GB2312" w:eastAsia="仿宋_GB2312" w:cs="仿宋_GB2312"/>
          <w:b/>
          <w:bCs/>
          <w:sz w:val="32"/>
          <w:szCs w:val="32"/>
          <w:lang w:val="en-US" w:eastAsia="zh-CN" w:bidi="ar-SA"/>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"_Toc1827" </w:instrText>
      </w:r>
      <w:r>
        <w:rPr>
          <w:sz w:val="32"/>
          <w:szCs w:val="32"/>
        </w:rPr>
        <w:fldChar w:fldCharType="separate"/>
      </w:r>
      <w:r>
        <w:rPr>
          <w:rFonts w:hint="eastAsia" w:ascii="Times New Roman" w:hAnsi="Times New Roman" w:eastAsia="仿宋"/>
          <w:sz w:val="32"/>
          <w:szCs w:val="32"/>
        </w:rPr>
        <w:t>9.1预案宣传</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"_Toc21876" </w:instrText>
      </w:r>
      <w:r>
        <w:rPr>
          <w:sz w:val="32"/>
          <w:szCs w:val="32"/>
        </w:rPr>
        <w:fldChar w:fldCharType="separate"/>
      </w:r>
      <w:r>
        <w:rPr>
          <w:rFonts w:hint="eastAsia" w:ascii="Times New Roman" w:hAnsi="Times New Roman" w:eastAsia="仿宋"/>
          <w:sz w:val="32"/>
          <w:szCs w:val="32"/>
        </w:rPr>
        <w:t>9.2预案培训</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"_Toc2199" </w:instrText>
      </w:r>
      <w:r>
        <w:rPr>
          <w:sz w:val="32"/>
          <w:szCs w:val="32"/>
        </w:rPr>
        <w:fldChar w:fldCharType="separate"/>
      </w:r>
      <w:r>
        <w:rPr>
          <w:rFonts w:hint="eastAsia" w:ascii="Times New Roman" w:hAnsi="Times New Roman" w:eastAsia="仿宋"/>
          <w:sz w:val="32"/>
          <w:szCs w:val="32"/>
        </w:rPr>
        <w:t>9.3预案管理</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"_Toc14814" </w:instrText>
      </w:r>
      <w:r>
        <w:rPr>
          <w:sz w:val="32"/>
          <w:szCs w:val="32"/>
        </w:rPr>
        <w:fldChar w:fldCharType="separate"/>
      </w:r>
      <w:r>
        <w:rPr>
          <w:rFonts w:hint="eastAsia" w:ascii="Times New Roman" w:hAnsi="Times New Roman" w:eastAsia="仿宋"/>
          <w:sz w:val="32"/>
          <w:szCs w:val="32"/>
        </w:rPr>
        <w:t>9.4预案</w:t>
      </w:r>
      <w:r>
        <w:rPr>
          <w:rFonts w:hint="eastAsia" w:ascii="Times New Roman" w:hAnsi="Times New Roman" w:eastAsia="仿宋"/>
          <w:sz w:val="32"/>
          <w:szCs w:val="32"/>
          <w:lang w:val="en-US" w:eastAsia="zh-CN"/>
        </w:rPr>
        <w:t>实施</w:t>
      </w:r>
      <w:r>
        <w:rPr>
          <w:rFonts w:ascii="Times New Roman" w:hAnsi="Times New Roman" w:eastAsia="仿宋"/>
          <w:sz w:val="32"/>
          <w:szCs w:val="32"/>
        </w:rPr>
        <w:fldChar w:fldCharType="end"/>
      </w:r>
    </w:p>
    <w:p>
      <w:pPr>
        <w:pStyle w:val="12"/>
        <w:pageBreakBefore w:val="0"/>
        <w:tabs>
          <w:tab w:val="right" w:leader="dot" w:pos="8306"/>
        </w:tabs>
        <w:kinsoku/>
        <w:wordWrap/>
        <w:overflowPunct w:val="0"/>
        <w:topLinePunct w:val="0"/>
        <w:autoSpaceDE/>
        <w:autoSpaceDN/>
        <w:bidi w:val="0"/>
        <w:spacing w:line="360" w:lineRule="auto"/>
        <w:ind w:left="0" w:leftChars="0" w:firstLine="640" w:firstLineChars="200"/>
        <w:textAlignment w:val="auto"/>
        <w:rPr>
          <w:rFonts w:ascii="Times New Roman" w:hAnsi="Times New Roman" w:eastAsia="仿宋"/>
          <w:sz w:val="32"/>
          <w:szCs w:val="32"/>
        </w:rPr>
      </w:pPr>
      <w:r>
        <w:rPr>
          <w:sz w:val="32"/>
          <w:szCs w:val="32"/>
        </w:rPr>
        <w:fldChar w:fldCharType="begin"/>
      </w:r>
      <w:r>
        <w:rPr>
          <w:sz w:val="32"/>
          <w:szCs w:val="32"/>
        </w:rPr>
        <w:instrText xml:space="preserve"> HYPERLINK \l "_Toc12902" </w:instrText>
      </w:r>
      <w:r>
        <w:rPr>
          <w:sz w:val="32"/>
          <w:szCs w:val="32"/>
        </w:rPr>
        <w:fldChar w:fldCharType="separate"/>
      </w:r>
      <w:r>
        <w:rPr>
          <w:rFonts w:hint="eastAsia" w:ascii="仿宋_GB2312" w:hAnsi="仿宋_GB2312" w:eastAsia="仿宋_GB2312" w:cs="仿宋_GB2312"/>
          <w:b/>
          <w:bCs/>
          <w:sz w:val="32"/>
          <w:szCs w:val="32"/>
        </w:rPr>
        <w:t>10.</w:t>
      </w:r>
      <w:r>
        <w:rPr>
          <w:rFonts w:hint="eastAsia" w:ascii="Times New Roman" w:hAnsi="Times New Roman" w:eastAsia="仿宋"/>
          <w:b/>
          <w:bCs/>
          <w:sz w:val="32"/>
          <w:szCs w:val="32"/>
        </w:rPr>
        <w:t>附则</w:t>
      </w:r>
      <w:r>
        <w:rPr>
          <w:rFonts w:ascii="Times New Roman" w:hAnsi="Times New Roman" w:eastAsia="仿宋"/>
          <w:b/>
          <w:bCs/>
          <w:sz w:val="32"/>
          <w:szCs w:val="32"/>
        </w:rPr>
        <w:fldChar w:fldCharType="end"/>
      </w:r>
      <w:r>
        <w:rPr>
          <w:rFonts w:ascii="Times New Roman" w:hAnsi="Times New Roman" w:eastAsia="仿宋"/>
          <w:sz w:val="32"/>
          <w:szCs w:val="32"/>
        </w:rPr>
        <w:fldChar w:fldCharType="end"/>
      </w:r>
    </w:p>
    <w:p>
      <w:pPr>
        <w:pStyle w:val="13"/>
        <w:pageBreakBefore w:val="0"/>
        <w:widowControl/>
        <w:kinsoku/>
        <w:wordWrap/>
        <w:overflowPunct w:val="0"/>
        <w:topLinePunct w:val="0"/>
        <w:autoSpaceDE/>
        <w:autoSpaceDN/>
        <w:bidi w:val="0"/>
        <w:spacing w:before="0" w:beforeAutospacing="0" w:after="0" w:afterAutospacing="0" w:line="420" w:lineRule="atLeast"/>
        <w:ind w:firstLine="420"/>
        <w:jc w:val="center"/>
        <w:textAlignment w:val="auto"/>
        <w:outlineLvl w:val="0"/>
        <w:rPr>
          <w:rFonts w:ascii="Times New Roman" w:hAnsi="Times New Roman" w:eastAsia="仿宋" w:cs="仿宋"/>
          <w:b/>
          <w:bCs/>
          <w:color w:val="000000"/>
          <w:sz w:val="32"/>
          <w:szCs w:val="32"/>
          <w:shd w:val="clear" w:color="auto" w:fill="FFFFFF"/>
        </w:rPr>
        <w:sectPr>
          <w:footerReference r:id="rId3" w:type="default"/>
          <w:pgSz w:w="11906" w:h="16838"/>
          <w:pgMar w:top="2098" w:right="1587" w:bottom="1984" w:left="1474" w:header="851" w:footer="992" w:gutter="0"/>
          <w:pgNumType w:fmt="numberInDash" w:start="1"/>
          <w:cols w:space="720" w:num="1"/>
          <w:docGrid w:type="lines" w:linePitch="312" w:charSpace="0"/>
        </w:sectPr>
      </w:pPr>
      <w:bookmarkStart w:id="1" w:name="_Toc18507"/>
    </w:p>
    <w:bookmarkEnd w:id="1"/>
    <w:p>
      <w:pPr>
        <w:pStyle w:val="3"/>
        <w:pageBreakBefore w:val="0"/>
        <w:kinsoku/>
        <w:wordWrap/>
        <w:overflowPunct w:val="0"/>
        <w:topLinePunct w:val="0"/>
        <w:autoSpaceDE/>
        <w:autoSpaceDN/>
        <w:bidi w:val="0"/>
        <w:spacing w:before="0" w:after="0" w:line="560" w:lineRule="exact"/>
        <w:ind w:firstLine="640" w:firstLineChars="200"/>
        <w:textAlignment w:val="auto"/>
        <w:rPr>
          <w:rFonts w:hint="eastAsia" w:ascii="黑体" w:hAnsi="黑体" w:eastAsia="黑体" w:cs="黑体"/>
          <w:b w:val="0"/>
          <w:bCs/>
          <w:sz w:val="32"/>
          <w:szCs w:val="32"/>
        </w:rPr>
      </w:pPr>
      <w:bookmarkStart w:id="2" w:name="_Toc25758"/>
      <w:bookmarkStart w:id="3" w:name="_Toc15937"/>
      <w:bookmarkStart w:id="4" w:name="_Toc27677"/>
      <w:bookmarkStart w:id="5" w:name="_Toc5448"/>
      <w:r>
        <w:rPr>
          <w:rFonts w:hint="eastAsia" w:ascii="黑体" w:hAnsi="黑体" w:eastAsia="黑体" w:cs="黑体"/>
          <w:b w:val="0"/>
          <w:bCs/>
          <w:sz w:val="32"/>
          <w:szCs w:val="32"/>
        </w:rPr>
        <w:t>1.总则</w:t>
      </w:r>
      <w:bookmarkEnd w:id="2"/>
      <w:bookmarkEnd w:id="3"/>
      <w:bookmarkEnd w:id="4"/>
      <w:bookmarkEnd w:id="5"/>
    </w:p>
    <w:p>
      <w:pPr>
        <w:pStyle w:val="4"/>
        <w:pageBreakBefore w:val="0"/>
        <w:kinsoku/>
        <w:wordWrap/>
        <w:overflowPunct w:val="0"/>
        <w:topLinePunct w:val="0"/>
        <w:autoSpaceDE/>
        <w:autoSpaceDN/>
        <w:bidi w:val="0"/>
        <w:spacing w:line="560" w:lineRule="exact"/>
        <w:ind w:firstLine="642" w:firstLineChars="200"/>
        <w:textAlignment w:val="auto"/>
        <w:rPr>
          <w:rFonts w:hint="eastAsia" w:ascii="楷体_GB2312" w:hAnsi="楷体_GB2312" w:eastAsia="楷体_GB2312" w:cs="楷体_GB2312"/>
        </w:rPr>
      </w:pPr>
      <w:bookmarkStart w:id="6" w:name="_Toc24476"/>
      <w:bookmarkStart w:id="7" w:name="_Toc23340"/>
      <w:bookmarkStart w:id="8" w:name="_Toc2401"/>
      <w:bookmarkStart w:id="9" w:name="_Toc29057"/>
      <w:r>
        <w:rPr>
          <w:rFonts w:hint="eastAsia" w:ascii="楷体_GB2312" w:hAnsi="楷体_GB2312" w:eastAsia="楷体_GB2312" w:cs="楷体_GB2312"/>
        </w:rPr>
        <w:t>1.1编制目的</w:t>
      </w:r>
      <w:bookmarkEnd w:id="6"/>
      <w:bookmarkEnd w:id="7"/>
      <w:bookmarkEnd w:id="8"/>
      <w:bookmarkEnd w:id="9"/>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建立健全湘潭县重污染天气应对机制，统筹做好全县重污染天气应急响应工作，提高重污染天气预防预警、应急响应能力和环境精细化管理水平，切实</w:t>
      </w:r>
      <w:r>
        <w:rPr>
          <w:rFonts w:hint="eastAsia" w:eastAsia="仿宋" w:cs="仿宋"/>
          <w:sz w:val="32"/>
          <w:szCs w:val="32"/>
          <w:lang w:val="en-US" w:eastAsia="zh-CN"/>
        </w:rPr>
        <w:t>减轻</w:t>
      </w:r>
      <w:r>
        <w:rPr>
          <w:rFonts w:hint="eastAsia" w:eastAsia="仿宋" w:cs="仿宋"/>
          <w:sz w:val="32"/>
          <w:szCs w:val="32"/>
        </w:rPr>
        <w:t>污染</w:t>
      </w:r>
      <w:r>
        <w:rPr>
          <w:rFonts w:hint="eastAsia" w:eastAsia="仿宋" w:cs="仿宋"/>
          <w:sz w:val="32"/>
          <w:szCs w:val="32"/>
          <w:lang w:val="en-US" w:eastAsia="zh-CN"/>
        </w:rPr>
        <w:t>危害</w:t>
      </w:r>
      <w:r>
        <w:rPr>
          <w:rFonts w:hint="eastAsia" w:eastAsia="仿宋" w:cs="仿宋"/>
          <w:sz w:val="32"/>
          <w:szCs w:val="32"/>
        </w:rPr>
        <w:t>，</w:t>
      </w:r>
      <w:r>
        <w:rPr>
          <w:rFonts w:hint="eastAsia" w:eastAsia="仿宋" w:cs="仿宋"/>
          <w:sz w:val="32"/>
          <w:szCs w:val="32"/>
          <w:lang w:val="en-US" w:eastAsia="zh-CN"/>
        </w:rPr>
        <w:t>保障人民群众身体</w:t>
      </w:r>
      <w:r>
        <w:rPr>
          <w:rFonts w:hint="eastAsia" w:eastAsia="仿宋" w:cs="仿宋"/>
          <w:sz w:val="32"/>
          <w:szCs w:val="32"/>
        </w:rPr>
        <w:t>健康。</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10" w:name="_Toc1211"/>
      <w:bookmarkStart w:id="11" w:name="_Toc181"/>
      <w:bookmarkStart w:id="12" w:name="_Toc4606"/>
      <w:bookmarkStart w:id="13" w:name="_Toc11019"/>
      <w:r>
        <w:rPr>
          <w:rFonts w:hint="eastAsia" w:ascii="楷体_GB2312" w:hAnsi="楷体_GB2312" w:eastAsia="楷体_GB2312" w:cs="楷体_GB2312"/>
        </w:rPr>
        <w:t>1.2编制依据</w:t>
      </w:r>
      <w:bookmarkEnd w:id="10"/>
      <w:bookmarkEnd w:id="11"/>
      <w:bookmarkEnd w:id="12"/>
      <w:bookmarkEnd w:id="13"/>
    </w:p>
    <w:p>
      <w:pPr>
        <w:pageBreakBefore w:val="0"/>
        <w:widowControl/>
        <w:kinsoku/>
        <w:wordWrap/>
        <w:overflowPunct w:val="0"/>
        <w:topLinePunct w:val="0"/>
        <w:autoSpaceDE/>
        <w:autoSpaceDN/>
        <w:bidi w:val="0"/>
        <w:spacing w:line="560" w:lineRule="exact"/>
        <w:ind w:firstLine="640" w:firstLineChars="200"/>
        <w:jc w:val="both"/>
        <w:textAlignment w:val="auto"/>
        <w:rPr>
          <w:rFonts w:ascii="Times New Roman" w:hAnsi="Times New Roman" w:eastAsia="仿宋" w:cs="仿宋"/>
          <w:kern w:val="0"/>
          <w:sz w:val="32"/>
          <w:szCs w:val="32"/>
        </w:rPr>
      </w:pPr>
      <w:r>
        <w:rPr>
          <w:rFonts w:hint="eastAsia" w:ascii="Times New Roman" w:hAnsi="Times New Roman" w:eastAsia="仿宋" w:cs="仿宋"/>
          <w:kern w:val="0"/>
          <w:sz w:val="32"/>
          <w:szCs w:val="32"/>
        </w:rPr>
        <w:t>《中华人民共和国突发事件应对法》《中华人民共和国环境保护法》《中华人民共和国大气污染防治法》《中共中央国务院关于全面加强生态环境保护坚决打好污染防治攻坚战的意见》《生态环境部办公厅关于推进重污染天气应急预案修订工作的指导意见》（环办大气函</w:t>
      </w:r>
      <w:r>
        <w:rPr>
          <w:rFonts w:hint="eastAsia" w:ascii="仿宋_GB2312" w:hAnsi="仿宋_GB2312" w:eastAsia="仿宋_GB2312" w:cs="仿宋_GB2312"/>
          <w:kern w:val="0"/>
          <w:sz w:val="32"/>
          <w:szCs w:val="32"/>
        </w:rPr>
        <w:t>〔</w:t>
      </w:r>
      <w:r>
        <w:rPr>
          <w:rFonts w:hint="eastAsia" w:ascii="Times New Roman" w:hAnsi="Times New Roman" w:eastAsia="仿宋" w:cs="仿宋"/>
          <w:kern w:val="0"/>
          <w:sz w:val="32"/>
          <w:szCs w:val="32"/>
        </w:rPr>
        <w:t>2018</w:t>
      </w:r>
      <w:r>
        <w:rPr>
          <w:rFonts w:hint="eastAsia" w:ascii="仿宋_GB2312" w:hAnsi="仿宋_GB2312" w:eastAsia="仿宋_GB2312" w:cs="仿宋_GB2312"/>
          <w:kern w:val="0"/>
          <w:sz w:val="32"/>
          <w:szCs w:val="32"/>
        </w:rPr>
        <w:t>〕</w:t>
      </w:r>
      <w:r>
        <w:rPr>
          <w:rFonts w:hint="eastAsia" w:ascii="Times New Roman" w:hAnsi="Times New Roman" w:eastAsia="仿宋" w:cs="仿宋"/>
          <w:kern w:val="0"/>
          <w:sz w:val="32"/>
          <w:szCs w:val="32"/>
        </w:rPr>
        <w:t>875号）</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《关于加强重污染天气应对夯实应急减排措施的指导意见》（环办大气函</w:t>
      </w:r>
      <w:r>
        <w:rPr>
          <w:rFonts w:hint="eastAsia" w:ascii="仿宋_GB2312" w:hAnsi="仿宋_GB2312" w:eastAsia="仿宋_GB2312" w:cs="仿宋_GB2312"/>
          <w:kern w:val="0"/>
          <w:sz w:val="32"/>
          <w:szCs w:val="32"/>
        </w:rPr>
        <w:t>〔</w:t>
      </w:r>
      <w:r>
        <w:rPr>
          <w:rFonts w:hint="eastAsia" w:ascii="Times New Roman" w:hAnsi="Times New Roman" w:eastAsia="仿宋" w:cs="仿宋"/>
          <w:kern w:val="0"/>
          <w:sz w:val="32"/>
          <w:szCs w:val="32"/>
        </w:rPr>
        <w:t>2019</w:t>
      </w:r>
      <w:r>
        <w:rPr>
          <w:rFonts w:hint="eastAsia" w:ascii="仿宋_GB2312" w:hAnsi="仿宋_GB2312" w:eastAsia="仿宋_GB2312" w:cs="仿宋_GB2312"/>
          <w:kern w:val="0"/>
          <w:sz w:val="32"/>
          <w:szCs w:val="32"/>
        </w:rPr>
        <w:t>〕</w:t>
      </w:r>
      <w:r>
        <w:rPr>
          <w:rFonts w:hint="eastAsia" w:ascii="Times New Roman" w:hAnsi="Times New Roman" w:eastAsia="仿宋" w:cs="仿宋"/>
          <w:kern w:val="0"/>
          <w:sz w:val="32"/>
          <w:szCs w:val="32"/>
        </w:rPr>
        <w:t>648号）</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《重污染天气重点行业应急减排措施制定技术指南（2020年修订版）》《湖南省环境保护条例》《湖南省大气污染防治条例》《湖南省重污染天气应急预案》（湘政办发</w:t>
      </w:r>
      <w:r>
        <w:rPr>
          <w:rFonts w:hint="eastAsia" w:ascii="仿宋_GB2312" w:hAnsi="仿宋_GB2312" w:eastAsia="仿宋_GB2312" w:cs="仿宋_GB2312"/>
          <w:kern w:val="0"/>
          <w:sz w:val="32"/>
          <w:szCs w:val="32"/>
        </w:rPr>
        <w:t>〔</w:t>
      </w:r>
      <w:r>
        <w:rPr>
          <w:rFonts w:hint="eastAsia" w:ascii="Times New Roman" w:hAnsi="Times New Roman" w:eastAsia="仿宋" w:cs="仿宋"/>
          <w:kern w:val="0"/>
          <w:sz w:val="32"/>
          <w:szCs w:val="32"/>
        </w:rPr>
        <w:t>2023</w:t>
      </w:r>
      <w:r>
        <w:rPr>
          <w:rFonts w:hint="eastAsia" w:ascii="仿宋_GB2312" w:hAnsi="仿宋_GB2312" w:eastAsia="仿宋_GB2312" w:cs="仿宋_GB2312"/>
          <w:kern w:val="0"/>
          <w:sz w:val="32"/>
          <w:szCs w:val="32"/>
        </w:rPr>
        <w:t>〕</w:t>
      </w:r>
      <w:r>
        <w:rPr>
          <w:rFonts w:hint="eastAsia" w:ascii="Times New Roman" w:hAnsi="Times New Roman" w:eastAsia="仿宋" w:cs="仿宋"/>
          <w:kern w:val="0"/>
          <w:sz w:val="32"/>
          <w:szCs w:val="32"/>
        </w:rPr>
        <w:t>53号）</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《湘潭市突发环境事件应急预案》（潭政办发</w:t>
      </w:r>
      <w:r>
        <w:rPr>
          <w:rFonts w:hint="eastAsia" w:ascii="仿宋_GB2312" w:hAnsi="仿宋_GB2312" w:eastAsia="仿宋_GB2312" w:cs="仿宋_GB2312"/>
          <w:kern w:val="0"/>
          <w:sz w:val="32"/>
          <w:szCs w:val="32"/>
        </w:rPr>
        <w:t>〔</w:t>
      </w:r>
      <w:r>
        <w:rPr>
          <w:rFonts w:hint="eastAsia" w:ascii="Times New Roman" w:hAnsi="Times New Roman" w:eastAsia="仿宋" w:cs="仿宋"/>
          <w:kern w:val="0"/>
          <w:sz w:val="32"/>
          <w:szCs w:val="32"/>
        </w:rPr>
        <w:t>2019</w:t>
      </w:r>
      <w:r>
        <w:rPr>
          <w:rFonts w:hint="eastAsia" w:ascii="仿宋_GB2312" w:hAnsi="仿宋_GB2312" w:eastAsia="仿宋_GB2312" w:cs="仿宋_GB2312"/>
          <w:kern w:val="0"/>
          <w:sz w:val="32"/>
          <w:szCs w:val="32"/>
        </w:rPr>
        <w:t>〕</w:t>
      </w:r>
      <w:r>
        <w:rPr>
          <w:rFonts w:hint="eastAsia" w:ascii="Times New Roman" w:hAnsi="Times New Roman" w:eastAsia="仿宋" w:cs="仿宋"/>
          <w:kern w:val="0"/>
          <w:sz w:val="32"/>
          <w:szCs w:val="32"/>
        </w:rPr>
        <w:t>6号）</w:t>
      </w:r>
      <w:r>
        <w:rPr>
          <w:rFonts w:hint="eastAsia" w:ascii="Times New Roman" w:hAnsi="Times New Roman" w:eastAsia="仿宋" w:cs="仿宋"/>
          <w:kern w:val="0"/>
          <w:sz w:val="32"/>
          <w:szCs w:val="32"/>
          <w:lang w:eastAsia="zh-CN"/>
        </w:rPr>
        <w:t>、</w:t>
      </w:r>
      <w:r>
        <w:rPr>
          <w:rFonts w:hint="eastAsia" w:ascii="Times New Roman" w:hAnsi="Times New Roman" w:eastAsia="仿宋" w:cs="仿宋"/>
          <w:kern w:val="0"/>
          <w:sz w:val="32"/>
          <w:szCs w:val="32"/>
        </w:rPr>
        <w:t>《湘潭市重污染天气应急预案》（潭政办发</w:t>
      </w:r>
      <w:r>
        <w:rPr>
          <w:rFonts w:hint="eastAsia" w:ascii="仿宋_GB2312" w:hAnsi="仿宋_GB2312" w:eastAsia="仿宋_GB2312" w:cs="仿宋_GB2312"/>
          <w:kern w:val="0"/>
          <w:sz w:val="32"/>
          <w:szCs w:val="32"/>
        </w:rPr>
        <w:t>〔</w:t>
      </w:r>
      <w:r>
        <w:rPr>
          <w:rFonts w:hint="eastAsia" w:ascii="Times New Roman" w:hAnsi="Times New Roman" w:eastAsia="仿宋" w:cs="仿宋"/>
          <w:kern w:val="0"/>
          <w:sz w:val="32"/>
          <w:szCs w:val="32"/>
        </w:rPr>
        <w:t>2022</w:t>
      </w:r>
      <w:r>
        <w:rPr>
          <w:rFonts w:hint="eastAsia" w:ascii="仿宋_GB2312" w:hAnsi="仿宋_GB2312" w:eastAsia="仿宋_GB2312" w:cs="仿宋_GB2312"/>
          <w:kern w:val="0"/>
          <w:sz w:val="32"/>
          <w:szCs w:val="32"/>
        </w:rPr>
        <w:t>〕</w:t>
      </w:r>
      <w:r>
        <w:rPr>
          <w:rFonts w:hint="eastAsia" w:ascii="Times New Roman" w:hAnsi="Times New Roman" w:eastAsia="仿宋" w:cs="仿宋"/>
          <w:kern w:val="0"/>
          <w:sz w:val="32"/>
          <w:szCs w:val="32"/>
        </w:rPr>
        <w:t>44号）等法律法规和有关规定。</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14" w:name="_Toc18954"/>
      <w:bookmarkStart w:id="15" w:name="_Toc11692"/>
      <w:bookmarkStart w:id="16" w:name="_Toc25432"/>
      <w:r>
        <w:rPr>
          <w:rFonts w:hint="eastAsia" w:ascii="楷体_GB2312" w:hAnsi="楷体_GB2312" w:eastAsia="楷体_GB2312" w:cs="楷体_GB2312"/>
        </w:rPr>
        <w:t>1.3适用范围</w:t>
      </w:r>
      <w:bookmarkEnd w:id="14"/>
      <w:bookmarkEnd w:id="15"/>
      <w:bookmarkEnd w:id="16"/>
    </w:p>
    <w:p>
      <w:pPr>
        <w:pageBreakBefore w:val="0"/>
        <w:kinsoku/>
        <w:wordWrap/>
        <w:overflowPunct w:val="0"/>
        <w:topLinePunct w:val="0"/>
        <w:autoSpaceDE/>
        <w:autoSpaceDN/>
        <w:bidi w:val="0"/>
        <w:snapToGrid w:val="0"/>
        <w:spacing w:line="560" w:lineRule="exact"/>
        <w:ind w:firstLine="640" w:firstLineChars="200"/>
        <w:textAlignment w:val="auto"/>
        <w:rPr>
          <w:rFonts w:ascii="Times New Roman" w:hAnsi="Times New Roman" w:eastAsia="仿宋" w:cs="仿宋"/>
          <w:sz w:val="32"/>
          <w:szCs w:val="32"/>
        </w:rPr>
      </w:pPr>
      <w:r>
        <w:rPr>
          <w:rFonts w:hint="eastAsia" w:ascii="Times New Roman" w:hAnsi="Times New Roman" w:eastAsia="仿宋_GB2312"/>
          <w:sz w:val="32"/>
          <w:szCs w:val="32"/>
        </w:rPr>
        <w:t>本预案适用于湘潭县行政区域内</w:t>
      </w:r>
      <w:r>
        <w:rPr>
          <w:rFonts w:ascii="Times New Roman" w:hAnsi="Times New Roman" w:eastAsia="仿宋_GB2312"/>
          <w:snapToGrid w:val="0"/>
          <w:kern w:val="21"/>
          <w:sz w:val="32"/>
          <w:szCs w:val="32"/>
        </w:rPr>
        <w:t>出现的除沙尘天气外的重污染天气预警及应急响应工作。国家</w:t>
      </w:r>
      <w:r>
        <w:rPr>
          <w:rFonts w:hint="eastAsia" w:ascii="Times New Roman" w:hAnsi="Times New Roman" w:eastAsia="仿宋_GB2312"/>
          <w:snapToGrid w:val="0"/>
          <w:kern w:val="21"/>
          <w:sz w:val="32"/>
          <w:szCs w:val="32"/>
        </w:rPr>
        <w:t>、省</w:t>
      </w:r>
      <w:r>
        <w:rPr>
          <w:rFonts w:hint="eastAsia" w:ascii="Times New Roman" w:hAnsi="Times New Roman" w:eastAsia="仿宋_GB2312"/>
          <w:snapToGrid w:val="0"/>
          <w:kern w:val="21"/>
          <w:sz w:val="32"/>
          <w:szCs w:val="32"/>
          <w:lang w:eastAsia="zh-CN"/>
        </w:rPr>
        <w:t>、</w:t>
      </w:r>
      <w:r>
        <w:rPr>
          <w:rFonts w:hint="eastAsia" w:ascii="Times New Roman" w:hAnsi="Times New Roman" w:eastAsia="仿宋_GB2312"/>
          <w:snapToGrid w:val="0"/>
          <w:kern w:val="21"/>
          <w:sz w:val="32"/>
          <w:szCs w:val="32"/>
          <w:lang w:val="en-US" w:eastAsia="zh-CN"/>
        </w:rPr>
        <w:t>市</w:t>
      </w:r>
      <w:r>
        <w:rPr>
          <w:rFonts w:ascii="Times New Roman" w:hAnsi="Times New Roman" w:eastAsia="仿宋_GB2312"/>
          <w:snapToGrid w:val="0"/>
          <w:kern w:val="21"/>
          <w:sz w:val="32"/>
          <w:szCs w:val="32"/>
        </w:rPr>
        <w:t>出台相应标准严于本文件的，执行</w:t>
      </w:r>
      <w:r>
        <w:rPr>
          <w:rFonts w:hint="eastAsia" w:ascii="Times New Roman" w:hAnsi="Times New Roman" w:eastAsia="仿宋_GB2312"/>
          <w:snapToGrid w:val="0"/>
          <w:kern w:val="21"/>
          <w:sz w:val="32"/>
          <w:szCs w:val="32"/>
        </w:rPr>
        <w:t>上级</w:t>
      </w:r>
      <w:r>
        <w:rPr>
          <w:rFonts w:ascii="Times New Roman" w:hAnsi="Times New Roman" w:eastAsia="仿宋_GB2312"/>
          <w:snapToGrid w:val="0"/>
          <w:kern w:val="21"/>
          <w:sz w:val="32"/>
          <w:szCs w:val="32"/>
        </w:rPr>
        <w:t>标准。</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17" w:name="_Toc18577"/>
      <w:bookmarkStart w:id="18" w:name="_Toc32666"/>
      <w:bookmarkStart w:id="19" w:name="_Toc3658"/>
      <w:bookmarkStart w:id="20" w:name="_Toc6627"/>
      <w:r>
        <w:rPr>
          <w:rFonts w:hint="eastAsia" w:ascii="楷体_GB2312" w:hAnsi="楷体_GB2312" w:eastAsia="楷体_GB2312" w:cs="楷体_GB2312"/>
        </w:rPr>
        <w:t>1.4预案体系</w:t>
      </w:r>
      <w:bookmarkEnd w:id="17"/>
      <w:bookmarkEnd w:id="18"/>
      <w:bookmarkEnd w:id="19"/>
      <w:bookmarkEnd w:id="20"/>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本预案是湘潭县突发事件总体应急预案体系的重要组成部分，是县级专项应急预案，统筹全县重污染天气应急处置和区域应急联动工作。其下级应急预案包括相关部门重污染天气应急专项方案、应急减排项目清单、企业重污染天气应急响应实施方案（“一厂一策”实施方案）。</w:t>
      </w: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r>
        <w:rPr>
          <w:rFonts w:hint="eastAsia" w:eastAsia="仿宋" w:cs="仿宋"/>
          <w:sz w:val="32"/>
          <w:szCs w:val="32"/>
        </w:rPr>
        <w:t>本预案与湖南省重污染天气应急预案</w:t>
      </w:r>
      <w:r>
        <w:rPr>
          <w:rFonts w:hint="eastAsia" w:eastAsia="仿宋" w:cs="仿宋"/>
          <w:sz w:val="32"/>
          <w:szCs w:val="32"/>
          <w:lang w:eastAsia="zh-CN"/>
        </w:rPr>
        <w:t>、</w:t>
      </w:r>
      <w:r>
        <w:rPr>
          <w:rFonts w:hint="eastAsia" w:eastAsia="仿宋" w:cs="仿宋"/>
          <w:sz w:val="32"/>
          <w:szCs w:val="32"/>
        </w:rPr>
        <w:t>湘潭市重污染天气应急预案相衔接</w:t>
      </w:r>
      <w:r>
        <w:rPr>
          <w:rFonts w:hint="eastAsia" w:eastAsia="仿宋" w:cs="仿宋"/>
          <w:sz w:val="32"/>
          <w:szCs w:val="32"/>
          <w:lang w:eastAsia="zh-CN"/>
        </w:rPr>
        <w:t>，</w:t>
      </w:r>
      <w:r>
        <w:rPr>
          <w:rFonts w:hint="eastAsia" w:eastAsia="仿宋" w:cs="仿宋"/>
          <w:sz w:val="32"/>
          <w:szCs w:val="32"/>
        </w:rPr>
        <w:t>与</w:t>
      </w:r>
      <w:r>
        <w:rPr>
          <w:rFonts w:hint="eastAsia" w:eastAsia="仿宋" w:cs="仿宋"/>
          <w:sz w:val="32"/>
          <w:szCs w:val="32"/>
          <w:lang w:val="en-US" w:eastAsia="zh-CN"/>
        </w:rPr>
        <w:t>下</w:t>
      </w:r>
      <w:r>
        <w:rPr>
          <w:rFonts w:hint="eastAsia" w:eastAsia="仿宋" w:cs="仿宋"/>
          <w:sz w:val="32"/>
          <w:szCs w:val="32"/>
        </w:rPr>
        <w:t>级预案共同组成湘潭县重污染天气应急预案体系，指导湘潭县重污染天气应急处置和区域应急联动工作。</w:t>
      </w:r>
      <w:bookmarkStart w:id="21" w:name="_Toc23686"/>
      <w:bookmarkStart w:id="22" w:name="_Toc5331"/>
      <w:bookmarkStart w:id="23" w:name="_Toc25702"/>
      <w:bookmarkStart w:id="24" w:name="_Toc22055"/>
    </w:p>
    <w:p>
      <w:pPr>
        <w:pStyle w:val="4"/>
        <w:pageBreakBefore w:val="0"/>
        <w:kinsoku/>
        <w:wordWrap/>
        <w:overflowPunct w:val="0"/>
        <w:topLinePunct w:val="0"/>
        <w:autoSpaceDE/>
        <w:autoSpaceDN/>
        <w:bidi w:val="0"/>
        <w:spacing w:line="560" w:lineRule="exact"/>
        <w:ind w:firstLine="642" w:firstLineChars="200"/>
        <w:textAlignment w:val="auto"/>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1.5工作原则</w:t>
      </w:r>
      <w:bookmarkEnd w:id="21"/>
      <w:bookmarkEnd w:id="22"/>
      <w:bookmarkEnd w:id="23"/>
      <w:bookmarkEnd w:id="24"/>
    </w:p>
    <w:p>
      <w:pPr>
        <w:pStyle w:val="3"/>
        <w:pageBreakBefore w:val="0"/>
        <w:kinsoku/>
        <w:wordWrap/>
        <w:overflowPunct w:val="0"/>
        <w:topLinePunct w:val="0"/>
        <w:autoSpaceDE/>
        <w:autoSpaceDN/>
        <w:bidi w:val="0"/>
        <w:spacing w:before="0" w:after="0" w:line="560" w:lineRule="exact"/>
        <w:ind w:firstLine="642" w:firstLineChars="200"/>
        <w:textAlignment w:val="auto"/>
        <w:rPr>
          <w:rFonts w:hint="eastAsia" w:ascii="Times New Roman" w:hAnsi="Times New Roman" w:eastAsia="仿宋" w:cs="仿宋"/>
          <w:b w:val="0"/>
          <w:kern w:val="0"/>
          <w:sz w:val="32"/>
          <w:szCs w:val="32"/>
          <w:lang w:val="en-US" w:eastAsia="zh-CN" w:bidi="ar-SA"/>
        </w:rPr>
      </w:pPr>
      <w:r>
        <w:rPr>
          <w:rFonts w:hint="eastAsia" w:ascii="仿宋" w:hAnsi="仿宋" w:cs="仿宋"/>
          <w:b/>
          <w:bCs w:val="0"/>
          <w:kern w:val="2"/>
          <w:sz w:val="32"/>
          <w:szCs w:val="24"/>
          <w:lang w:val="en-US" w:eastAsia="zh-CN" w:bidi="ar-SA"/>
        </w:rPr>
        <w:t>1.5.1</w:t>
      </w:r>
      <w:r>
        <w:rPr>
          <w:rFonts w:hint="eastAsia" w:ascii="仿宋" w:hAnsi="仿宋" w:eastAsia="仿宋" w:cs="仿宋"/>
          <w:b/>
          <w:bCs w:val="0"/>
          <w:kern w:val="0"/>
          <w:sz w:val="32"/>
          <w:szCs w:val="32"/>
          <w:lang w:val="en-US" w:eastAsia="zh-CN" w:bidi="ar-SA"/>
        </w:rPr>
        <w:t>以人为本，预防为主。</w:t>
      </w:r>
      <w:r>
        <w:rPr>
          <w:rFonts w:hint="eastAsia" w:ascii="Times New Roman" w:hAnsi="Times New Roman" w:eastAsia="仿宋" w:cs="仿宋"/>
          <w:b w:val="0"/>
          <w:kern w:val="0"/>
          <w:sz w:val="32"/>
          <w:szCs w:val="32"/>
          <w:lang w:val="en-US" w:eastAsia="zh-CN" w:bidi="ar-SA"/>
        </w:rPr>
        <w:t>把保障公众身体健康作为重污染天气应对工作的出发点，强化节能减排措施，切实预防重污染天气的发生，最大程度降低重污染天气对人民群众身体健康的影响。</w:t>
      </w:r>
    </w:p>
    <w:p>
      <w:pPr>
        <w:pStyle w:val="18"/>
        <w:pageBreakBefore w:val="0"/>
        <w:kinsoku/>
        <w:wordWrap/>
        <w:overflowPunct w:val="0"/>
        <w:topLinePunct w:val="0"/>
        <w:autoSpaceDE/>
        <w:autoSpaceDN/>
        <w:bidi w:val="0"/>
        <w:spacing w:before="0" w:after="0" w:line="560" w:lineRule="exact"/>
        <w:ind w:firstLine="640"/>
        <w:textAlignment w:val="auto"/>
        <w:rPr>
          <w:rFonts w:hint="eastAsia" w:ascii="Times New Roman" w:hAnsi="Times New Roman" w:eastAsia="仿宋" w:cs="仿宋"/>
          <w:b w:val="0"/>
          <w:kern w:val="0"/>
          <w:sz w:val="32"/>
          <w:szCs w:val="32"/>
          <w:lang w:val="en-US" w:eastAsia="zh-CN" w:bidi="ar-SA"/>
        </w:rPr>
      </w:pPr>
      <w:r>
        <w:rPr>
          <w:rFonts w:hint="eastAsia" w:ascii="仿宋" w:hAnsi="仿宋" w:eastAsia="仿宋" w:cs="仿宋"/>
          <w:b/>
          <w:bCs w:val="0"/>
          <w:kern w:val="2"/>
          <w:sz w:val="32"/>
          <w:szCs w:val="24"/>
          <w:lang w:val="en-US" w:eastAsia="zh-CN" w:bidi="ar-SA"/>
        </w:rPr>
        <w:t>1.5.2科学预警，分级管控。</w:t>
      </w:r>
      <w:r>
        <w:rPr>
          <w:rFonts w:hint="eastAsia" w:ascii="Times New Roman" w:hAnsi="Times New Roman" w:eastAsia="仿宋" w:cs="仿宋"/>
          <w:b w:val="0"/>
          <w:kern w:val="0"/>
          <w:sz w:val="32"/>
          <w:szCs w:val="32"/>
          <w:lang w:val="en-US" w:eastAsia="zh-CN" w:bidi="ar-SA"/>
        </w:rPr>
        <w:t>及时接收省、市重污染天气应急指挥部预警信息，完善空气质量监测监控体系，加强分析研判，实行定期会商，科学预警。根据不同预警等级，采取相应级别的应急响应措施，有效降低污染影响程度。</w:t>
      </w:r>
    </w:p>
    <w:p>
      <w:pPr>
        <w:pStyle w:val="18"/>
        <w:pageBreakBefore w:val="0"/>
        <w:kinsoku/>
        <w:wordWrap/>
        <w:overflowPunct w:val="0"/>
        <w:topLinePunct w:val="0"/>
        <w:autoSpaceDE/>
        <w:autoSpaceDN/>
        <w:bidi w:val="0"/>
        <w:spacing w:before="0" w:after="0" w:line="560" w:lineRule="exact"/>
        <w:ind w:firstLine="640"/>
        <w:textAlignment w:val="auto"/>
        <w:rPr>
          <w:rFonts w:hint="default"/>
        </w:rPr>
      </w:pPr>
      <w:r>
        <w:rPr>
          <w:rFonts w:hint="eastAsia" w:ascii="仿宋" w:hAnsi="仿宋" w:eastAsia="仿宋" w:cs="仿宋"/>
          <w:b/>
          <w:bCs w:val="0"/>
          <w:kern w:val="0"/>
          <w:sz w:val="32"/>
          <w:szCs w:val="32"/>
          <w:lang w:val="en-US" w:eastAsia="zh-CN" w:bidi="ar-SA"/>
        </w:rPr>
        <w:t>1.5.3部门联动，社会参与。</w:t>
      </w:r>
      <w:r>
        <w:rPr>
          <w:rFonts w:hint="eastAsia" w:ascii="Times New Roman" w:hAnsi="Times New Roman" w:eastAsia="仿宋" w:cs="仿宋"/>
          <w:b w:val="0"/>
          <w:kern w:val="0"/>
          <w:sz w:val="32"/>
          <w:szCs w:val="32"/>
          <w:lang w:val="en-US" w:eastAsia="zh-CN" w:bidi="ar-SA"/>
        </w:rPr>
        <w:t>建立全县统一的重污染天气应急指挥体系，明确各有关单位职责分工。加强部门协调联动，建立健全信息共享机制，协同做好重污染天气应对工作。加强信息公开，及时准确发布空气质量监测和预警相关信息，提高公众自我防护意识、参与意识，共同改善环境空气质量。</w:t>
      </w:r>
    </w:p>
    <w:p>
      <w:pPr>
        <w:pStyle w:val="3"/>
        <w:pageBreakBefore w:val="0"/>
        <w:kinsoku/>
        <w:wordWrap/>
        <w:overflowPunct w:val="0"/>
        <w:topLinePunct w:val="0"/>
        <w:autoSpaceDE/>
        <w:autoSpaceDN/>
        <w:bidi w:val="0"/>
        <w:spacing w:before="0" w:after="0" w:line="560" w:lineRule="exact"/>
        <w:ind w:firstLine="640" w:firstLineChars="200"/>
        <w:textAlignment w:val="auto"/>
        <w:rPr>
          <w:rFonts w:hint="eastAsia" w:ascii="黑体" w:hAnsi="黑体" w:eastAsia="黑体" w:cs="黑体"/>
          <w:b w:val="0"/>
          <w:bCs/>
          <w:sz w:val="32"/>
          <w:szCs w:val="32"/>
        </w:rPr>
      </w:pPr>
      <w:bookmarkStart w:id="25" w:name="_Toc30234"/>
      <w:bookmarkStart w:id="26" w:name="_Toc26709"/>
      <w:bookmarkStart w:id="27" w:name="_Toc18163"/>
      <w:bookmarkStart w:id="28" w:name="_Toc6141"/>
      <w:r>
        <w:rPr>
          <w:rFonts w:hint="eastAsia" w:ascii="黑体" w:hAnsi="黑体" w:eastAsia="黑体" w:cs="黑体"/>
          <w:b w:val="0"/>
          <w:bCs/>
          <w:sz w:val="32"/>
          <w:szCs w:val="32"/>
        </w:rPr>
        <w:t>2.应急组织体系及</w:t>
      </w:r>
      <w:r>
        <w:rPr>
          <w:rFonts w:hint="eastAsia" w:ascii="黑体" w:hAnsi="黑体" w:eastAsia="黑体" w:cs="黑体"/>
          <w:b w:val="0"/>
          <w:bCs/>
          <w:kern w:val="0"/>
          <w:sz w:val="32"/>
          <w:szCs w:val="36"/>
          <w:lang w:val="en-US" w:eastAsia="zh-CN" w:bidi="ar-SA"/>
        </w:rPr>
        <w:t>职责</w:t>
      </w:r>
      <w:bookmarkEnd w:id="25"/>
      <w:bookmarkEnd w:id="26"/>
      <w:bookmarkEnd w:id="27"/>
      <w:bookmarkEnd w:id="28"/>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29" w:name="_Toc23133"/>
      <w:bookmarkStart w:id="30" w:name="_Toc22200"/>
      <w:bookmarkStart w:id="31" w:name="_Toc2053"/>
      <w:bookmarkStart w:id="32" w:name="_Toc15665"/>
      <w:r>
        <w:rPr>
          <w:rFonts w:hint="eastAsia" w:ascii="楷体_GB2312" w:hAnsi="楷体_GB2312" w:eastAsia="楷体_GB2312" w:cs="楷体_GB2312"/>
        </w:rPr>
        <w:t>2.1县重污染天气应急指挥</w:t>
      </w:r>
      <w:bookmarkEnd w:id="29"/>
      <w:bookmarkEnd w:id="30"/>
      <w:bookmarkEnd w:id="31"/>
      <w:r>
        <w:rPr>
          <w:rFonts w:hint="eastAsia" w:ascii="楷体_GB2312" w:hAnsi="楷体_GB2312" w:eastAsia="楷体_GB2312" w:cs="楷体_GB2312"/>
        </w:rPr>
        <w:t>部</w:t>
      </w:r>
      <w:bookmarkEnd w:id="32"/>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县人民政府设立县重污染天气应急指挥部</w:t>
      </w:r>
      <w:r>
        <w:rPr>
          <w:rFonts w:hint="eastAsia" w:eastAsia="仿宋" w:cs="仿宋"/>
          <w:sz w:val="32"/>
          <w:szCs w:val="32"/>
          <w:lang w:eastAsia="zh-CN"/>
        </w:rPr>
        <w:t>（</w:t>
      </w:r>
      <w:r>
        <w:rPr>
          <w:rFonts w:hint="eastAsia" w:eastAsia="仿宋" w:cs="仿宋"/>
          <w:sz w:val="32"/>
          <w:szCs w:val="32"/>
          <w:lang w:val="en-US" w:eastAsia="zh-CN"/>
        </w:rPr>
        <w:t>以下简称县指挥部</w:t>
      </w:r>
      <w:r>
        <w:rPr>
          <w:rFonts w:hint="eastAsia" w:eastAsia="仿宋" w:cs="仿宋"/>
          <w:sz w:val="32"/>
          <w:szCs w:val="32"/>
          <w:lang w:eastAsia="zh-CN"/>
        </w:rPr>
        <w:t>）</w:t>
      </w:r>
      <w:r>
        <w:rPr>
          <w:rFonts w:hint="eastAsia" w:eastAsia="仿宋" w:cs="仿宋"/>
          <w:sz w:val="32"/>
          <w:szCs w:val="32"/>
        </w:rPr>
        <w:t>，由县人民政府分管生态环境工作的副县长担任指挥长，县政府办</w:t>
      </w:r>
      <w:r>
        <w:rPr>
          <w:rFonts w:hint="eastAsia" w:eastAsia="仿宋" w:cs="仿宋"/>
          <w:sz w:val="32"/>
          <w:szCs w:val="32"/>
          <w:lang w:val="en-US" w:eastAsia="zh-CN"/>
        </w:rPr>
        <w:t>联系部门工作负责人</w:t>
      </w:r>
      <w:r>
        <w:rPr>
          <w:rFonts w:hint="eastAsia" w:eastAsia="仿宋" w:cs="仿宋"/>
          <w:sz w:val="32"/>
          <w:szCs w:val="32"/>
        </w:rPr>
        <w:t>和市生态环境局县分局局长任副指</w:t>
      </w:r>
      <w:r>
        <w:rPr>
          <w:rFonts w:hint="eastAsia" w:eastAsia="仿宋" w:cs="仿宋"/>
          <w:sz w:val="32"/>
          <w:szCs w:val="32"/>
          <w:highlight w:val="none"/>
        </w:rPr>
        <w:t>挥长</w:t>
      </w:r>
      <w:r>
        <w:rPr>
          <w:rFonts w:hint="eastAsia" w:eastAsia="仿宋" w:cs="仿宋"/>
          <w:sz w:val="32"/>
          <w:szCs w:val="32"/>
          <w:highlight w:val="none"/>
          <w:lang w:eastAsia="zh-CN"/>
        </w:rPr>
        <w:t>，</w:t>
      </w:r>
      <w:r>
        <w:rPr>
          <w:rFonts w:hint="eastAsia" w:eastAsia="仿宋" w:cs="仿宋"/>
          <w:sz w:val="32"/>
          <w:szCs w:val="32"/>
          <w:highlight w:val="none"/>
          <w:lang w:val="en-US" w:eastAsia="zh-CN"/>
        </w:rPr>
        <w:t>县委宣传部、县教育局、县科工局、县公安局、县财政局、市生态环境局县分局、县住建局、县交通局、县水利局、县农业农村局、县卫健局、县应急局、县城管执法局、县气象局等单位为成员单位。</w:t>
      </w:r>
      <w:r>
        <w:rPr>
          <w:rFonts w:hint="eastAsia" w:eastAsia="仿宋" w:cs="仿宋"/>
          <w:sz w:val="32"/>
          <w:szCs w:val="32"/>
          <w:highlight w:val="none"/>
        </w:rPr>
        <w:t>负责贯彻执行省、市重污染天气应急指挥部的指令；</w:t>
      </w:r>
      <w:r>
        <w:rPr>
          <w:rFonts w:hint="eastAsia" w:eastAsia="仿宋" w:cs="仿宋"/>
          <w:sz w:val="32"/>
          <w:szCs w:val="32"/>
          <w:highlight w:val="none"/>
          <w:lang w:val="en-US" w:eastAsia="zh-CN"/>
        </w:rPr>
        <w:t>统一领导、</w:t>
      </w:r>
      <w:r>
        <w:rPr>
          <w:rFonts w:hint="eastAsia" w:eastAsia="仿宋" w:cs="仿宋"/>
          <w:sz w:val="32"/>
          <w:szCs w:val="32"/>
          <w:highlight w:val="none"/>
        </w:rPr>
        <w:t>指挥、组织、协调全县及跨区域重污染天气监测预警、</w:t>
      </w:r>
      <w:r>
        <w:rPr>
          <w:rFonts w:hint="eastAsia" w:eastAsia="仿宋" w:cs="仿宋"/>
          <w:sz w:val="32"/>
          <w:szCs w:val="32"/>
        </w:rPr>
        <w:t>应急响应、总结评估等工作。</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33" w:name="_Toc10195"/>
      <w:r>
        <w:rPr>
          <w:rFonts w:hint="eastAsia" w:ascii="楷体_GB2312" w:hAnsi="楷体_GB2312" w:eastAsia="楷体_GB2312" w:cs="楷体_GB2312"/>
        </w:rPr>
        <w:t>2.2县重污染天气应急指挥部办公室</w:t>
      </w:r>
      <w:bookmarkEnd w:id="33"/>
    </w:p>
    <w:p>
      <w:pPr>
        <w:pageBreakBefore w:val="0"/>
        <w:kinsoku/>
        <w:wordWrap/>
        <w:overflowPunct w:val="0"/>
        <w:topLinePunct w:val="0"/>
        <w:autoSpaceDE/>
        <w:autoSpaceDN/>
        <w:bidi w:val="0"/>
        <w:snapToGrid w:val="0"/>
        <w:spacing w:line="560" w:lineRule="exact"/>
        <w:ind w:firstLine="640" w:firstLineChars="200"/>
        <w:textAlignment w:val="auto"/>
        <w:rPr>
          <w:rFonts w:hint="default" w:eastAsia="仿宋" w:cs="仿宋"/>
          <w:sz w:val="32"/>
          <w:szCs w:val="32"/>
          <w:lang w:val="en-US" w:eastAsia="zh-CN"/>
        </w:rPr>
      </w:pPr>
      <w:r>
        <w:rPr>
          <w:rFonts w:hint="eastAsia" w:ascii="Times New Roman" w:hAnsi="Times New Roman" w:eastAsia="仿宋_GB2312"/>
          <w:sz w:val="32"/>
          <w:szCs w:val="32"/>
        </w:rPr>
        <w:t>县重污染天气应急指挥部办公室</w:t>
      </w:r>
      <w:r>
        <w:rPr>
          <w:rFonts w:hint="eastAsia" w:ascii="Times New Roman" w:hAnsi="Times New Roman" w:eastAsia="仿宋_GB2312"/>
          <w:sz w:val="32"/>
          <w:szCs w:val="32"/>
          <w:lang w:eastAsia="zh-CN"/>
        </w:rPr>
        <w:t>（</w:t>
      </w:r>
      <w:r>
        <w:rPr>
          <w:rFonts w:hint="eastAsia" w:eastAsia="仿宋" w:cs="仿宋"/>
          <w:sz w:val="32"/>
          <w:szCs w:val="32"/>
          <w:lang w:val="en-US" w:eastAsia="zh-CN"/>
        </w:rPr>
        <w:t>以下简称县指挥部办公室</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设</w:t>
      </w:r>
      <w:r>
        <w:rPr>
          <w:rFonts w:hint="eastAsia" w:ascii="Times New Roman" w:hAnsi="Times New Roman" w:eastAsia="仿宋_GB2312"/>
          <w:sz w:val="32"/>
          <w:szCs w:val="32"/>
          <w:lang w:val="en-US" w:eastAsia="zh-CN"/>
        </w:rPr>
        <w:t>在</w:t>
      </w:r>
      <w:r>
        <w:rPr>
          <w:rFonts w:hint="eastAsia" w:ascii="Times New Roman" w:hAnsi="Times New Roman" w:eastAsia="仿宋_GB2312"/>
          <w:sz w:val="32"/>
          <w:szCs w:val="32"/>
        </w:rPr>
        <w:t>市生态环境局县分局，由市生态环境局县分局局长兼任办公室主任。</w:t>
      </w:r>
      <w:r>
        <w:rPr>
          <w:rFonts w:hint="eastAsia" w:ascii="Times New Roman" w:hAnsi="Times New Roman" w:eastAsia="仿宋_GB2312" w:cs="Times New Roman"/>
          <w:i w:val="0"/>
          <w:iCs w:val="0"/>
          <w:caps w:val="0"/>
          <w:spacing w:val="0"/>
          <w:kern w:val="2"/>
          <w:sz w:val="32"/>
          <w:szCs w:val="32"/>
          <w:shd w:val="clear"/>
        </w:rPr>
        <w:t>负责</w:t>
      </w:r>
      <w:r>
        <w:rPr>
          <w:rFonts w:hint="eastAsia" w:eastAsia="仿宋_GB2312" w:cs="Times New Roman"/>
          <w:i w:val="0"/>
          <w:iCs w:val="0"/>
          <w:caps w:val="0"/>
          <w:spacing w:val="0"/>
          <w:kern w:val="2"/>
          <w:sz w:val="32"/>
          <w:szCs w:val="32"/>
          <w:shd w:val="clear"/>
          <w:lang w:val="en-US" w:eastAsia="zh-CN"/>
        </w:rPr>
        <w:t>县</w:t>
      </w:r>
      <w:r>
        <w:rPr>
          <w:rFonts w:hint="eastAsia" w:ascii="Times New Roman" w:hAnsi="Times New Roman" w:eastAsia="仿宋_GB2312" w:cs="Times New Roman"/>
          <w:i w:val="0"/>
          <w:iCs w:val="0"/>
          <w:caps w:val="0"/>
          <w:spacing w:val="0"/>
          <w:kern w:val="2"/>
          <w:sz w:val="32"/>
          <w:szCs w:val="32"/>
          <w:shd w:val="clear"/>
        </w:rPr>
        <w:t>指挥部的日常工作，组织落实</w:t>
      </w:r>
      <w:r>
        <w:rPr>
          <w:rFonts w:hint="eastAsia" w:eastAsia="仿宋_GB2312" w:cs="Times New Roman"/>
          <w:i w:val="0"/>
          <w:iCs w:val="0"/>
          <w:caps w:val="0"/>
          <w:spacing w:val="0"/>
          <w:kern w:val="2"/>
          <w:sz w:val="32"/>
          <w:szCs w:val="32"/>
          <w:shd w:val="clear"/>
          <w:lang w:val="en-US" w:eastAsia="zh-CN"/>
        </w:rPr>
        <w:t>县</w:t>
      </w:r>
      <w:r>
        <w:rPr>
          <w:rFonts w:hint="eastAsia" w:ascii="Times New Roman" w:hAnsi="Times New Roman" w:eastAsia="仿宋_GB2312" w:cs="Times New Roman"/>
          <w:i w:val="0"/>
          <w:iCs w:val="0"/>
          <w:caps w:val="0"/>
          <w:spacing w:val="0"/>
          <w:kern w:val="2"/>
          <w:sz w:val="32"/>
          <w:szCs w:val="32"/>
          <w:shd w:val="clear"/>
        </w:rPr>
        <w:t>指挥部</w:t>
      </w:r>
      <w:r>
        <w:rPr>
          <w:rFonts w:hint="eastAsia" w:eastAsia="仿宋_GB2312" w:cs="Times New Roman"/>
          <w:i w:val="0"/>
          <w:iCs w:val="0"/>
          <w:caps w:val="0"/>
          <w:spacing w:val="0"/>
          <w:kern w:val="2"/>
          <w:sz w:val="32"/>
          <w:szCs w:val="32"/>
          <w:shd w:val="clear"/>
          <w:lang w:val="en-US" w:eastAsia="zh-CN"/>
        </w:rPr>
        <w:t>决策部署</w:t>
      </w:r>
      <w:r>
        <w:rPr>
          <w:rFonts w:hint="eastAsia" w:ascii="Times New Roman" w:hAnsi="Times New Roman" w:eastAsia="仿宋_GB2312" w:cs="Times New Roman"/>
          <w:i w:val="0"/>
          <w:iCs w:val="0"/>
          <w:caps w:val="0"/>
          <w:spacing w:val="0"/>
          <w:kern w:val="2"/>
          <w:sz w:val="32"/>
          <w:szCs w:val="32"/>
          <w:shd w:val="clear"/>
        </w:rPr>
        <w:t>；</w:t>
      </w:r>
      <w:r>
        <w:rPr>
          <w:rFonts w:hint="eastAsia" w:eastAsia="仿宋" w:cs="仿宋"/>
          <w:sz w:val="32"/>
          <w:szCs w:val="32"/>
          <w:highlight w:val="none"/>
        </w:rPr>
        <w:t>组织修订县级重污染天气应急预案</w:t>
      </w:r>
      <w:r>
        <w:rPr>
          <w:rFonts w:hint="eastAsia" w:eastAsia="仿宋" w:cs="仿宋"/>
          <w:sz w:val="32"/>
          <w:szCs w:val="32"/>
          <w:highlight w:val="none"/>
          <w:lang w:val="en-US" w:eastAsia="zh-CN"/>
        </w:rPr>
        <w:t>和</w:t>
      </w:r>
      <w:r>
        <w:rPr>
          <w:rFonts w:hint="eastAsia" w:ascii="Times New Roman" w:hAnsi="Times New Roman" w:eastAsia="仿宋_GB2312" w:cs="Times New Roman"/>
          <w:i w:val="0"/>
          <w:iCs w:val="0"/>
          <w:caps w:val="0"/>
          <w:spacing w:val="0"/>
          <w:kern w:val="2"/>
          <w:sz w:val="32"/>
          <w:szCs w:val="32"/>
          <w:highlight w:val="none"/>
          <w:shd w:val="clear"/>
        </w:rPr>
        <w:t>应</w:t>
      </w:r>
      <w:r>
        <w:rPr>
          <w:rFonts w:hint="eastAsia" w:ascii="Times New Roman" w:hAnsi="Times New Roman" w:eastAsia="仿宋_GB2312" w:cs="Times New Roman"/>
          <w:i w:val="0"/>
          <w:iCs w:val="0"/>
          <w:caps w:val="0"/>
          <w:spacing w:val="0"/>
          <w:kern w:val="2"/>
          <w:sz w:val="32"/>
          <w:szCs w:val="32"/>
          <w:shd w:val="clear"/>
        </w:rPr>
        <w:t>急减排清单，制定减排措施；</w:t>
      </w:r>
      <w:r>
        <w:rPr>
          <w:rFonts w:hint="eastAsia" w:eastAsia="仿宋" w:cs="仿宋"/>
          <w:sz w:val="32"/>
          <w:szCs w:val="32"/>
        </w:rPr>
        <w:t>负责重污染天气监测预警和应急协调工作；组织开展重污染天气研判、会商，提出预警建议；根据县指挥部授权，负责预警信息的发布与解除；</w:t>
      </w:r>
      <w:r>
        <w:rPr>
          <w:rFonts w:hint="eastAsia" w:ascii="Times New Roman" w:hAnsi="Times New Roman" w:eastAsia="仿宋_GB2312" w:cs="Times New Roman"/>
          <w:i w:val="0"/>
          <w:iCs w:val="0"/>
          <w:caps w:val="0"/>
          <w:spacing w:val="0"/>
          <w:kern w:val="2"/>
          <w:sz w:val="32"/>
          <w:szCs w:val="32"/>
          <w:shd w:val="clear"/>
        </w:rPr>
        <w:t>组织</w:t>
      </w:r>
      <w:r>
        <w:rPr>
          <w:rFonts w:hint="eastAsia" w:eastAsia="仿宋_GB2312" w:cs="Times New Roman"/>
          <w:i w:val="0"/>
          <w:iCs w:val="0"/>
          <w:caps w:val="0"/>
          <w:spacing w:val="0"/>
          <w:kern w:val="2"/>
          <w:sz w:val="32"/>
          <w:szCs w:val="32"/>
          <w:shd w:val="clear"/>
          <w:lang w:val="en-US" w:eastAsia="zh-CN"/>
        </w:rPr>
        <w:t>县</w:t>
      </w:r>
      <w:r>
        <w:rPr>
          <w:rFonts w:hint="eastAsia" w:ascii="Times New Roman" w:hAnsi="Times New Roman" w:eastAsia="仿宋_GB2312" w:cs="Times New Roman"/>
          <w:i w:val="0"/>
          <w:iCs w:val="0"/>
          <w:caps w:val="0"/>
          <w:spacing w:val="0"/>
          <w:kern w:val="2"/>
          <w:sz w:val="32"/>
          <w:szCs w:val="32"/>
          <w:shd w:val="clear"/>
        </w:rPr>
        <w:t>指挥部各成员单位制定重污染天气应急</w:t>
      </w:r>
      <w:r>
        <w:rPr>
          <w:rFonts w:hint="eastAsia" w:eastAsia="仿宋_GB2312" w:cs="Times New Roman"/>
          <w:i w:val="0"/>
          <w:iCs w:val="0"/>
          <w:caps w:val="0"/>
          <w:spacing w:val="0"/>
          <w:kern w:val="2"/>
          <w:sz w:val="32"/>
          <w:szCs w:val="32"/>
          <w:shd w:val="clear"/>
          <w:lang w:val="en-US" w:eastAsia="zh-CN"/>
        </w:rPr>
        <w:t>响应专项</w:t>
      </w:r>
      <w:r>
        <w:rPr>
          <w:rFonts w:hint="eastAsia" w:ascii="Times New Roman" w:hAnsi="Times New Roman" w:eastAsia="仿宋_GB2312" w:cs="Times New Roman"/>
          <w:i w:val="0"/>
          <w:iCs w:val="0"/>
          <w:caps w:val="0"/>
          <w:spacing w:val="0"/>
          <w:kern w:val="2"/>
          <w:sz w:val="32"/>
          <w:szCs w:val="32"/>
          <w:shd w:val="clear"/>
        </w:rPr>
        <w:t>实施方案，并进行监督检查；</w:t>
      </w:r>
      <w:r>
        <w:rPr>
          <w:rFonts w:hint="eastAsia" w:eastAsia="仿宋" w:cs="仿宋"/>
          <w:sz w:val="32"/>
          <w:szCs w:val="32"/>
          <w:lang w:val="en-US" w:eastAsia="zh-CN"/>
        </w:rPr>
        <w:t>指导</w:t>
      </w:r>
      <w:r>
        <w:rPr>
          <w:rFonts w:hint="eastAsia" w:eastAsia="仿宋" w:cs="仿宋"/>
          <w:sz w:val="32"/>
          <w:szCs w:val="32"/>
        </w:rPr>
        <w:t>有关企业制定“一厂一策”实施方案</w:t>
      </w:r>
      <w:r>
        <w:rPr>
          <w:rFonts w:hint="eastAsia" w:eastAsia="仿宋" w:cs="仿宋"/>
          <w:sz w:val="32"/>
          <w:szCs w:val="32"/>
          <w:lang w:eastAsia="zh-CN"/>
        </w:rPr>
        <w:t>；</w:t>
      </w:r>
      <w:r>
        <w:rPr>
          <w:rFonts w:hint="eastAsia" w:eastAsia="仿宋" w:cs="仿宋"/>
          <w:sz w:val="32"/>
          <w:szCs w:val="32"/>
        </w:rPr>
        <w:t>组织开展重污染天气应急演练、培训、宣传等工作；按照市级预警信息和本区域重污染天气应急预案做好重污染天气应对工作、预案实施的总结评估工作。</w:t>
      </w:r>
      <w:r>
        <w:rPr>
          <w:rFonts w:hint="eastAsia" w:eastAsia="仿宋" w:cs="仿宋"/>
          <w:sz w:val="32"/>
          <w:szCs w:val="32"/>
          <w:lang w:val="en-US" w:eastAsia="zh-CN"/>
        </w:rPr>
        <w:t>完成县指挥部交办的其他工作任务。</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34" w:name="_Toc19135"/>
      <w:r>
        <w:rPr>
          <w:rFonts w:hint="eastAsia" w:ascii="楷体_GB2312" w:hAnsi="楷体_GB2312" w:eastAsia="楷体_GB2312" w:cs="楷体_GB2312"/>
        </w:rPr>
        <w:t>2.3县重污染天气应急指挥部成员单位</w:t>
      </w:r>
      <w:bookmarkEnd w:id="34"/>
    </w:p>
    <w:p>
      <w:pPr>
        <w:pageBreakBefore w:val="0"/>
        <w:kinsoku/>
        <w:wordWrap/>
        <w:overflowPunct w:val="0"/>
        <w:topLinePunct w:val="0"/>
        <w:autoSpaceDE/>
        <w:autoSpaceDN/>
        <w:bidi w:val="0"/>
        <w:snapToGrid w:val="0"/>
        <w:spacing w:line="560" w:lineRule="exact"/>
        <w:ind w:firstLine="640" w:firstLineChars="200"/>
        <w:textAlignment w:val="auto"/>
        <w:rPr>
          <w:rFonts w:ascii="Times New Roman" w:hAnsi="Times New Roman" w:eastAsia="仿宋" w:cs="仿宋"/>
          <w:sz w:val="32"/>
          <w:szCs w:val="32"/>
        </w:rPr>
      </w:pPr>
      <w:r>
        <w:rPr>
          <w:rFonts w:hint="eastAsia" w:ascii="Times New Roman" w:hAnsi="Times New Roman" w:eastAsia="仿宋" w:cs="仿宋"/>
          <w:sz w:val="32"/>
          <w:szCs w:val="32"/>
        </w:rPr>
        <w:t>县委宣传部：</w:t>
      </w:r>
      <w:r>
        <w:rPr>
          <w:rFonts w:hint="eastAsia" w:ascii="Times New Roman" w:hAnsi="Times New Roman" w:eastAsia="仿宋_GB2312"/>
          <w:sz w:val="32"/>
          <w:szCs w:val="32"/>
        </w:rPr>
        <w:t>负责指导、协调新闻媒体及时准确向公众发布重污染天气预警、应急响应等相关信息。</w:t>
      </w:r>
    </w:p>
    <w:p>
      <w:pPr>
        <w:pageBreakBefore w:val="0"/>
        <w:kinsoku/>
        <w:wordWrap/>
        <w:overflowPunct w:val="0"/>
        <w:topLinePunct w:val="0"/>
        <w:autoSpaceDE/>
        <w:autoSpaceDN/>
        <w:bidi w:val="0"/>
        <w:snapToGrid w:val="0"/>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县教育局：负责组织中小学校、幼儿园加强重污染天气应急健康防护宣传教育，制定并落实重污染天气停课、停操等应急措施。</w:t>
      </w:r>
    </w:p>
    <w:p>
      <w:pPr>
        <w:pageBreakBefore w:val="0"/>
        <w:kinsoku/>
        <w:wordWrap/>
        <w:overflowPunct w:val="0"/>
        <w:topLinePunct w:val="0"/>
        <w:autoSpaceDE/>
        <w:autoSpaceDN/>
        <w:bidi w:val="0"/>
        <w:snapToGrid w:val="0"/>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 w:cs="仿宋"/>
          <w:sz w:val="32"/>
          <w:szCs w:val="32"/>
        </w:rPr>
        <w:t>县科工局</w:t>
      </w:r>
      <w:r>
        <w:rPr>
          <w:rFonts w:hint="eastAsia" w:ascii="Times New Roman" w:hAnsi="Times New Roman" w:eastAsia="仿宋_GB2312"/>
          <w:sz w:val="32"/>
          <w:szCs w:val="32"/>
        </w:rPr>
        <w:t>：负责配合生态环境部门制定并更新重污染天气期间错峰生产、限产停产有关企业实施方案及名录，配合开展重污染天气应急响应期间企业错峰生产、限产停产落实情况的执法检查。</w:t>
      </w:r>
    </w:p>
    <w:p>
      <w:pPr>
        <w:pStyle w:val="18"/>
        <w:pageBreakBefore w:val="0"/>
        <w:kinsoku/>
        <w:wordWrap/>
        <w:overflowPunct w:val="0"/>
        <w:topLinePunct w:val="0"/>
        <w:autoSpaceDE/>
        <w:autoSpaceDN/>
        <w:bidi w:val="0"/>
        <w:spacing w:before="0" w:after="0" w:line="560" w:lineRule="exact"/>
        <w:ind w:firstLine="640"/>
        <w:textAlignment w:val="auto"/>
        <w:rPr>
          <w:rFonts w:eastAsia="仿宋_GB2312"/>
          <w:kern w:val="2"/>
          <w:sz w:val="32"/>
          <w:szCs w:val="32"/>
        </w:rPr>
      </w:pPr>
      <w:r>
        <w:rPr>
          <w:rFonts w:hint="eastAsia" w:eastAsia="仿宋_GB2312"/>
          <w:kern w:val="2"/>
          <w:sz w:val="32"/>
          <w:szCs w:val="32"/>
        </w:rPr>
        <w:t>县公安局：负责开展重污染天气响应期间社会治安、交通管制、错峰运输和车辆限行工作，严厉打击编造传播网络谣言违法行为。</w:t>
      </w:r>
    </w:p>
    <w:p>
      <w:pPr>
        <w:pageBreakBefore w:val="0"/>
        <w:kinsoku/>
        <w:wordWrap/>
        <w:overflowPunct w:val="0"/>
        <w:topLinePunct w:val="0"/>
        <w:autoSpaceDE/>
        <w:autoSpaceDN/>
        <w:bidi w:val="0"/>
        <w:snapToGrid w:val="0"/>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县财政局：负责编制安排重污染天气应急响应工作年度财政预算，并对资金的使用进行绩效评估。</w:t>
      </w:r>
    </w:p>
    <w:p>
      <w:pPr>
        <w:pageBreakBefore w:val="0"/>
        <w:kinsoku/>
        <w:wordWrap/>
        <w:overflowPunct w:val="0"/>
        <w:topLinePunct w:val="0"/>
        <w:autoSpaceDE/>
        <w:autoSpaceDN/>
        <w:bidi w:val="0"/>
        <w:spacing w:line="560" w:lineRule="exact"/>
        <w:ind w:firstLine="640" w:firstLineChars="200"/>
        <w:textAlignment w:val="auto"/>
        <w:rPr>
          <w:rFonts w:ascii="Times New Roman" w:hAnsi="Times New Roman" w:eastAsia="仿宋" w:cs="仿宋"/>
          <w:sz w:val="32"/>
          <w:szCs w:val="32"/>
        </w:rPr>
      </w:pPr>
      <w:r>
        <w:rPr>
          <w:rFonts w:hint="eastAsia" w:ascii="Times New Roman" w:hAnsi="Times New Roman" w:eastAsia="仿宋" w:cs="仿宋"/>
          <w:sz w:val="32"/>
          <w:szCs w:val="32"/>
        </w:rPr>
        <w:t>市生态环境局县分局：</w:t>
      </w:r>
      <w:r>
        <w:rPr>
          <w:rFonts w:hint="eastAsia" w:ascii="Times New Roman" w:hAnsi="Times New Roman" w:eastAsia="仿宋_GB2312"/>
          <w:sz w:val="32"/>
          <w:szCs w:val="32"/>
        </w:rPr>
        <w:t>负责空气质量的监测、会商、预警和信息发布；负责建立并更新重点废气排放企业名单，督促落实应急减排措施；负责落实重点废气排放企业应急停产、限产措施；承担县指挥部办公室的日常值班工作。</w:t>
      </w:r>
    </w:p>
    <w:p>
      <w:pPr>
        <w:pageBreakBefore w:val="0"/>
        <w:kinsoku/>
        <w:wordWrap/>
        <w:overflowPunct w:val="0"/>
        <w:topLinePunct w:val="0"/>
        <w:autoSpaceDE/>
        <w:autoSpaceDN/>
        <w:bidi w:val="0"/>
        <w:snapToGrid w:val="0"/>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 w:cs="仿宋"/>
          <w:sz w:val="32"/>
          <w:szCs w:val="32"/>
        </w:rPr>
        <w:t>县住建局：</w:t>
      </w:r>
      <w:r>
        <w:rPr>
          <w:rFonts w:hint="eastAsia" w:ascii="Times New Roman" w:hAnsi="Times New Roman" w:eastAsia="仿宋_GB2312"/>
          <w:sz w:val="32"/>
          <w:szCs w:val="32"/>
        </w:rPr>
        <w:t>负责督促落实建筑施工场地扬尘污染控制措施，负责对全县各基建工地以及水泥搅拌站的监督管理，并按照预警分级发布停工指令。</w:t>
      </w:r>
    </w:p>
    <w:p>
      <w:pPr>
        <w:pageBreakBefore w:val="0"/>
        <w:kinsoku/>
        <w:wordWrap/>
        <w:overflowPunct w:val="0"/>
        <w:topLinePunct w:val="0"/>
        <w:autoSpaceDE/>
        <w:autoSpaceDN/>
        <w:bidi w:val="0"/>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 w:cs="仿宋"/>
          <w:sz w:val="32"/>
          <w:szCs w:val="32"/>
        </w:rPr>
        <w:t>县交通局：</w:t>
      </w:r>
      <w:r>
        <w:rPr>
          <w:rFonts w:hint="eastAsia" w:ascii="Times New Roman" w:hAnsi="Times New Roman" w:eastAsia="仿宋_GB2312"/>
          <w:sz w:val="32"/>
          <w:szCs w:val="32"/>
        </w:rPr>
        <w:t>负责加</w:t>
      </w:r>
      <w:r>
        <w:rPr>
          <w:rFonts w:hint="eastAsia" w:ascii="Times New Roman" w:hAnsi="Times New Roman" w:eastAsia="仿宋_GB2312"/>
          <w:sz w:val="32"/>
          <w:szCs w:val="32"/>
          <w:lang w:val="en-US" w:eastAsia="zh-CN"/>
        </w:rPr>
        <w:t>强</w:t>
      </w:r>
      <w:r>
        <w:rPr>
          <w:rFonts w:hint="eastAsia" w:ascii="Times New Roman" w:hAnsi="Times New Roman" w:eastAsia="仿宋_GB2312"/>
          <w:sz w:val="32"/>
          <w:szCs w:val="32"/>
        </w:rPr>
        <w:t>对汽车维修行业和港口码头的监管</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强化公共交通运输应急保障措施；负责督促落实交通运输施工场地扬尘控制措施；负责组织实施增加公共交通运输能力应急保障措施。</w:t>
      </w:r>
    </w:p>
    <w:p>
      <w:pPr>
        <w:pageBreakBefore w:val="0"/>
        <w:kinsoku/>
        <w:wordWrap/>
        <w:overflowPunct w:val="0"/>
        <w:topLinePunct w:val="0"/>
        <w:autoSpaceDE/>
        <w:autoSpaceDN/>
        <w:bidi w:val="0"/>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县水利局：负责督促落实水利工程施工场地和沙场的扬尘控制措施。</w:t>
      </w:r>
    </w:p>
    <w:p>
      <w:pPr>
        <w:pageBreakBefore w:val="0"/>
        <w:kinsoku/>
        <w:wordWrap/>
        <w:overflowPunct w:val="0"/>
        <w:topLinePunct w:val="0"/>
        <w:autoSpaceDE/>
        <w:autoSpaceDN/>
        <w:bidi w:val="0"/>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 w:cs="仿宋"/>
          <w:sz w:val="32"/>
          <w:szCs w:val="32"/>
        </w:rPr>
        <w:t>县农业农村局：</w:t>
      </w:r>
      <w:r>
        <w:rPr>
          <w:rFonts w:hint="eastAsia" w:ascii="Times New Roman" w:hAnsi="Times New Roman" w:eastAsia="仿宋_GB2312"/>
          <w:sz w:val="32"/>
          <w:szCs w:val="32"/>
        </w:rPr>
        <w:t>负责指导农村地区开展秸秆综合利用，提倡采用“留茬免耕、秸秆覆盖”等保护性耕作措施，推广秸秆还田等资源化利用途径。</w:t>
      </w:r>
    </w:p>
    <w:p>
      <w:pPr>
        <w:pageBreakBefore w:val="0"/>
        <w:kinsoku/>
        <w:wordWrap/>
        <w:overflowPunct w:val="0"/>
        <w:topLinePunct w:val="0"/>
        <w:autoSpaceDE/>
        <w:autoSpaceDN/>
        <w:bidi w:val="0"/>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县卫健局：负责加强重污染天气对人体健康影响的预防知识宣传，组织医疗机构做好医疗救治、心理危机干预等工作。</w:t>
      </w:r>
    </w:p>
    <w:p>
      <w:pPr>
        <w:pageBreakBefore w:val="0"/>
        <w:kinsoku/>
        <w:wordWrap/>
        <w:overflowPunct w:val="0"/>
        <w:topLinePunct w:val="0"/>
        <w:autoSpaceDE/>
        <w:autoSpaceDN/>
        <w:bidi w:val="0"/>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县应急局：负责指导协调应急救援队伍参与应急救援。</w:t>
      </w:r>
    </w:p>
    <w:p>
      <w:pPr>
        <w:pageBreakBefore w:val="0"/>
        <w:kinsoku/>
        <w:wordWrap/>
        <w:overflowPunct w:val="0"/>
        <w:topLinePunct w:val="0"/>
        <w:autoSpaceDE/>
        <w:autoSpaceDN/>
        <w:bidi w:val="0"/>
        <w:spacing w:line="560" w:lineRule="exact"/>
        <w:ind w:firstLine="640" w:firstLineChars="200"/>
        <w:textAlignment w:val="auto"/>
        <w:rPr>
          <w:rFonts w:ascii="Times New Roman" w:hAnsi="Times New Roman" w:eastAsia="仿宋" w:cs="仿宋"/>
          <w:sz w:val="32"/>
          <w:szCs w:val="32"/>
        </w:rPr>
      </w:pPr>
      <w:r>
        <w:rPr>
          <w:rFonts w:hint="eastAsia" w:ascii="Times New Roman" w:hAnsi="Times New Roman" w:eastAsia="仿宋" w:cs="仿宋"/>
          <w:sz w:val="32"/>
          <w:szCs w:val="32"/>
        </w:rPr>
        <w:t>县城管执法局：</w:t>
      </w:r>
      <w:r>
        <w:rPr>
          <w:rFonts w:hint="eastAsia" w:ascii="Times New Roman" w:hAnsi="Times New Roman" w:eastAsia="仿宋_GB2312"/>
          <w:sz w:val="32"/>
          <w:szCs w:val="32"/>
        </w:rPr>
        <w:t>在保持日常道路清扫保洁频次基础上，采取无尘清扫方式；增加机械清扫保洁作业和道路洒水抑尘作业；加强渣土运输车辆监管；监督沿街餐饮企业油烟排放，禁止露天烧烤、大排档营业。负责督促落实园林、绿化施工场地扬尘控制措施。</w:t>
      </w:r>
    </w:p>
    <w:p>
      <w:pPr>
        <w:pStyle w:val="18"/>
        <w:pageBreakBefore w:val="0"/>
        <w:kinsoku/>
        <w:wordWrap/>
        <w:overflowPunct w:val="0"/>
        <w:topLinePunct w:val="0"/>
        <w:autoSpaceDE/>
        <w:autoSpaceDN/>
        <w:bidi w:val="0"/>
        <w:spacing w:before="0" w:after="0" w:line="560" w:lineRule="exact"/>
        <w:ind w:firstLine="64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县气象局：负责全县大气环境气象条件监测、预报工作，配合生态环境部门开展环境空气质量变化趋势分析会商，及时发布监测预报预警信息；负责根据天气条件组织实施气象干预行动（人工影响天气作业）。</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35" w:name="_Toc10046"/>
      <w:bookmarkStart w:id="36" w:name="_Toc16150"/>
      <w:bookmarkStart w:id="37" w:name="_Toc18463"/>
      <w:bookmarkStart w:id="38" w:name="_Toc7734"/>
      <w:r>
        <w:rPr>
          <w:rFonts w:hint="eastAsia" w:ascii="楷体_GB2312" w:hAnsi="楷体_GB2312" w:eastAsia="楷体_GB2312" w:cs="楷体_GB2312"/>
        </w:rPr>
        <w:t>2.4县重污染天气应对专家组</w:t>
      </w:r>
      <w:bookmarkEnd w:id="35"/>
      <w:bookmarkEnd w:id="36"/>
      <w:bookmarkEnd w:id="37"/>
      <w:bookmarkEnd w:id="38"/>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市生态环境局县分局牵头组建重污染天气应对专家组，主要负责</w:t>
      </w:r>
      <w:r>
        <w:rPr>
          <w:rFonts w:hint="eastAsia" w:eastAsia="仿宋" w:cs="仿宋"/>
          <w:sz w:val="32"/>
          <w:szCs w:val="32"/>
          <w:lang w:val="en-US" w:eastAsia="zh-CN"/>
        </w:rPr>
        <w:t>为</w:t>
      </w:r>
      <w:r>
        <w:rPr>
          <w:rFonts w:hint="eastAsia" w:eastAsia="仿宋" w:cs="仿宋"/>
          <w:sz w:val="32"/>
          <w:szCs w:val="32"/>
        </w:rPr>
        <w:t>重污染天气预报、预警、响应及评估</w:t>
      </w:r>
      <w:r>
        <w:rPr>
          <w:rFonts w:hint="eastAsia" w:eastAsia="仿宋" w:cs="仿宋"/>
          <w:sz w:val="32"/>
          <w:szCs w:val="32"/>
          <w:lang w:val="en-US" w:eastAsia="zh-CN"/>
        </w:rPr>
        <w:t>提供</w:t>
      </w:r>
      <w:r>
        <w:rPr>
          <w:rFonts w:hint="eastAsia" w:eastAsia="仿宋" w:cs="仿宋"/>
          <w:sz w:val="32"/>
          <w:szCs w:val="32"/>
        </w:rPr>
        <w:t>专家会商</w:t>
      </w:r>
      <w:r>
        <w:rPr>
          <w:rFonts w:hint="eastAsia" w:eastAsia="仿宋" w:cs="仿宋"/>
          <w:sz w:val="32"/>
          <w:szCs w:val="32"/>
          <w:lang w:val="en-US" w:eastAsia="zh-CN"/>
        </w:rPr>
        <w:t>意见</w:t>
      </w:r>
      <w:r>
        <w:rPr>
          <w:rFonts w:hint="eastAsia" w:eastAsia="仿宋" w:cs="仿宋"/>
          <w:sz w:val="32"/>
          <w:szCs w:val="32"/>
        </w:rPr>
        <w:t>，为重污染天气应对提供技术支撑与对策建议。</w:t>
      </w:r>
    </w:p>
    <w:p>
      <w:pPr>
        <w:pStyle w:val="3"/>
        <w:pageBreakBefore w:val="0"/>
        <w:kinsoku/>
        <w:wordWrap/>
        <w:overflowPunct w:val="0"/>
        <w:topLinePunct w:val="0"/>
        <w:autoSpaceDE/>
        <w:autoSpaceDN/>
        <w:bidi w:val="0"/>
        <w:spacing w:before="0" w:after="0" w:line="560" w:lineRule="exact"/>
        <w:ind w:firstLine="640" w:firstLineChars="200"/>
        <w:textAlignment w:val="auto"/>
        <w:rPr>
          <w:rFonts w:hint="eastAsia" w:ascii="黑体" w:hAnsi="黑体" w:eastAsia="黑体" w:cs="黑体"/>
          <w:b w:val="0"/>
          <w:bCs/>
          <w:sz w:val="32"/>
          <w:szCs w:val="32"/>
        </w:rPr>
      </w:pPr>
      <w:bookmarkStart w:id="39" w:name="_Toc7953"/>
      <w:bookmarkStart w:id="40" w:name="_Toc268"/>
      <w:bookmarkStart w:id="41" w:name="_Toc14295"/>
      <w:bookmarkStart w:id="42" w:name="_Toc31795"/>
      <w:r>
        <w:rPr>
          <w:rFonts w:hint="eastAsia" w:ascii="黑体" w:hAnsi="黑体" w:eastAsia="黑体" w:cs="黑体"/>
          <w:b w:val="0"/>
          <w:bCs/>
          <w:sz w:val="32"/>
          <w:szCs w:val="32"/>
        </w:rPr>
        <w:t>3.应急准备</w:t>
      </w:r>
      <w:bookmarkEnd w:id="39"/>
      <w:bookmarkEnd w:id="40"/>
      <w:bookmarkEnd w:id="41"/>
      <w:bookmarkEnd w:id="42"/>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43" w:name="_Toc19205"/>
      <w:bookmarkStart w:id="44" w:name="_Toc18381"/>
      <w:bookmarkStart w:id="45" w:name="_Toc24478"/>
      <w:bookmarkStart w:id="46" w:name="_Toc13233"/>
      <w:r>
        <w:rPr>
          <w:rFonts w:hint="eastAsia" w:ascii="楷体_GB2312" w:hAnsi="楷体_GB2312" w:eastAsia="楷体_GB2312" w:cs="楷体_GB2312"/>
        </w:rPr>
        <w:t>3.1修订应急减排项目清单</w:t>
      </w:r>
      <w:bookmarkEnd w:id="43"/>
      <w:bookmarkEnd w:id="44"/>
      <w:bookmarkEnd w:id="45"/>
      <w:bookmarkEnd w:id="46"/>
    </w:p>
    <w:p>
      <w:pPr>
        <w:pageBreakBefore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snapToGrid w:val="0"/>
          <w:kern w:val="21"/>
          <w:sz w:val="32"/>
          <w:szCs w:val="32"/>
        </w:rPr>
      </w:pPr>
      <w:r>
        <w:rPr>
          <w:rFonts w:hint="eastAsia" w:ascii="仿宋" w:hAnsi="仿宋" w:eastAsia="仿宋" w:cs="仿宋"/>
          <w:sz w:val="32"/>
          <w:szCs w:val="32"/>
        </w:rPr>
        <w:t>市生态环境局湘潭县分局牵头，县科工局参与，</w:t>
      </w:r>
      <w:r>
        <w:rPr>
          <w:rFonts w:ascii="Times New Roman" w:hAnsi="Times New Roman" w:eastAsia="仿宋_GB2312"/>
          <w:snapToGrid w:val="0"/>
          <w:kern w:val="21"/>
          <w:sz w:val="32"/>
          <w:szCs w:val="32"/>
        </w:rPr>
        <w:t>按照重污染天气减排比例要求，定期修订重污染天气应急减排清单，清单须包括工业源、移动源、扬尘源等排放源的基本信息和相应预警级别下的减排措施，原则上所有涉气企业均应纳入应急减排清单</w:t>
      </w:r>
      <w:r>
        <w:rPr>
          <w:rFonts w:hint="eastAsia" w:ascii="仿宋" w:hAnsi="仿宋" w:eastAsia="仿宋" w:cs="仿宋"/>
          <w:sz w:val="32"/>
          <w:szCs w:val="32"/>
          <w:lang w:eastAsia="zh-CN"/>
        </w:rPr>
        <w:t>。</w:t>
      </w:r>
      <w:r>
        <w:rPr>
          <w:rFonts w:hint="eastAsia" w:ascii="仿宋" w:hAnsi="仿宋" w:eastAsia="仿宋" w:cs="仿宋"/>
          <w:color w:val="000000"/>
          <w:sz w:val="32"/>
          <w:szCs w:val="32"/>
        </w:rPr>
        <w:t>县住建局</w:t>
      </w:r>
      <w:r>
        <w:rPr>
          <w:rFonts w:hint="eastAsia" w:ascii="仿宋" w:hAnsi="仿宋" w:eastAsia="仿宋" w:cs="仿宋"/>
          <w:color w:val="000000"/>
          <w:sz w:val="32"/>
          <w:szCs w:val="32"/>
          <w:lang w:val="en-US" w:eastAsia="zh-CN"/>
        </w:rPr>
        <w:t>负责</w:t>
      </w:r>
      <w:r>
        <w:rPr>
          <w:rFonts w:hint="eastAsia" w:ascii="仿宋" w:hAnsi="仿宋" w:eastAsia="仿宋" w:cs="仿宋"/>
          <w:color w:val="000000"/>
          <w:sz w:val="32"/>
          <w:szCs w:val="32"/>
        </w:rPr>
        <w:t>编制更新房屋建筑和市政基础设施施工应急减排项目清单</w:t>
      </w:r>
      <w:r>
        <w:rPr>
          <w:rFonts w:hint="eastAsia" w:ascii="仿宋" w:hAnsi="仿宋" w:eastAsia="仿宋" w:cs="仿宋"/>
          <w:sz w:val="32"/>
          <w:szCs w:val="32"/>
          <w:lang w:eastAsia="zh-CN"/>
        </w:rPr>
        <w:t>。</w:t>
      </w:r>
      <w:r>
        <w:rPr>
          <w:rFonts w:hint="eastAsia" w:ascii="仿宋" w:hAnsi="仿宋" w:eastAsia="仿宋" w:cs="仿宋"/>
          <w:sz w:val="32"/>
          <w:szCs w:val="32"/>
        </w:rPr>
        <w:t>县城管执法局</w:t>
      </w:r>
      <w:r>
        <w:rPr>
          <w:rFonts w:hint="eastAsia" w:ascii="仿宋" w:hAnsi="仿宋" w:eastAsia="仿宋" w:cs="仿宋"/>
          <w:color w:val="000000"/>
          <w:sz w:val="32"/>
          <w:szCs w:val="32"/>
          <w:lang w:val="en-US" w:eastAsia="zh-CN"/>
        </w:rPr>
        <w:t>负责</w:t>
      </w:r>
      <w:r>
        <w:rPr>
          <w:rFonts w:hint="eastAsia" w:ascii="仿宋" w:hAnsi="仿宋" w:eastAsia="仿宋" w:cs="仿宋"/>
          <w:sz w:val="32"/>
          <w:szCs w:val="32"/>
        </w:rPr>
        <w:t>编制更新建筑垃圾、渣土、砂石等运输和渣土处置工地重污染天气应急减排项目清单</w:t>
      </w:r>
      <w:r>
        <w:rPr>
          <w:rFonts w:hint="eastAsia" w:ascii="仿宋" w:hAnsi="仿宋" w:eastAsia="仿宋" w:cs="仿宋"/>
          <w:sz w:val="32"/>
          <w:szCs w:val="32"/>
          <w:lang w:eastAsia="zh-CN"/>
        </w:rPr>
        <w:t>。</w:t>
      </w:r>
      <w:r>
        <w:rPr>
          <w:rFonts w:hint="eastAsia" w:ascii="仿宋" w:hAnsi="仿宋" w:eastAsia="仿宋" w:cs="仿宋"/>
          <w:sz w:val="32"/>
          <w:szCs w:val="32"/>
        </w:rPr>
        <w:t>县自然资源局</w:t>
      </w:r>
      <w:r>
        <w:rPr>
          <w:rFonts w:hint="eastAsia" w:ascii="仿宋" w:hAnsi="仿宋" w:eastAsia="仿宋" w:cs="仿宋"/>
          <w:color w:val="000000"/>
          <w:sz w:val="32"/>
          <w:szCs w:val="32"/>
          <w:lang w:val="en-US" w:eastAsia="zh-CN"/>
        </w:rPr>
        <w:t>负责</w:t>
      </w:r>
      <w:r>
        <w:rPr>
          <w:rFonts w:hint="eastAsia" w:ascii="仿宋" w:hAnsi="仿宋" w:eastAsia="仿宋" w:cs="仿宋"/>
          <w:sz w:val="32"/>
          <w:szCs w:val="32"/>
        </w:rPr>
        <w:t>编制更新土地整理施工应急减排项目清单</w:t>
      </w:r>
      <w:r>
        <w:rPr>
          <w:rFonts w:hint="eastAsia" w:ascii="仿宋" w:hAnsi="仿宋" w:eastAsia="仿宋" w:cs="仿宋"/>
          <w:sz w:val="32"/>
          <w:szCs w:val="32"/>
          <w:lang w:eastAsia="zh-CN"/>
        </w:rPr>
        <w:t>。</w:t>
      </w:r>
      <w:r>
        <w:rPr>
          <w:rFonts w:hint="eastAsia" w:ascii="仿宋" w:hAnsi="仿宋" w:eastAsia="仿宋" w:cs="仿宋"/>
          <w:sz w:val="32"/>
          <w:szCs w:val="32"/>
        </w:rPr>
        <w:t>县交通局</w:t>
      </w:r>
      <w:r>
        <w:rPr>
          <w:rFonts w:hint="eastAsia" w:ascii="仿宋" w:hAnsi="仿宋" w:eastAsia="仿宋" w:cs="仿宋"/>
          <w:color w:val="000000"/>
          <w:sz w:val="32"/>
          <w:szCs w:val="32"/>
          <w:lang w:val="en-US" w:eastAsia="zh-CN"/>
        </w:rPr>
        <w:t>负责</w:t>
      </w:r>
      <w:r>
        <w:rPr>
          <w:rFonts w:hint="eastAsia" w:ascii="仿宋" w:hAnsi="仿宋" w:eastAsia="仿宋" w:cs="仿宋"/>
          <w:sz w:val="32"/>
          <w:szCs w:val="32"/>
        </w:rPr>
        <w:t>编制更新交通建设施工应急减排项目清单</w:t>
      </w:r>
      <w:r>
        <w:rPr>
          <w:rFonts w:hint="eastAsia" w:ascii="仿宋" w:hAnsi="仿宋" w:eastAsia="仿宋" w:cs="仿宋"/>
          <w:sz w:val="32"/>
          <w:szCs w:val="32"/>
          <w:lang w:eastAsia="zh-CN"/>
        </w:rPr>
        <w:t>。</w:t>
      </w:r>
      <w:r>
        <w:rPr>
          <w:rFonts w:hint="eastAsia" w:ascii="仿宋" w:hAnsi="仿宋" w:eastAsia="仿宋" w:cs="仿宋"/>
          <w:sz w:val="32"/>
          <w:szCs w:val="32"/>
        </w:rPr>
        <w:t>县水利局</w:t>
      </w:r>
      <w:r>
        <w:rPr>
          <w:rFonts w:hint="eastAsia" w:ascii="仿宋" w:hAnsi="仿宋" w:eastAsia="仿宋" w:cs="仿宋"/>
          <w:color w:val="000000"/>
          <w:sz w:val="32"/>
          <w:szCs w:val="32"/>
          <w:lang w:val="en-US" w:eastAsia="zh-CN"/>
        </w:rPr>
        <w:t>负责</w:t>
      </w:r>
      <w:r>
        <w:rPr>
          <w:rFonts w:hint="eastAsia" w:ascii="仿宋" w:hAnsi="仿宋" w:eastAsia="仿宋" w:cs="仿宋"/>
          <w:sz w:val="32"/>
          <w:szCs w:val="32"/>
        </w:rPr>
        <w:t>编制更新水利建设施工应急减排项目清单。</w:t>
      </w:r>
      <w:r>
        <w:rPr>
          <w:rFonts w:ascii="Times New Roman" w:hAnsi="Times New Roman" w:eastAsia="仿宋_GB2312"/>
          <w:snapToGrid w:val="0"/>
          <w:kern w:val="21"/>
          <w:sz w:val="32"/>
          <w:szCs w:val="32"/>
        </w:rPr>
        <w:t>每年9月底前应完成年度应急减排清单修订工作，将修订的应急减排清单报省生态环境厅备案，并向社会公开。</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47" w:name="_Toc14110"/>
      <w:bookmarkStart w:id="48" w:name="_Toc27499"/>
      <w:bookmarkStart w:id="49" w:name="_Toc7085"/>
      <w:bookmarkStart w:id="50" w:name="_Toc3554"/>
      <w:r>
        <w:rPr>
          <w:rFonts w:hint="eastAsia" w:ascii="楷体_GB2312" w:hAnsi="楷体_GB2312" w:eastAsia="楷体_GB2312" w:cs="楷体_GB2312"/>
        </w:rPr>
        <w:t>3.2夯实应急减排措施</w:t>
      </w:r>
      <w:bookmarkEnd w:id="47"/>
      <w:bookmarkEnd w:id="48"/>
      <w:bookmarkEnd w:id="49"/>
      <w:bookmarkEnd w:id="50"/>
    </w:p>
    <w:p>
      <w:pPr>
        <w:pageBreakBefore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 w:cs="仿宋"/>
          <w:sz w:val="32"/>
          <w:szCs w:val="32"/>
        </w:rPr>
      </w:pPr>
      <w:r>
        <w:rPr>
          <w:rFonts w:hint="eastAsia" w:ascii="Times New Roman" w:hAnsi="Times New Roman" w:eastAsia="仿宋" w:cs="仿宋"/>
          <w:sz w:val="32"/>
          <w:szCs w:val="32"/>
        </w:rPr>
        <w:t>市生态环境局县分局组织专家组定期审核应急减排清单、减排措施、应急减排比例。主要包括基础排放量和应急减排基数。通过实施多污染物协同减排，在强制性减排措施中，全县</w:t>
      </w:r>
      <w:r>
        <w:rPr>
          <w:rFonts w:ascii="Times New Roman" w:hAnsi="Times New Roman" w:eastAsia="仿宋_GB2312"/>
          <w:snapToGrid w:val="0"/>
          <w:kern w:val="21"/>
          <w:sz w:val="32"/>
          <w:szCs w:val="32"/>
        </w:rPr>
        <w:t>二氧化硫、氮氧化物、颗粒物和挥发性有机物在重污染天气</w:t>
      </w:r>
      <w:r>
        <w:rPr>
          <w:rFonts w:ascii="Times New Roman" w:hAnsi="Times New Roman" w:eastAsia="仿宋_GB2312"/>
          <w:snapToGrid w:val="0"/>
          <w:kern w:val="21"/>
          <w:sz w:val="32"/>
          <w:szCs w:val="32"/>
        </w:rPr>
        <w:fldChar w:fldCharType="begin"/>
      </w:r>
      <w:r>
        <w:rPr>
          <w:rFonts w:ascii="Times New Roman" w:hAnsi="Times New Roman" w:eastAsia="仿宋_GB2312"/>
          <w:snapToGrid w:val="0"/>
          <w:kern w:val="21"/>
          <w:sz w:val="32"/>
          <w:szCs w:val="32"/>
        </w:rPr>
        <w:instrText xml:space="preserve"> = 3 \* ROMAN \* MERGEFORMAT </w:instrText>
      </w:r>
      <w:r>
        <w:rPr>
          <w:rFonts w:ascii="Times New Roman" w:hAnsi="Times New Roman" w:eastAsia="仿宋_GB2312"/>
          <w:snapToGrid w:val="0"/>
          <w:kern w:val="21"/>
          <w:sz w:val="32"/>
          <w:szCs w:val="32"/>
        </w:rPr>
        <w:fldChar w:fldCharType="separate"/>
      </w:r>
      <w:r>
        <w:rPr>
          <w:rFonts w:ascii="Times New Roman" w:hAnsi="Times New Roman" w:eastAsia="仿宋_GB2312"/>
          <w:snapToGrid w:val="0"/>
          <w:kern w:val="21"/>
          <w:sz w:val="32"/>
          <w:szCs w:val="32"/>
        </w:rPr>
        <w:t>III</w:t>
      </w:r>
      <w:r>
        <w:rPr>
          <w:rFonts w:ascii="Times New Roman" w:hAnsi="Times New Roman" w:eastAsia="仿宋_GB2312"/>
          <w:snapToGrid w:val="0"/>
          <w:kern w:val="21"/>
          <w:sz w:val="32"/>
          <w:szCs w:val="32"/>
        </w:rPr>
        <w:fldChar w:fldCharType="end"/>
      </w:r>
      <w:r>
        <w:rPr>
          <w:rFonts w:ascii="Times New Roman" w:hAnsi="Times New Roman" w:eastAsia="仿宋_GB2312"/>
          <w:snapToGrid w:val="0"/>
          <w:kern w:val="21"/>
          <w:sz w:val="32"/>
          <w:szCs w:val="32"/>
        </w:rPr>
        <w:t>级、</w:t>
      </w:r>
      <w:r>
        <w:rPr>
          <w:rFonts w:ascii="Times New Roman" w:hAnsi="Times New Roman" w:eastAsia="仿宋_GB2312"/>
          <w:snapToGrid w:val="0"/>
          <w:kern w:val="21"/>
          <w:sz w:val="32"/>
          <w:szCs w:val="32"/>
        </w:rPr>
        <w:fldChar w:fldCharType="begin"/>
      </w:r>
      <w:r>
        <w:rPr>
          <w:rFonts w:ascii="Times New Roman" w:hAnsi="Times New Roman" w:eastAsia="仿宋_GB2312"/>
          <w:snapToGrid w:val="0"/>
          <w:kern w:val="21"/>
          <w:sz w:val="32"/>
          <w:szCs w:val="32"/>
        </w:rPr>
        <w:instrText xml:space="preserve"> = 2 \* ROMAN \* MERGEFORMAT </w:instrText>
      </w:r>
      <w:r>
        <w:rPr>
          <w:rFonts w:ascii="Times New Roman" w:hAnsi="Times New Roman" w:eastAsia="仿宋_GB2312"/>
          <w:snapToGrid w:val="0"/>
          <w:kern w:val="21"/>
          <w:sz w:val="32"/>
          <w:szCs w:val="32"/>
        </w:rPr>
        <w:fldChar w:fldCharType="separate"/>
      </w:r>
      <w:r>
        <w:rPr>
          <w:rFonts w:ascii="Times New Roman" w:hAnsi="Times New Roman" w:eastAsia="仿宋_GB2312"/>
          <w:snapToGrid w:val="0"/>
          <w:kern w:val="21"/>
          <w:sz w:val="32"/>
          <w:szCs w:val="32"/>
        </w:rPr>
        <w:t>II</w:t>
      </w:r>
      <w:r>
        <w:rPr>
          <w:rFonts w:ascii="Times New Roman" w:hAnsi="Times New Roman" w:eastAsia="仿宋_GB2312"/>
          <w:snapToGrid w:val="0"/>
          <w:kern w:val="21"/>
          <w:sz w:val="32"/>
          <w:szCs w:val="32"/>
        </w:rPr>
        <w:fldChar w:fldCharType="end"/>
      </w:r>
      <w:r>
        <w:rPr>
          <w:rFonts w:ascii="Times New Roman" w:hAnsi="Times New Roman" w:eastAsia="仿宋_GB2312"/>
          <w:snapToGrid w:val="0"/>
          <w:kern w:val="21"/>
          <w:sz w:val="32"/>
          <w:szCs w:val="32"/>
        </w:rPr>
        <w:t>级、</w:t>
      </w:r>
      <w:r>
        <w:rPr>
          <w:rFonts w:ascii="Times New Roman" w:hAnsi="Times New Roman" w:eastAsia="仿宋_GB2312"/>
          <w:snapToGrid w:val="0"/>
          <w:kern w:val="21"/>
          <w:sz w:val="32"/>
          <w:szCs w:val="32"/>
        </w:rPr>
        <w:fldChar w:fldCharType="begin"/>
      </w:r>
      <w:r>
        <w:rPr>
          <w:rFonts w:ascii="Times New Roman" w:hAnsi="Times New Roman" w:eastAsia="仿宋_GB2312"/>
          <w:snapToGrid w:val="0"/>
          <w:kern w:val="21"/>
          <w:sz w:val="32"/>
          <w:szCs w:val="32"/>
        </w:rPr>
        <w:instrText xml:space="preserve"> = 1 \* ROMAN \* MERGEFORMAT </w:instrText>
      </w:r>
      <w:r>
        <w:rPr>
          <w:rFonts w:ascii="Times New Roman" w:hAnsi="Times New Roman" w:eastAsia="仿宋_GB2312"/>
          <w:snapToGrid w:val="0"/>
          <w:kern w:val="21"/>
          <w:sz w:val="32"/>
          <w:szCs w:val="32"/>
        </w:rPr>
        <w:fldChar w:fldCharType="separate"/>
      </w:r>
      <w:r>
        <w:rPr>
          <w:rFonts w:ascii="Times New Roman" w:hAnsi="Times New Roman" w:eastAsia="仿宋_GB2312"/>
          <w:snapToGrid w:val="0"/>
          <w:kern w:val="21"/>
          <w:sz w:val="32"/>
          <w:szCs w:val="32"/>
        </w:rPr>
        <w:t>I</w:t>
      </w:r>
      <w:r>
        <w:rPr>
          <w:rFonts w:ascii="Times New Roman" w:hAnsi="Times New Roman" w:eastAsia="仿宋_GB2312"/>
          <w:snapToGrid w:val="0"/>
          <w:kern w:val="21"/>
          <w:sz w:val="32"/>
          <w:szCs w:val="32"/>
        </w:rPr>
        <w:fldChar w:fldCharType="end"/>
      </w:r>
      <w:r>
        <w:rPr>
          <w:rFonts w:ascii="Times New Roman" w:hAnsi="Times New Roman" w:eastAsia="仿宋_GB2312"/>
          <w:snapToGrid w:val="0"/>
          <w:kern w:val="21"/>
          <w:sz w:val="32"/>
          <w:szCs w:val="32"/>
        </w:rPr>
        <w:t>级应急响应期间强制性减排措施污染物应急减排比例应分别达到全社会排放量的10%、20%和30%以上。在制定减排措施时，应在满足减排比例要求的前提下，采取差异化减排措施。</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51" w:name="_Toc20995"/>
      <w:bookmarkStart w:id="52" w:name="_Toc28791"/>
      <w:bookmarkStart w:id="53" w:name="_Toc20686"/>
      <w:bookmarkStart w:id="54" w:name="_Toc29568"/>
      <w:r>
        <w:rPr>
          <w:rFonts w:hint="eastAsia" w:ascii="楷体_GB2312" w:hAnsi="楷体_GB2312" w:eastAsia="楷体_GB2312" w:cs="楷体_GB2312"/>
        </w:rPr>
        <w:t>3.3指导企业制定“一厂一策”实施方案</w:t>
      </w:r>
      <w:bookmarkEnd w:id="51"/>
      <w:bookmarkEnd w:id="52"/>
      <w:bookmarkEnd w:id="53"/>
      <w:bookmarkEnd w:id="54"/>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lang w:val="en-US" w:eastAsia="zh-CN"/>
        </w:rPr>
        <w:t>市</w:t>
      </w:r>
      <w:r>
        <w:rPr>
          <w:rFonts w:hint="eastAsia" w:eastAsia="仿宋" w:cs="仿宋"/>
          <w:sz w:val="32"/>
          <w:szCs w:val="32"/>
        </w:rPr>
        <w:t>生态环境</w:t>
      </w:r>
      <w:r>
        <w:rPr>
          <w:rFonts w:hint="eastAsia" w:eastAsia="仿宋" w:cs="仿宋"/>
          <w:sz w:val="32"/>
          <w:szCs w:val="32"/>
          <w:lang w:val="en-US" w:eastAsia="zh-CN"/>
        </w:rPr>
        <w:t>局县分局</w:t>
      </w:r>
      <w:r>
        <w:rPr>
          <w:rFonts w:hint="eastAsia" w:eastAsia="仿宋" w:cs="仿宋"/>
          <w:sz w:val="32"/>
          <w:szCs w:val="32"/>
        </w:rPr>
        <w:t>会同相关部门指导纳入应急减排项目清单的工业企业制定“一厂一策”实施方案。实施方案包含企业基本情况、主要生产工艺流程、主要产生和排放大气污染物环节、污染物排放情况（含重型运输车辆及非道路移动机械），并载明不同级别预警下的应急减排措施，明确具体停产的生产线、工艺环节和各类减排措施的关键性指数，细化具体减排工序责任人及联系方式等。企业应当制定“一厂一策”实施方案公示牌，安装在厂区入口等醒目位置。对于简单工序或重污染预警期间实施全厂、整条生产线停产和轮流停产的工业企业，可只制定公示牌。</w:t>
      </w:r>
    </w:p>
    <w:p>
      <w:pPr>
        <w:pStyle w:val="3"/>
        <w:pageBreakBefore w:val="0"/>
        <w:kinsoku/>
        <w:wordWrap/>
        <w:overflowPunct w:val="0"/>
        <w:topLinePunct w:val="0"/>
        <w:autoSpaceDE/>
        <w:autoSpaceDN/>
        <w:bidi w:val="0"/>
        <w:spacing w:before="0" w:after="0" w:line="560" w:lineRule="exact"/>
        <w:ind w:firstLine="640" w:firstLineChars="200"/>
        <w:textAlignment w:val="auto"/>
        <w:rPr>
          <w:rFonts w:hint="eastAsia" w:ascii="黑体" w:hAnsi="黑体" w:eastAsia="黑体" w:cs="黑体"/>
          <w:b w:val="0"/>
          <w:bCs/>
          <w:sz w:val="32"/>
          <w:szCs w:val="32"/>
        </w:rPr>
      </w:pPr>
      <w:bookmarkStart w:id="55" w:name="_Toc6578"/>
      <w:bookmarkStart w:id="56" w:name="_Toc3633"/>
      <w:bookmarkStart w:id="57" w:name="_Toc12267"/>
      <w:bookmarkStart w:id="58" w:name="_Toc30825"/>
      <w:r>
        <w:rPr>
          <w:rFonts w:hint="eastAsia" w:ascii="黑体" w:hAnsi="黑体" w:eastAsia="黑体" w:cs="黑体"/>
          <w:b w:val="0"/>
          <w:bCs/>
          <w:sz w:val="32"/>
          <w:szCs w:val="32"/>
        </w:rPr>
        <w:t>4.监测与预警</w:t>
      </w:r>
      <w:bookmarkEnd w:id="55"/>
      <w:bookmarkEnd w:id="56"/>
      <w:bookmarkEnd w:id="57"/>
      <w:bookmarkEnd w:id="58"/>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59" w:name="_Toc32206"/>
      <w:bookmarkStart w:id="60" w:name="_Toc32394"/>
      <w:bookmarkStart w:id="61" w:name="_Toc4840"/>
      <w:bookmarkStart w:id="62" w:name="_Toc22849"/>
      <w:r>
        <w:rPr>
          <w:rFonts w:hint="eastAsia" w:ascii="楷体_GB2312" w:hAnsi="楷体_GB2312" w:eastAsia="楷体_GB2312" w:cs="楷体_GB2312"/>
        </w:rPr>
        <w:t>4.1监测与预报</w:t>
      </w:r>
      <w:bookmarkEnd w:id="59"/>
      <w:bookmarkEnd w:id="60"/>
      <w:bookmarkEnd w:id="61"/>
      <w:bookmarkEnd w:id="62"/>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r>
        <w:rPr>
          <w:rFonts w:hint="eastAsia" w:eastAsia="仿宋" w:cs="仿宋"/>
          <w:sz w:val="32"/>
          <w:szCs w:val="32"/>
        </w:rPr>
        <w:t>依据《环境空气质量标准》（GB3095-2012）及修改单、《重污染天气预警分级标准和应急减排措施修订》（环大气</w:t>
      </w:r>
      <w:r>
        <w:rPr>
          <w:rFonts w:hint="eastAsia" w:ascii="仿宋_GB2312" w:hAnsi="仿宋_GB2312" w:eastAsia="仿宋_GB2312" w:cs="仿宋_GB2312"/>
          <w:kern w:val="0"/>
          <w:sz w:val="32"/>
          <w:szCs w:val="32"/>
          <w:lang w:val="en-US" w:eastAsia="zh-CN" w:bidi="ar-SA"/>
        </w:rPr>
        <w:t>〔</w:t>
      </w:r>
      <w:r>
        <w:rPr>
          <w:rFonts w:hint="eastAsia" w:eastAsia="仿宋" w:cs="仿宋"/>
          <w:sz w:val="32"/>
          <w:szCs w:val="32"/>
        </w:rPr>
        <w:t>2017</w:t>
      </w:r>
      <w:r>
        <w:rPr>
          <w:rFonts w:hint="eastAsia" w:ascii="仿宋_GB2312" w:hAnsi="仿宋_GB2312" w:eastAsia="仿宋_GB2312" w:cs="仿宋_GB2312"/>
          <w:kern w:val="0"/>
          <w:sz w:val="32"/>
          <w:szCs w:val="32"/>
          <w:lang w:val="en-US" w:eastAsia="zh-CN" w:bidi="ar-SA"/>
        </w:rPr>
        <w:t>〕</w:t>
      </w:r>
      <w:r>
        <w:rPr>
          <w:rFonts w:hint="eastAsia" w:eastAsia="仿宋" w:cs="仿宋"/>
          <w:sz w:val="32"/>
          <w:szCs w:val="32"/>
        </w:rPr>
        <w:t>86号）及有关规定，市生态环境局县分局会同县气象局联合开展空气质量监测和评价，整合环境空气和气象监测资源，构建不同预警级别下分级预报会商机制，建立空气质量预报平台，每日预测预报空气质量，预测预报未来7天（168小时）环境空气质量变化趋势。</w:t>
      </w:r>
      <w:r>
        <w:rPr>
          <w:rFonts w:hint="eastAsia" w:eastAsia="仿宋" w:cs="仿宋"/>
          <w:sz w:val="32"/>
          <w:szCs w:val="32"/>
          <w:lang w:val="en-US" w:eastAsia="zh-CN"/>
        </w:rPr>
        <w:t>当</w:t>
      </w:r>
      <w:r>
        <w:rPr>
          <w:rFonts w:hint="eastAsia" w:eastAsia="仿宋" w:cs="仿宋"/>
          <w:sz w:val="32"/>
          <w:szCs w:val="32"/>
        </w:rPr>
        <w:t>预测出现重污染天气或监测AQI小时均值大于</w:t>
      </w:r>
      <w:r>
        <w:rPr>
          <w:rFonts w:hint="eastAsia" w:eastAsia="仿宋" w:cs="仿宋"/>
          <w:sz w:val="32"/>
          <w:szCs w:val="32"/>
          <w:lang w:val="en-US" w:eastAsia="zh-CN"/>
        </w:rPr>
        <w:t>20</w:t>
      </w:r>
      <w:r>
        <w:rPr>
          <w:rFonts w:hint="eastAsia" w:eastAsia="仿宋" w:cs="仿宋"/>
          <w:sz w:val="32"/>
          <w:szCs w:val="32"/>
        </w:rPr>
        <w:t>0时，</w:t>
      </w:r>
      <w:r>
        <w:rPr>
          <w:rFonts w:hint="eastAsia" w:eastAsia="仿宋" w:cs="仿宋"/>
          <w:sz w:val="32"/>
          <w:szCs w:val="32"/>
          <w:lang w:val="en-US" w:eastAsia="zh-CN"/>
        </w:rPr>
        <w:t>应当及时组织</w:t>
      </w:r>
      <w:r>
        <w:rPr>
          <w:rFonts w:hint="eastAsia" w:eastAsia="仿宋" w:cs="仿宋"/>
          <w:sz w:val="32"/>
          <w:szCs w:val="32"/>
        </w:rPr>
        <w:t>县指挥部成员单位和专家组</w:t>
      </w:r>
      <w:r>
        <w:rPr>
          <w:rFonts w:hint="eastAsia" w:eastAsia="仿宋" w:cs="仿宋"/>
          <w:sz w:val="32"/>
          <w:szCs w:val="32"/>
          <w:lang w:val="en-US" w:eastAsia="zh-CN"/>
        </w:rPr>
        <w:t>进行</w:t>
      </w:r>
      <w:r>
        <w:rPr>
          <w:rFonts w:hint="eastAsia" w:eastAsia="仿宋" w:cs="仿宋"/>
          <w:sz w:val="32"/>
          <w:szCs w:val="32"/>
        </w:rPr>
        <w:t>会商。重污染天气过程期间，及时提出发布、调整、解除预警建议，为预警、响应工作提供决策依据。当预警能力不够时，依托上级预警体系。</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63" w:name="_Toc10849"/>
      <w:bookmarkStart w:id="64" w:name="_Toc10460"/>
      <w:bookmarkStart w:id="65" w:name="_Toc14916"/>
      <w:bookmarkStart w:id="66" w:name="_Toc2937"/>
      <w:r>
        <w:rPr>
          <w:rFonts w:hint="eastAsia" w:ascii="楷体_GB2312" w:hAnsi="楷体_GB2312" w:eastAsia="楷体_GB2312" w:cs="楷体_GB2312"/>
        </w:rPr>
        <w:t>4.2预警分级</w:t>
      </w:r>
      <w:bookmarkEnd w:id="63"/>
      <w:bookmarkEnd w:id="64"/>
      <w:bookmarkEnd w:id="65"/>
      <w:bookmarkEnd w:id="66"/>
    </w:p>
    <w:p>
      <w:pPr>
        <w:pStyle w:val="18"/>
        <w:pageBreakBefore w:val="0"/>
        <w:kinsoku/>
        <w:wordWrap/>
        <w:overflowPunct w:val="0"/>
        <w:topLinePunct w:val="0"/>
        <w:autoSpaceDE/>
        <w:autoSpaceDN/>
        <w:bidi w:val="0"/>
        <w:spacing w:before="0" w:after="0" w:line="560" w:lineRule="exact"/>
        <w:ind w:firstLine="640"/>
        <w:jc w:val="both"/>
        <w:textAlignment w:val="auto"/>
        <w:rPr>
          <w:rFonts w:eastAsia="仿宋" w:cs="仿宋"/>
          <w:sz w:val="32"/>
          <w:szCs w:val="32"/>
        </w:rPr>
      </w:pPr>
      <w:r>
        <w:rPr>
          <w:rFonts w:hint="eastAsia" w:eastAsia="仿宋_GB2312"/>
          <w:sz w:val="32"/>
          <w:szCs w:val="32"/>
        </w:rPr>
        <w:t>重污染天气预警统一以空气质量指数（AQI）日均值为指标</w:t>
      </w:r>
      <w:r>
        <w:rPr>
          <w:rFonts w:hint="eastAsia" w:eastAsia="仿宋" w:cs="仿宋"/>
          <w:sz w:val="32"/>
          <w:szCs w:val="32"/>
        </w:rPr>
        <w:t>，按连续24小时（可以跨自然日）均值计算，按照环境质量预测结果、空气污染程度、重污染天气持续时间等因素，将重污染天气预警分为3个级别，由轻到重依次分为：黄色（Ⅲ级）预警、橙色（Ⅱ级）预警和红色（I级）预警。</w:t>
      </w:r>
    </w:p>
    <w:p>
      <w:pPr>
        <w:pStyle w:val="18"/>
        <w:pageBreakBefore w:val="0"/>
        <w:kinsoku/>
        <w:wordWrap/>
        <w:overflowPunct w:val="0"/>
        <w:topLinePunct w:val="0"/>
        <w:autoSpaceDE/>
        <w:autoSpaceDN/>
        <w:bidi w:val="0"/>
        <w:spacing w:before="0" w:after="0" w:line="560" w:lineRule="exact"/>
        <w:ind w:firstLine="640"/>
        <w:jc w:val="both"/>
        <w:textAlignment w:val="auto"/>
        <w:rPr>
          <w:rFonts w:hint="default" w:eastAsia="仿宋_GB2312" w:cs="仿宋"/>
          <w:sz w:val="32"/>
          <w:szCs w:val="32"/>
          <w:lang w:val="en-US" w:eastAsia="zh-CN"/>
        </w:rPr>
      </w:pPr>
      <w:r>
        <w:rPr>
          <w:rFonts w:hint="eastAsia" w:eastAsia="仿宋" w:cs="仿宋"/>
          <w:sz w:val="32"/>
          <w:szCs w:val="32"/>
          <w:lang w:val="en-US" w:eastAsia="zh-CN"/>
        </w:rPr>
        <w:t>健康防护提示性信息：</w:t>
      </w:r>
      <w:r>
        <w:rPr>
          <w:rFonts w:hint="eastAsia" w:eastAsia="仿宋" w:cs="仿宋"/>
          <w:color w:val="000000"/>
          <w:sz w:val="32"/>
          <w:szCs w:val="32"/>
        </w:rPr>
        <w:t>预测空气质量指数（AQI）日均值﹥150</w:t>
      </w:r>
      <w:r>
        <w:rPr>
          <w:rFonts w:hint="eastAsia" w:eastAsia="仿宋" w:cs="仿宋"/>
          <w:color w:val="000000"/>
          <w:sz w:val="32"/>
          <w:szCs w:val="32"/>
          <w:lang w:val="en-US" w:eastAsia="zh-CN"/>
        </w:rPr>
        <w:t>将</w:t>
      </w:r>
      <w:r>
        <w:rPr>
          <w:rFonts w:hint="eastAsia" w:eastAsia="仿宋" w:cs="仿宋"/>
          <w:color w:val="000000"/>
          <w:sz w:val="32"/>
          <w:szCs w:val="32"/>
        </w:rPr>
        <w:t>持续</w:t>
      </w:r>
      <w:r>
        <w:rPr>
          <w:rFonts w:hint="eastAsia" w:eastAsia="仿宋" w:cs="仿宋"/>
          <w:color w:val="000000"/>
          <w:sz w:val="32"/>
          <w:szCs w:val="32"/>
          <w:lang w:val="en-US" w:eastAsia="zh-CN"/>
        </w:rPr>
        <w:t>1</w:t>
      </w:r>
      <w:r>
        <w:rPr>
          <w:rFonts w:hint="eastAsia" w:eastAsia="仿宋" w:cs="仿宋"/>
          <w:color w:val="000000"/>
          <w:sz w:val="32"/>
          <w:szCs w:val="32"/>
        </w:rPr>
        <w:t>天（</w:t>
      </w:r>
      <w:r>
        <w:rPr>
          <w:rFonts w:hint="eastAsia" w:eastAsia="仿宋" w:cs="仿宋"/>
          <w:color w:val="000000"/>
          <w:sz w:val="32"/>
          <w:szCs w:val="32"/>
          <w:lang w:val="en-US" w:eastAsia="zh-CN"/>
        </w:rPr>
        <w:t>24</w:t>
      </w:r>
      <w:r>
        <w:rPr>
          <w:rFonts w:hint="eastAsia" w:eastAsia="仿宋" w:cs="仿宋"/>
          <w:color w:val="000000"/>
          <w:sz w:val="32"/>
          <w:szCs w:val="32"/>
        </w:rPr>
        <w:t>小时）及以上，</w:t>
      </w:r>
      <w:r>
        <w:rPr>
          <w:rFonts w:hint="eastAsia" w:ascii="Times New Roman" w:hAnsi="Times New Roman" w:eastAsia="仿宋_GB2312"/>
          <w:snapToGrid w:val="0"/>
          <w:color w:val="auto"/>
          <w:kern w:val="21"/>
          <w:sz w:val="32"/>
          <w:szCs w:val="32"/>
          <w:highlight w:val="none"/>
          <w:lang w:val="en-US" w:eastAsia="zh-CN"/>
        </w:rPr>
        <w:t>发布常规空气质量预报信息时，增加健康防护提示性信息或建议，不启动预警。</w:t>
      </w:r>
    </w:p>
    <w:p>
      <w:pPr>
        <w:pStyle w:val="18"/>
        <w:pageBreakBefore w:val="0"/>
        <w:kinsoku/>
        <w:wordWrap/>
        <w:overflowPunct w:val="0"/>
        <w:topLinePunct w:val="0"/>
        <w:autoSpaceDE/>
        <w:autoSpaceDN/>
        <w:bidi w:val="0"/>
        <w:spacing w:before="0" w:after="0" w:line="560" w:lineRule="exact"/>
        <w:ind w:firstLine="640"/>
        <w:jc w:val="both"/>
        <w:textAlignment w:val="auto"/>
        <w:rPr>
          <w:rFonts w:eastAsia="仿宋" w:cs="仿宋"/>
          <w:color w:val="000000"/>
          <w:sz w:val="32"/>
          <w:szCs w:val="32"/>
        </w:rPr>
      </w:pPr>
      <w:r>
        <w:rPr>
          <w:rFonts w:hint="eastAsia" w:eastAsia="仿宋" w:cs="仿宋"/>
          <w:color w:val="000000"/>
          <w:sz w:val="32"/>
          <w:szCs w:val="32"/>
        </w:rPr>
        <w:t>黄色（Ⅲ级）预警：预测空气质量指数（AQI）日均值﹥200或空气质量指数（AQI）日均值﹥150持续2天（48小时）及以上，且未达到高级别预警条件。</w:t>
      </w:r>
    </w:p>
    <w:p>
      <w:pPr>
        <w:pStyle w:val="18"/>
        <w:pageBreakBefore w:val="0"/>
        <w:kinsoku/>
        <w:wordWrap/>
        <w:overflowPunct w:val="0"/>
        <w:topLinePunct w:val="0"/>
        <w:autoSpaceDE/>
        <w:autoSpaceDN/>
        <w:bidi w:val="0"/>
        <w:spacing w:before="0" w:after="0" w:line="560" w:lineRule="exact"/>
        <w:ind w:firstLine="640"/>
        <w:jc w:val="both"/>
        <w:textAlignment w:val="auto"/>
        <w:rPr>
          <w:rFonts w:eastAsia="仿宋" w:cs="仿宋"/>
          <w:color w:val="000000"/>
          <w:sz w:val="32"/>
          <w:szCs w:val="32"/>
        </w:rPr>
      </w:pPr>
      <w:r>
        <w:rPr>
          <w:rFonts w:hint="eastAsia" w:eastAsia="仿宋" w:cs="仿宋"/>
          <w:color w:val="000000"/>
          <w:sz w:val="32"/>
          <w:szCs w:val="32"/>
        </w:rPr>
        <w:t>橙色（Ⅱ级）预警：预测空气质量指数（AQI）日均值﹥200持续2天（48小时）或空气质量指数（AQI）日均值﹥150持续3天（72小时）及以上，且未达到高级别预警条件。</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color w:val="000000"/>
          <w:sz w:val="32"/>
          <w:szCs w:val="32"/>
        </w:rPr>
      </w:pPr>
      <w:r>
        <w:rPr>
          <w:rFonts w:hint="eastAsia" w:eastAsia="仿宋" w:cs="仿宋"/>
          <w:color w:val="000000"/>
          <w:sz w:val="32"/>
          <w:szCs w:val="32"/>
        </w:rPr>
        <w:t>红色（Ⅰ级）预警：预测空气质量指数（AQI）日均值﹥200持续3天（72小时）</w:t>
      </w:r>
      <w:r>
        <w:rPr>
          <w:rFonts w:hint="eastAsia" w:eastAsia="仿宋" w:cs="仿宋"/>
          <w:color w:val="000000"/>
          <w:sz w:val="32"/>
          <w:szCs w:val="32"/>
          <w:lang w:val="en-US" w:eastAsia="zh-CN"/>
        </w:rPr>
        <w:t>且</w:t>
      </w:r>
      <w:r>
        <w:rPr>
          <w:rFonts w:hint="eastAsia" w:eastAsia="仿宋" w:cs="仿宋"/>
          <w:color w:val="000000"/>
          <w:sz w:val="32"/>
          <w:szCs w:val="32"/>
        </w:rPr>
        <w:t>空气质量指数（AQI）日均值﹥300持续1天（24小时）及以上。</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color w:val="000000"/>
          <w:sz w:val="32"/>
          <w:szCs w:val="32"/>
        </w:rPr>
      </w:pPr>
      <w:r>
        <w:rPr>
          <w:rFonts w:hint="eastAsia" w:eastAsia="仿宋" w:cs="仿宋"/>
          <w:color w:val="000000"/>
          <w:sz w:val="32"/>
          <w:szCs w:val="32"/>
        </w:rPr>
        <w:t>当预测未来24小时出现PM</w:t>
      </w:r>
      <w:r>
        <w:rPr>
          <w:rFonts w:hint="eastAsia" w:eastAsia="仿宋" w:cs="仿宋"/>
          <w:color w:val="000000"/>
          <w:sz w:val="32"/>
          <w:szCs w:val="32"/>
          <w:vertAlign w:val="subscript"/>
        </w:rPr>
        <w:t>10</w:t>
      </w:r>
      <w:r>
        <w:rPr>
          <w:rFonts w:hint="eastAsia" w:eastAsia="仿宋" w:cs="仿宋"/>
          <w:color w:val="000000"/>
          <w:sz w:val="32"/>
          <w:szCs w:val="32"/>
        </w:rPr>
        <w:t>均值浓度﹥150μg/m</w:t>
      </w:r>
      <w:r>
        <w:rPr>
          <w:rFonts w:hint="eastAsia" w:eastAsia="仿宋" w:cs="仿宋"/>
          <w:color w:val="000000"/>
          <w:sz w:val="32"/>
          <w:szCs w:val="32"/>
          <w:vertAlign w:val="superscript"/>
        </w:rPr>
        <w:t>3</w:t>
      </w:r>
      <w:r>
        <w:rPr>
          <w:rFonts w:hint="eastAsia" w:eastAsia="仿宋" w:cs="仿宋"/>
          <w:color w:val="000000"/>
          <w:sz w:val="32"/>
          <w:szCs w:val="32"/>
        </w:rPr>
        <w:t>、PM</w:t>
      </w:r>
      <w:r>
        <w:rPr>
          <w:rFonts w:hint="eastAsia" w:eastAsia="仿宋" w:cs="仿宋"/>
          <w:color w:val="000000"/>
          <w:sz w:val="32"/>
          <w:szCs w:val="32"/>
          <w:vertAlign w:val="subscript"/>
        </w:rPr>
        <w:t>2.5</w:t>
      </w:r>
      <w:r>
        <w:rPr>
          <w:rFonts w:hint="eastAsia" w:eastAsia="仿宋" w:cs="仿宋"/>
          <w:color w:val="000000"/>
          <w:sz w:val="32"/>
          <w:szCs w:val="32"/>
        </w:rPr>
        <w:t>均值浓度﹥75μg/m</w:t>
      </w:r>
      <w:r>
        <w:rPr>
          <w:rFonts w:hint="eastAsia" w:eastAsia="仿宋" w:cs="仿宋"/>
          <w:color w:val="000000"/>
          <w:sz w:val="32"/>
          <w:szCs w:val="32"/>
          <w:vertAlign w:val="superscript"/>
        </w:rPr>
        <w:t>3</w:t>
      </w:r>
      <w:r>
        <w:rPr>
          <w:rFonts w:hint="eastAsia" w:eastAsia="仿宋" w:cs="仿宋"/>
          <w:color w:val="000000"/>
          <w:sz w:val="32"/>
          <w:szCs w:val="32"/>
        </w:rPr>
        <w:t>或臭氧（O</w:t>
      </w:r>
      <w:r>
        <w:rPr>
          <w:rFonts w:hint="eastAsia" w:eastAsia="仿宋" w:cs="仿宋"/>
          <w:color w:val="000000"/>
          <w:sz w:val="32"/>
          <w:szCs w:val="32"/>
          <w:vertAlign w:val="subscript"/>
        </w:rPr>
        <w:t>3</w:t>
      </w:r>
      <w:r>
        <w:rPr>
          <w:rFonts w:hint="eastAsia" w:eastAsia="仿宋" w:cs="仿宋"/>
          <w:color w:val="000000"/>
          <w:sz w:val="32"/>
          <w:szCs w:val="32"/>
        </w:rPr>
        <w:t>）8小时滑动平均浓度﹥160μg/m</w:t>
      </w:r>
      <w:r>
        <w:rPr>
          <w:rFonts w:hint="eastAsia" w:eastAsia="仿宋" w:cs="仿宋"/>
          <w:color w:val="000000"/>
          <w:sz w:val="32"/>
          <w:szCs w:val="32"/>
          <w:vertAlign w:val="superscript"/>
        </w:rPr>
        <w:t>3</w:t>
      </w:r>
      <w:r>
        <w:rPr>
          <w:rFonts w:hint="eastAsia" w:eastAsia="仿宋" w:cs="仿宋"/>
          <w:color w:val="000000"/>
          <w:sz w:val="32"/>
          <w:szCs w:val="32"/>
        </w:rPr>
        <w:t>，且尚未达到黄色预警条件时，在发布常规空气质量预报信息时，增加健康防护提示性</w:t>
      </w:r>
      <w:r>
        <w:rPr>
          <w:rFonts w:hint="eastAsia" w:eastAsia="仿宋" w:cs="仿宋"/>
          <w:color w:val="000000"/>
          <w:sz w:val="32"/>
          <w:szCs w:val="32"/>
          <w:lang w:val="en-US" w:eastAsia="zh-CN"/>
        </w:rPr>
        <w:t>信息</w:t>
      </w:r>
      <w:r>
        <w:rPr>
          <w:rFonts w:hint="eastAsia" w:eastAsia="仿宋" w:cs="仿宋"/>
          <w:color w:val="000000"/>
          <w:sz w:val="32"/>
          <w:szCs w:val="32"/>
        </w:rPr>
        <w:t>或建议。</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当接收到省、市重污染天气应急指挥部发布的预警指令，按省、市指挥部发布的预警级别确定预警级别。当预测可能出现上述重污染天气条件时，应当按照空气质量预报结果上限确定预警级别</w:t>
      </w:r>
      <w:r>
        <w:rPr>
          <w:rFonts w:hint="eastAsia" w:eastAsia="仿宋" w:cs="仿宋"/>
          <w:sz w:val="32"/>
          <w:szCs w:val="32"/>
          <w:lang w:eastAsia="zh-CN"/>
        </w:rPr>
        <w:t>。</w:t>
      </w:r>
      <w:r>
        <w:rPr>
          <w:rFonts w:hint="eastAsia" w:eastAsia="仿宋" w:cs="仿宋"/>
          <w:sz w:val="32"/>
          <w:szCs w:val="32"/>
        </w:rPr>
        <w:t>当监测空气质量已经达到重度污染，且预测未来24小时内空气质量不会有明显改善时，应根据实际污染情况尽早启动或调整相应级别的预警。</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67" w:name="_Toc12951"/>
      <w:bookmarkStart w:id="68" w:name="_Toc32171"/>
      <w:bookmarkStart w:id="69" w:name="_Toc28948"/>
      <w:bookmarkStart w:id="70" w:name="_Toc23829"/>
      <w:r>
        <w:rPr>
          <w:rFonts w:hint="eastAsia" w:ascii="楷体_GB2312" w:hAnsi="楷体_GB2312" w:eastAsia="楷体_GB2312" w:cs="楷体_GB2312"/>
        </w:rPr>
        <w:t>4.3预警会商</w:t>
      </w:r>
      <w:bookmarkEnd w:id="67"/>
      <w:bookmarkEnd w:id="68"/>
      <w:bookmarkEnd w:id="69"/>
      <w:bookmarkEnd w:id="70"/>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市生态环境局县分局会同</w:t>
      </w:r>
      <w:r>
        <w:rPr>
          <w:rFonts w:hint="eastAsia" w:eastAsia="仿宋" w:cs="仿宋"/>
          <w:sz w:val="32"/>
          <w:szCs w:val="32"/>
          <w:lang w:val="en-US" w:eastAsia="zh-CN"/>
        </w:rPr>
        <w:t>相关部门开展</w:t>
      </w:r>
      <w:r>
        <w:rPr>
          <w:rFonts w:hint="eastAsia" w:eastAsia="仿宋" w:cs="仿宋"/>
          <w:sz w:val="32"/>
          <w:szCs w:val="32"/>
        </w:rPr>
        <w:t>重污染天气</w:t>
      </w:r>
      <w:r>
        <w:rPr>
          <w:rFonts w:hint="eastAsia" w:eastAsia="仿宋" w:cs="仿宋"/>
          <w:sz w:val="32"/>
          <w:szCs w:val="32"/>
          <w:lang w:val="en-US" w:eastAsia="zh-CN"/>
        </w:rPr>
        <w:t>预警</w:t>
      </w:r>
      <w:r>
        <w:rPr>
          <w:rFonts w:hint="eastAsia" w:eastAsia="仿宋" w:cs="仿宋"/>
          <w:sz w:val="32"/>
          <w:szCs w:val="32"/>
        </w:rPr>
        <w:t>会商</w:t>
      </w:r>
      <w:r>
        <w:rPr>
          <w:rFonts w:hint="eastAsia" w:eastAsia="仿宋" w:cs="仿宋"/>
          <w:sz w:val="32"/>
          <w:szCs w:val="32"/>
          <w:lang w:val="en-US" w:eastAsia="zh-CN"/>
        </w:rPr>
        <w:t>工作</w:t>
      </w:r>
      <w:r>
        <w:rPr>
          <w:rFonts w:hint="eastAsia" w:eastAsia="仿宋" w:cs="仿宋"/>
          <w:sz w:val="32"/>
          <w:szCs w:val="32"/>
        </w:rPr>
        <w:t>。预测未来可能出现重污染天气的，应当及时发起会商；未发布预警信息，但重污染天气已经出现，要实时会商。接收到省、市指挥部重污染天气预警信息，或预测出现符合重污染天气预警条件的天气时，及时向县指挥部提出预警建议。必要时，可以请县指挥部指挥长、副指挥长和专家组参与会商。</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71" w:name="_Toc20814"/>
      <w:bookmarkStart w:id="72" w:name="_Toc11525"/>
      <w:bookmarkStart w:id="73" w:name="_Toc28579"/>
      <w:bookmarkStart w:id="74" w:name="_Toc20871"/>
      <w:r>
        <w:rPr>
          <w:rFonts w:hint="eastAsia" w:ascii="楷体_GB2312" w:hAnsi="楷体_GB2312" w:eastAsia="楷体_GB2312" w:cs="楷体_GB2312"/>
        </w:rPr>
        <w:t>4.4预警发布</w:t>
      </w:r>
      <w:bookmarkEnd w:id="71"/>
      <w:bookmarkEnd w:id="72"/>
      <w:bookmarkEnd w:id="73"/>
      <w:bookmarkEnd w:id="74"/>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县指挥部办公室原则上应提前24小时以上发布预警信息。预警信息须明确预警级别、启动时间、应急响应区域范围和响应措施等内容。</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黄色预警由县指挥部副指挥长批准发布，橙色、红色预警由县指挥部指挥长批准发布。预警信息采用如下方式发布：县指挥部办公室制作预警信息发布单，预警信息发布单经审核、签发后，通过电子公文、传真、邮件等方式向县指挥部各成员单位进行发布；县科工局组织协调电信运营企业向公众发送重污染天气预警短信；县委宣传部组织报纸、广播、电视、门户网站、新媒体等新闻媒介发布重污染天气预警信息。</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75" w:name="_Toc5165"/>
      <w:bookmarkStart w:id="76" w:name="_Toc23125"/>
      <w:bookmarkStart w:id="77" w:name="_Toc9568"/>
      <w:bookmarkStart w:id="78" w:name="_Toc4658"/>
      <w:r>
        <w:rPr>
          <w:rFonts w:hint="eastAsia" w:ascii="楷体_GB2312" w:hAnsi="楷体_GB2312" w:eastAsia="楷体_GB2312" w:cs="楷体_GB2312"/>
        </w:rPr>
        <w:t>4.5预警变更</w:t>
      </w:r>
      <w:bookmarkEnd w:id="75"/>
      <w:bookmarkEnd w:id="76"/>
      <w:bookmarkEnd w:id="77"/>
      <w:bookmarkEnd w:id="78"/>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在预警有效期内，市生态环境局县分局</w:t>
      </w:r>
      <w:r>
        <w:rPr>
          <w:rFonts w:hint="eastAsia" w:eastAsia="仿宋_GB2312"/>
          <w:sz w:val="32"/>
          <w:szCs w:val="32"/>
        </w:rPr>
        <w:t>组织</w:t>
      </w:r>
      <w:r>
        <w:rPr>
          <w:rFonts w:hint="eastAsia" w:eastAsia="仿宋_GB2312"/>
          <w:sz w:val="32"/>
          <w:szCs w:val="32"/>
          <w:lang w:val="en-US" w:eastAsia="zh-CN"/>
        </w:rPr>
        <w:t>指挥部</w:t>
      </w:r>
      <w:r>
        <w:rPr>
          <w:rFonts w:hint="eastAsia" w:eastAsia="仿宋_GB2312"/>
          <w:sz w:val="32"/>
          <w:szCs w:val="32"/>
        </w:rPr>
        <w:t>相关成员单位、专家</w:t>
      </w:r>
      <w:r>
        <w:rPr>
          <w:rFonts w:hint="eastAsia" w:eastAsia="仿宋" w:cs="仿宋"/>
          <w:sz w:val="32"/>
          <w:szCs w:val="32"/>
        </w:rPr>
        <w:t>加强研判和跟踪分析，如有分析结论预测应当提升或降低预警级别的，向县指挥部报告并提出预警变更的建议。</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当预测发生前后两次重污染过程，且间隔时间未达到解除预警条件的，按一次重污染过程计算，按高级别启动预警。当预测或监测空气质量达到更高级别预警时，尽早升级管控措施。当空气质量改善到相应级别预警启动标准以下，且预测将持续36小时以上时，降低预警级别。</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预警变更的主体及程序和预警发布相同。</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79" w:name="_Toc15706"/>
      <w:bookmarkStart w:id="80" w:name="_Toc11445"/>
      <w:bookmarkStart w:id="81" w:name="_Toc30914"/>
      <w:bookmarkStart w:id="82" w:name="_Toc6178"/>
      <w:r>
        <w:rPr>
          <w:rFonts w:hint="eastAsia" w:ascii="楷体_GB2312" w:hAnsi="楷体_GB2312" w:eastAsia="楷体_GB2312" w:cs="楷体_GB2312"/>
        </w:rPr>
        <w:t>4.6预警解除</w:t>
      </w:r>
      <w:bookmarkEnd w:id="79"/>
      <w:bookmarkEnd w:id="80"/>
      <w:bookmarkEnd w:id="81"/>
      <w:bookmarkEnd w:id="82"/>
    </w:p>
    <w:p>
      <w:pPr>
        <w:pageBreakBefore w:val="0"/>
        <w:kinsoku/>
        <w:wordWrap/>
        <w:overflowPunct w:val="0"/>
        <w:topLinePunct w:val="0"/>
        <w:autoSpaceDE/>
        <w:autoSpaceDN/>
        <w:bidi w:val="0"/>
        <w:snapToGrid w:val="0"/>
        <w:spacing w:line="560" w:lineRule="exact"/>
        <w:ind w:firstLine="640" w:firstLineChars="200"/>
        <w:textAlignment w:val="auto"/>
        <w:rPr>
          <w:rFonts w:ascii="Times New Roman" w:hAnsi="Times New Roman" w:eastAsia="仿宋_GB2312"/>
          <w:sz w:val="32"/>
          <w:szCs w:val="32"/>
        </w:rPr>
      </w:pPr>
      <w:bookmarkStart w:id="83" w:name="_Toc3976"/>
      <w:bookmarkStart w:id="84" w:name="_Toc24849"/>
      <w:bookmarkStart w:id="85" w:name="_Toc2222"/>
      <w:r>
        <w:rPr>
          <w:rFonts w:hint="eastAsia" w:ascii="Times New Roman" w:hAnsi="Times New Roman" w:eastAsia="仿宋_GB2312"/>
          <w:sz w:val="32"/>
          <w:szCs w:val="32"/>
        </w:rPr>
        <w:t>预测或监测空气质量指数（AQI）将降至或已降至黄色预警条件以下，且预测将持续36小时以上时，县指挥部依据批准权限发布预警解除信息。</w:t>
      </w:r>
      <w:r>
        <w:rPr>
          <w:rFonts w:ascii="Times New Roman" w:hAnsi="Times New Roman" w:eastAsia="仿宋_GB2312"/>
          <w:snapToGrid w:val="0"/>
          <w:kern w:val="21"/>
          <w:sz w:val="32"/>
          <w:szCs w:val="32"/>
        </w:rPr>
        <w:t>预警解除的主体及程序和预警发布相同。</w:t>
      </w:r>
    </w:p>
    <w:p>
      <w:pPr>
        <w:pStyle w:val="3"/>
        <w:pageBreakBefore w:val="0"/>
        <w:kinsoku/>
        <w:wordWrap/>
        <w:overflowPunct w:val="0"/>
        <w:topLinePunct w:val="0"/>
        <w:autoSpaceDE/>
        <w:autoSpaceDN/>
        <w:bidi w:val="0"/>
        <w:spacing w:before="0" w:after="0" w:line="560" w:lineRule="exact"/>
        <w:ind w:firstLine="640" w:firstLineChars="200"/>
        <w:textAlignment w:val="auto"/>
        <w:rPr>
          <w:rFonts w:hint="eastAsia" w:ascii="黑体" w:hAnsi="黑体" w:eastAsia="黑体" w:cs="黑体"/>
          <w:b w:val="0"/>
          <w:bCs/>
          <w:sz w:val="32"/>
          <w:szCs w:val="32"/>
        </w:rPr>
      </w:pPr>
      <w:bookmarkStart w:id="86" w:name="_Toc22308"/>
      <w:r>
        <w:rPr>
          <w:rFonts w:hint="eastAsia" w:ascii="黑体" w:hAnsi="黑体" w:eastAsia="黑体" w:cs="黑体"/>
          <w:b w:val="0"/>
          <w:bCs/>
          <w:sz w:val="32"/>
          <w:szCs w:val="32"/>
        </w:rPr>
        <w:t>5.应急响应</w:t>
      </w:r>
      <w:bookmarkEnd w:id="83"/>
      <w:bookmarkEnd w:id="84"/>
      <w:bookmarkEnd w:id="85"/>
      <w:bookmarkEnd w:id="86"/>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87" w:name="_Toc31942"/>
      <w:bookmarkStart w:id="88" w:name="_Toc31057"/>
      <w:bookmarkStart w:id="89" w:name="_Toc24928"/>
      <w:bookmarkStart w:id="90" w:name="_Toc12873"/>
      <w:r>
        <w:rPr>
          <w:rFonts w:hint="eastAsia" w:ascii="楷体_GB2312" w:hAnsi="楷体_GB2312" w:eastAsia="楷体_GB2312" w:cs="楷体_GB2312"/>
        </w:rPr>
        <w:t>5.1响应分级及启动</w:t>
      </w:r>
      <w:bookmarkEnd w:id="87"/>
      <w:bookmarkEnd w:id="88"/>
      <w:bookmarkEnd w:id="89"/>
      <w:bookmarkEnd w:id="90"/>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与预警等级相对应，实行3级应急响应。当发布黄色预警时，启动Ⅲ级应急响应；当发布橙色预警时，启动Ⅱ级应急响应；当发布红色预警时，启动Ⅰ级应急响应。</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预警发布后，县指挥部各成员单位按照各自职责，迅速启动响应级别应急响应，落实应急值守制度，做好应急人员、车辆、设备、物资的调度，并采取相应措施。</w:t>
      </w:r>
    </w:p>
    <w:p>
      <w:pPr>
        <w:pStyle w:val="4"/>
        <w:pageBreakBefore w:val="0"/>
        <w:kinsoku/>
        <w:wordWrap/>
        <w:overflowPunct w:val="0"/>
        <w:topLinePunct w:val="0"/>
        <w:autoSpaceDE/>
        <w:autoSpaceDN/>
        <w:bidi w:val="0"/>
        <w:spacing w:line="560" w:lineRule="exact"/>
        <w:ind w:firstLine="642" w:firstLineChars="200"/>
        <w:textAlignment w:val="auto"/>
        <w:rPr>
          <w:rFonts w:hint="eastAsia" w:ascii="楷体_GB2312" w:hAnsi="楷体_GB2312" w:eastAsia="楷体_GB2312" w:cs="楷体_GB2312"/>
        </w:rPr>
      </w:pPr>
      <w:bookmarkStart w:id="91" w:name="_Toc10552"/>
      <w:bookmarkStart w:id="92" w:name="_Toc23054"/>
      <w:bookmarkStart w:id="93" w:name="_Toc1013"/>
      <w:bookmarkStart w:id="94" w:name="_Toc1861"/>
      <w:r>
        <w:rPr>
          <w:rFonts w:hint="eastAsia" w:ascii="楷体_GB2312" w:hAnsi="楷体_GB2312" w:eastAsia="楷体_GB2312" w:cs="楷体_GB2312"/>
        </w:rPr>
        <w:t>5.2黄色（Ⅲ级）预警应急响应措施</w:t>
      </w:r>
      <w:bookmarkEnd w:id="91"/>
      <w:bookmarkEnd w:id="92"/>
      <w:bookmarkEnd w:id="93"/>
      <w:bookmarkEnd w:id="94"/>
    </w:p>
    <w:p>
      <w:pPr>
        <w:pStyle w:val="5"/>
        <w:pageBreakBefore w:val="0"/>
        <w:kinsoku/>
        <w:wordWrap/>
        <w:overflowPunct w:val="0"/>
        <w:topLinePunct w:val="0"/>
        <w:autoSpaceDE/>
        <w:autoSpaceDN/>
        <w:bidi w:val="0"/>
        <w:spacing w:before="0" w:after="0" w:line="560" w:lineRule="exact"/>
        <w:ind w:firstLine="642" w:firstLineChars="200"/>
        <w:textAlignment w:val="auto"/>
        <w:rPr>
          <w:rFonts w:hint="eastAsia" w:ascii="仿宋" w:hAnsi="仿宋" w:eastAsia="仿宋" w:cs="仿宋"/>
          <w:b/>
          <w:kern w:val="0"/>
          <w:sz w:val="32"/>
          <w:szCs w:val="36"/>
          <w:lang w:val="en-US" w:eastAsia="zh-CN" w:bidi="ar-SA"/>
        </w:rPr>
      </w:pPr>
      <w:r>
        <w:rPr>
          <w:rFonts w:hint="eastAsia" w:ascii="仿宋" w:hAnsi="仿宋" w:cs="仿宋"/>
          <w:b/>
          <w:kern w:val="0"/>
          <w:sz w:val="32"/>
          <w:szCs w:val="36"/>
          <w:lang w:val="en-US" w:eastAsia="zh-CN" w:bidi="ar-SA"/>
        </w:rPr>
        <w:t>5.2.1</w:t>
      </w:r>
      <w:r>
        <w:rPr>
          <w:rFonts w:hint="eastAsia" w:ascii="仿宋" w:hAnsi="仿宋" w:eastAsia="仿宋" w:cs="仿宋"/>
          <w:b/>
          <w:kern w:val="0"/>
          <w:sz w:val="32"/>
          <w:szCs w:val="36"/>
          <w:lang w:val="en-US" w:eastAsia="zh-CN" w:bidi="ar-SA"/>
        </w:rPr>
        <w:t>公众健康防护措施</w:t>
      </w:r>
    </w:p>
    <w:p>
      <w:pPr>
        <w:pStyle w:val="18"/>
        <w:pageBreakBefore w:val="0"/>
        <w:kinsoku/>
        <w:wordWrap/>
        <w:overflowPunct w:val="0"/>
        <w:topLinePunct w:val="0"/>
        <w:autoSpaceDE/>
        <w:autoSpaceDN/>
        <w:bidi w:val="0"/>
        <w:spacing w:before="0" w:after="0" w:line="560" w:lineRule="exact"/>
        <w:ind w:left="0" w:leftChars="0" w:firstLine="640" w:firstLineChars="200"/>
        <w:textAlignment w:val="auto"/>
        <w:rPr>
          <w:rFonts w:eastAsia="仿宋" w:cs="仿宋"/>
          <w:color w:val="000000"/>
          <w:sz w:val="32"/>
          <w:szCs w:val="32"/>
        </w:rPr>
      </w:pPr>
      <w:r>
        <w:rPr>
          <w:rFonts w:hint="eastAsia" w:eastAsia="仿宋" w:cs="仿宋"/>
          <w:color w:val="000000"/>
          <w:sz w:val="32"/>
          <w:szCs w:val="32"/>
        </w:rPr>
        <w:t>建议儿童、老年人和呼吸系统、心脑血管疾病患者等易感人群尽量留在室内，减少户外活动；一般人群减少户外运动和室外作业时间；中小学、幼儿园减少或停止室外课程及户外活动；医疗卫生机构积极开展防治大气污染对人体健康产生不良影响的知识宣传与咨询；加强对呼吸类疾病患者的就医指导和诊疗保障。</w:t>
      </w:r>
    </w:p>
    <w:p>
      <w:pPr>
        <w:pStyle w:val="5"/>
        <w:pageBreakBefore w:val="0"/>
        <w:kinsoku/>
        <w:wordWrap/>
        <w:overflowPunct w:val="0"/>
        <w:topLinePunct w:val="0"/>
        <w:autoSpaceDE/>
        <w:autoSpaceDN/>
        <w:bidi w:val="0"/>
        <w:spacing w:before="0" w:after="0" w:line="560" w:lineRule="exact"/>
        <w:ind w:firstLine="642" w:firstLineChars="200"/>
        <w:textAlignment w:val="auto"/>
        <w:rPr>
          <w:rFonts w:hint="eastAsia" w:ascii="仿宋" w:hAnsi="仿宋" w:eastAsia="仿宋" w:cs="仿宋"/>
          <w:b/>
          <w:kern w:val="0"/>
          <w:sz w:val="32"/>
          <w:szCs w:val="36"/>
          <w:lang w:val="en-US" w:eastAsia="zh-CN" w:bidi="ar-SA"/>
        </w:rPr>
      </w:pPr>
      <w:r>
        <w:rPr>
          <w:rFonts w:hint="eastAsia" w:ascii="仿宋" w:hAnsi="仿宋" w:cs="仿宋"/>
          <w:b/>
          <w:kern w:val="0"/>
          <w:sz w:val="32"/>
          <w:szCs w:val="36"/>
          <w:lang w:val="en-US" w:eastAsia="zh-CN" w:bidi="ar-SA"/>
        </w:rPr>
        <w:t>5.2.2</w:t>
      </w:r>
      <w:r>
        <w:rPr>
          <w:rFonts w:hint="eastAsia" w:ascii="仿宋" w:hAnsi="仿宋" w:eastAsia="仿宋" w:cs="仿宋"/>
          <w:b/>
          <w:kern w:val="0"/>
          <w:sz w:val="32"/>
          <w:szCs w:val="36"/>
          <w:lang w:val="en-US" w:eastAsia="zh-CN" w:bidi="ar-SA"/>
        </w:rPr>
        <w:t>建议性污染减排措施</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（1）倡导公众绿色生活，夏天可将空调适当调高1-2℃，冬天可将空调适当调低1-2℃。</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（2）倡导公众绿色出行，尽量乘坐公共交通工具或电动汽车出行；驻车时及时熄火，减少车辆原地怠速运行时间。</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（3）倡导公众绿色消费，单位和公众尽量减少涂料、油漆、溶剂等含挥发性有机物的原材料及产品使用。</w:t>
      </w:r>
    </w:p>
    <w:p>
      <w:pPr>
        <w:pStyle w:val="5"/>
        <w:pageBreakBefore w:val="0"/>
        <w:kinsoku/>
        <w:wordWrap/>
        <w:overflowPunct w:val="0"/>
        <w:topLinePunct w:val="0"/>
        <w:autoSpaceDE/>
        <w:autoSpaceDN/>
        <w:bidi w:val="0"/>
        <w:spacing w:before="0" w:after="0" w:line="560" w:lineRule="exact"/>
        <w:ind w:firstLine="642" w:firstLineChars="200"/>
        <w:textAlignment w:val="auto"/>
        <w:rPr>
          <w:rFonts w:hint="eastAsia" w:ascii="仿宋" w:hAnsi="仿宋" w:eastAsia="仿宋" w:cs="仿宋"/>
          <w:b/>
          <w:kern w:val="0"/>
          <w:sz w:val="32"/>
          <w:szCs w:val="36"/>
          <w:lang w:val="en-US" w:eastAsia="zh-CN" w:bidi="ar-SA"/>
        </w:rPr>
      </w:pPr>
      <w:r>
        <w:rPr>
          <w:rFonts w:hint="eastAsia" w:ascii="仿宋" w:hAnsi="仿宋" w:cs="仿宋"/>
          <w:b/>
          <w:kern w:val="0"/>
          <w:sz w:val="32"/>
          <w:szCs w:val="36"/>
          <w:lang w:val="en-US" w:eastAsia="zh-CN" w:bidi="ar-SA"/>
        </w:rPr>
        <w:t>5.2.3</w:t>
      </w:r>
      <w:r>
        <w:rPr>
          <w:rFonts w:hint="eastAsia" w:ascii="仿宋" w:hAnsi="仿宋" w:eastAsia="仿宋" w:cs="仿宋"/>
          <w:b/>
          <w:kern w:val="0"/>
          <w:sz w:val="32"/>
          <w:szCs w:val="36"/>
          <w:lang w:val="en-US" w:eastAsia="zh-CN" w:bidi="ar-SA"/>
        </w:rPr>
        <w:t>强制性污染减排措施</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color w:val="000000"/>
          <w:sz w:val="32"/>
          <w:szCs w:val="32"/>
        </w:rPr>
      </w:pPr>
      <w:r>
        <w:rPr>
          <w:rFonts w:hint="eastAsia" w:eastAsia="仿宋" w:cs="仿宋"/>
          <w:sz w:val="32"/>
          <w:szCs w:val="32"/>
        </w:rPr>
        <w:t>（1）工业企业。全县应急减排项目清单的工业企业严格按照“一厂一策”实施方案要求，实施黄色预警下的减排措施，全县二氧化硫、氮氧化物、颗粒物、挥发性有机物排放量减排10%以上。</w:t>
      </w:r>
      <w:r>
        <w:rPr>
          <w:rFonts w:hint="eastAsia" w:eastAsia="仿宋" w:cs="仿宋"/>
          <w:color w:val="000000"/>
          <w:sz w:val="32"/>
          <w:szCs w:val="32"/>
        </w:rPr>
        <w:t>水泥行业实施常态化错峰生产</w:t>
      </w:r>
      <w:r>
        <w:rPr>
          <w:rFonts w:hint="eastAsia" w:eastAsia="仿宋" w:cs="仿宋"/>
          <w:color w:val="000000"/>
          <w:sz w:val="32"/>
          <w:szCs w:val="32"/>
          <w:lang w:eastAsia="zh-CN"/>
        </w:rPr>
        <w:t>。</w:t>
      </w:r>
      <w:r>
        <w:rPr>
          <w:rFonts w:hint="eastAsia" w:eastAsia="仿宋" w:cs="仿宋"/>
          <w:color w:val="000000"/>
          <w:sz w:val="32"/>
          <w:szCs w:val="32"/>
        </w:rPr>
        <w:t>在确保安全生产的前提下，按照重污染天气应急预案、应急减排清单，有计划地实施对应预警级别工业企业的停限产措施，限产优先采用部分生产线停产的方式实现，生产工序不可中断或短时间内难以停产的行业，在重污染频发的秋冬季期间，可预先调整生产计划。</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color w:val="000000"/>
          <w:sz w:val="32"/>
          <w:szCs w:val="32"/>
        </w:rPr>
        <w:t>（2）建筑施工工地。</w:t>
      </w:r>
      <w:r>
        <w:rPr>
          <w:rFonts w:hint="eastAsia" w:eastAsia="仿宋" w:cs="仿宋"/>
          <w:sz w:val="32"/>
          <w:szCs w:val="32"/>
        </w:rPr>
        <w:t>增加洒水降尘频次。除应急抢险、县重点工程、特殊工艺外，县</w:t>
      </w:r>
      <w:r>
        <w:rPr>
          <w:rFonts w:hint="eastAsia" w:eastAsia="仿宋" w:cs="仿宋"/>
          <w:sz w:val="32"/>
          <w:szCs w:val="32"/>
          <w:lang w:val="en-US" w:eastAsia="zh-CN"/>
        </w:rPr>
        <w:t>城</w:t>
      </w:r>
      <w:r>
        <w:rPr>
          <w:rFonts w:hint="eastAsia" w:eastAsia="仿宋" w:cs="仿宋"/>
          <w:sz w:val="32"/>
          <w:szCs w:val="32"/>
        </w:rPr>
        <w:t>区建筑施工工地和渣土处置工地停止渣土施工和运输、混凝土搅拌、建筑拆除、外墙喷涂粉刷、护坡喷浆等施工作业。</w:t>
      </w:r>
    </w:p>
    <w:p>
      <w:pPr>
        <w:pageBreakBefore w:val="0"/>
        <w:widowControl/>
        <w:kinsoku/>
        <w:wordWrap/>
        <w:overflowPunct w:val="0"/>
        <w:topLinePunct w:val="0"/>
        <w:autoSpaceDE/>
        <w:autoSpaceDN/>
        <w:bidi w:val="0"/>
        <w:spacing w:line="560" w:lineRule="exact"/>
        <w:ind w:firstLine="640" w:firstLineChars="200"/>
        <w:textAlignment w:val="auto"/>
        <w:rPr>
          <w:rFonts w:ascii="Times New Roman" w:hAnsi="Times New Roman" w:eastAsia="仿宋" w:cs="仿宋"/>
          <w:sz w:val="32"/>
          <w:szCs w:val="32"/>
        </w:rPr>
      </w:pPr>
      <w:r>
        <w:rPr>
          <w:rFonts w:hint="eastAsia" w:ascii="Times New Roman" w:hAnsi="Times New Roman" w:eastAsia="仿宋" w:cs="仿宋"/>
          <w:sz w:val="32"/>
          <w:szCs w:val="32"/>
        </w:rPr>
        <w:t>（3）城市道路。城区城市道路每日洒水降尘频次不少于3次，重点道路洒水降尘频次不少于4次。</w:t>
      </w:r>
    </w:p>
    <w:p>
      <w:pPr>
        <w:pageBreakBefore w:val="0"/>
        <w:widowControl/>
        <w:kinsoku/>
        <w:wordWrap/>
        <w:overflowPunct w:val="0"/>
        <w:topLinePunct w:val="0"/>
        <w:autoSpaceDE/>
        <w:autoSpaceDN/>
        <w:bidi w:val="0"/>
        <w:spacing w:line="560" w:lineRule="exact"/>
        <w:ind w:firstLine="640" w:firstLineChars="200"/>
        <w:textAlignment w:val="auto"/>
        <w:rPr>
          <w:rFonts w:ascii="Times New Roman" w:hAnsi="Times New Roman" w:eastAsia="仿宋" w:cs="仿宋"/>
          <w:sz w:val="32"/>
          <w:szCs w:val="32"/>
        </w:rPr>
      </w:pPr>
      <w:r>
        <w:rPr>
          <w:rFonts w:ascii="Times New Roman" w:hAnsi="Times New Roman" w:eastAsia="仿宋" w:cs="仿宋"/>
          <w:color w:val="000000"/>
          <w:kern w:val="0"/>
          <w:sz w:val="32"/>
          <w:szCs w:val="32"/>
        </w:rPr>
        <w:t>（</w:t>
      </w:r>
      <w:r>
        <w:rPr>
          <w:rFonts w:ascii="Times New Roman" w:hAnsi="Times New Roman"/>
          <w:color w:val="000000"/>
          <w:kern w:val="0"/>
          <w:sz w:val="32"/>
          <w:szCs w:val="32"/>
        </w:rPr>
        <w:t>4</w:t>
      </w:r>
      <w:r>
        <w:rPr>
          <w:rFonts w:hint="eastAsia" w:ascii="Times New Roman" w:hAnsi="Times New Roman" w:eastAsia="仿宋" w:cs="仿宋"/>
          <w:color w:val="000000"/>
          <w:kern w:val="0"/>
          <w:sz w:val="32"/>
          <w:szCs w:val="32"/>
        </w:rPr>
        <w:t>）移动源。除应急抢险、民生保障工程外，未安装密闭装置易产生遗撒的运输车辆禁止上路行驶。涉大宗物料运输单位应制定详细</w:t>
      </w:r>
      <w:r>
        <w:rPr>
          <w:rFonts w:hint="eastAsia" w:ascii="Times New Roman" w:hAnsi="Times New Roman" w:eastAsia="仿宋" w:cs="仿宋"/>
          <w:color w:val="000000"/>
          <w:kern w:val="0"/>
          <w:sz w:val="32"/>
          <w:szCs w:val="32"/>
          <w:lang w:val="en-US" w:eastAsia="zh-CN"/>
        </w:rPr>
        <w:t>的</w:t>
      </w:r>
      <w:r>
        <w:rPr>
          <w:rFonts w:hint="eastAsia" w:ascii="Times New Roman" w:hAnsi="Times New Roman" w:eastAsia="仿宋" w:cs="仿宋"/>
          <w:color w:val="000000"/>
          <w:kern w:val="0"/>
          <w:sz w:val="32"/>
          <w:szCs w:val="32"/>
        </w:rPr>
        <w:t>交通运输源头管控方案并配备有关硬件监管设施。移动源除明确停驶方案外，还应严格执行源头管控有关要求，包括加强油品储运销环节监管和加油加气站油气回收系统的使用情况排查、开展油品检测、抽查机动车销售企业环保达标情况，加强柴油货车路检路查</w:t>
      </w:r>
      <w:r>
        <w:rPr>
          <w:rFonts w:hint="eastAsia" w:ascii="Times New Roman" w:hAnsi="Times New Roman" w:eastAsia="仿宋" w:cs="仿宋"/>
          <w:color w:val="000000"/>
          <w:kern w:val="0"/>
          <w:sz w:val="32"/>
          <w:szCs w:val="32"/>
          <w:lang w:val="en-US" w:eastAsia="zh-CN"/>
        </w:rPr>
        <w:t>以及</w:t>
      </w:r>
      <w:r>
        <w:rPr>
          <w:rFonts w:hint="eastAsia" w:ascii="Times New Roman" w:hAnsi="Times New Roman" w:eastAsia="仿宋" w:cs="仿宋"/>
          <w:color w:val="000000"/>
          <w:kern w:val="0"/>
          <w:sz w:val="32"/>
          <w:szCs w:val="32"/>
        </w:rPr>
        <w:t>集中使用、停放地入户检查的频次和力度等。</w:t>
      </w:r>
    </w:p>
    <w:p>
      <w:pPr>
        <w:pStyle w:val="5"/>
        <w:pageBreakBefore w:val="0"/>
        <w:kinsoku/>
        <w:wordWrap/>
        <w:overflowPunct w:val="0"/>
        <w:topLinePunct w:val="0"/>
        <w:autoSpaceDE/>
        <w:autoSpaceDN/>
        <w:bidi w:val="0"/>
        <w:spacing w:before="0" w:after="0" w:line="560" w:lineRule="exact"/>
        <w:ind w:firstLine="642" w:firstLineChars="200"/>
        <w:textAlignment w:val="auto"/>
        <w:rPr>
          <w:rFonts w:hint="eastAsia" w:ascii="仿宋" w:hAnsi="仿宋" w:eastAsia="仿宋" w:cs="仿宋"/>
          <w:b/>
          <w:kern w:val="0"/>
          <w:sz w:val="32"/>
          <w:szCs w:val="36"/>
          <w:lang w:val="en-US" w:eastAsia="zh-CN" w:bidi="ar-SA"/>
        </w:rPr>
      </w:pPr>
      <w:r>
        <w:rPr>
          <w:rFonts w:hint="eastAsia" w:ascii="仿宋" w:hAnsi="仿宋" w:cs="仿宋"/>
          <w:b/>
          <w:kern w:val="0"/>
          <w:sz w:val="32"/>
          <w:szCs w:val="36"/>
          <w:lang w:val="en-US" w:eastAsia="zh-CN" w:bidi="ar-SA"/>
        </w:rPr>
        <w:t>5.2.4</w:t>
      </w:r>
      <w:r>
        <w:rPr>
          <w:rFonts w:hint="eastAsia" w:ascii="仿宋" w:hAnsi="仿宋" w:eastAsia="仿宋" w:cs="仿宋"/>
          <w:b/>
          <w:kern w:val="0"/>
          <w:sz w:val="32"/>
          <w:szCs w:val="36"/>
          <w:lang w:val="en-US" w:eastAsia="zh-CN" w:bidi="ar-SA"/>
        </w:rPr>
        <w:t>监督管理措施</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color w:val="F79646"/>
          <w:sz w:val="32"/>
          <w:szCs w:val="32"/>
        </w:rPr>
      </w:pPr>
      <w:r>
        <w:rPr>
          <w:rFonts w:hint="eastAsia" w:eastAsia="仿宋" w:cs="仿宋"/>
          <w:sz w:val="32"/>
          <w:szCs w:val="32"/>
        </w:rPr>
        <w:t>生态环境部门增加工业大气污染源、加油站、非道路移动机械源的检查频次，确保大气污染物处理设施正常运行</w:t>
      </w:r>
      <w:r>
        <w:rPr>
          <w:rFonts w:hint="eastAsia" w:eastAsia="仿宋" w:cs="仿宋"/>
          <w:sz w:val="32"/>
          <w:szCs w:val="32"/>
          <w:lang w:eastAsia="zh-CN"/>
        </w:rPr>
        <w:t>。</w:t>
      </w:r>
      <w:r>
        <w:rPr>
          <w:rFonts w:hint="eastAsia" w:eastAsia="仿宋" w:cs="仿宋"/>
          <w:sz w:val="32"/>
          <w:szCs w:val="32"/>
        </w:rPr>
        <w:t>住建、城管、自然资源、交通、水利等部门增加建筑工地、渣土处置工地、矿山露天开采场地等检查频次，确保洒水降尘措施落实到位</w:t>
      </w:r>
      <w:r>
        <w:rPr>
          <w:rFonts w:hint="eastAsia" w:eastAsia="仿宋" w:cs="仿宋"/>
          <w:sz w:val="32"/>
          <w:szCs w:val="32"/>
          <w:lang w:eastAsia="zh-CN"/>
        </w:rPr>
        <w:t>。</w:t>
      </w:r>
      <w:r>
        <w:rPr>
          <w:rFonts w:hint="eastAsia" w:eastAsia="仿宋" w:cs="仿宋"/>
          <w:sz w:val="32"/>
          <w:szCs w:val="32"/>
        </w:rPr>
        <w:t>城管部门增加建筑垃圾、渣土、砂石等物资运输车辆检查频次，确保物料密闭防尘措施落实到位；增加禁止焚烧垃圾、餐饮油烟污染源、露天烧烤和城市道路清洁措施检查频次</w:t>
      </w:r>
      <w:r>
        <w:rPr>
          <w:rFonts w:hint="eastAsia" w:eastAsia="仿宋" w:cs="仿宋"/>
          <w:sz w:val="32"/>
          <w:szCs w:val="32"/>
          <w:lang w:eastAsia="zh-CN"/>
        </w:rPr>
        <w:t>。</w:t>
      </w:r>
      <w:r>
        <w:rPr>
          <w:rFonts w:hint="eastAsia" w:eastAsia="仿宋" w:cs="仿宋"/>
          <w:sz w:val="32"/>
          <w:szCs w:val="32"/>
        </w:rPr>
        <w:t>公安部门</w:t>
      </w:r>
      <w:r>
        <w:rPr>
          <w:rFonts w:hint="eastAsia" w:eastAsia="仿宋" w:cs="仿宋"/>
          <w:sz w:val="32"/>
          <w:szCs w:val="32"/>
          <w:lang w:val="en-US" w:eastAsia="zh-CN"/>
        </w:rPr>
        <w:t>加大</w:t>
      </w:r>
      <w:r>
        <w:rPr>
          <w:rFonts w:hint="eastAsia" w:eastAsia="仿宋" w:cs="仿宋"/>
          <w:sz w:val="32"/>
          <w:szCs w:val="32"/>
        </w:rPr>
        <w:t>城区烟花爆竹禁燃区禁燃查处力度</w:t>
      </w:r>
      <w:r>
        <w:rPr>
          <w:rFonts w:hint="eastAsia" w:eastAsia="仿宋" w:cs="仿宋"/>
          <w:sz w:val="32"/>
          <w:szCs w:val="32"/>
          <w:lang w:eastAsia="zh-CN"/>
        </w:rPr>
        <w:t>。</w:t>
      </w:r>
      <w:r>
        <w:rPr>
          <w:rFonts w:hint="eastAsia" w:eastAsia="仿宋" w:cs="仿宋"/>
          <w:sz w:val="32"/>
          <w:szCs w:val="32"/>
        </w:rPr>
        <w:t>农业农村部门增加禁止焚烧秸秆的</w:t>
      </w:r>
      <w:r>
        <w:rPr>
          <w:rFonts w:hint="eastAsia" w:eastAsia="仿宋" w:cs="仿宋"/>
          <w:sz w:val="32"/>
          <w:szCs w:val="32"/>
          <w:lang w:val="en-US" w:eastAsia="zh-CN"/>
        </w:rPr>
        <w:t>巡</w:t>
      </w:r>
      <w:r>
        <w:rPr>
          <w:rFonts w:hint="eastAsia" w:eastAsia="仿宋" w:cs="仿宋"/>
          <w:sz w:val="32"/>
          <w:szCs w:val="32"/>
        </w:rPr>
        <w:t>查频次；生态环境、交警</w:t>
      </w:r>
      <w:r>
        <w:rPr>
          <w:rFonts w:hint="eastAsia" w:eastAsia="仿宋" w:cs="仿宋"/>
          <w:sz w:val="32"/>
          <w:szCs w:val="32"/>
          <w:lang w:eastAsia="zh-CN"/>
        </w:rPr>
        <w:t>部门</w:t>
      </w:r>
      <w:r>
        <w:rPr>
          <w:rFonts w:hint="eastAsia" w:eastAsia="仿宋" w:cs="仿宋"/>
          <w:sz w:val="32"/>
          <w:szCs w:val="32"/>
        </w:rPr>
        <w:t>增加机动车排放上路检查频次。</w:t>
      </w:r>
    </w:p>
    <w:p>
      <w:pPr>
        <w:pStyle w:val="4"/>
        <w:pageBreakBefore w:val="0"/>
        <w:kinsoku/>
        <w:wordWrap/>
        <w:overflowPunct w:val="0"/>
        <w:topLinePunct w:val="0"/>
        <w:autoSpaceDE/>
        <w:autoSpaceDN/>
        <w:bidi w:val="0"/>
        <w:spacing w:line="560" w:lineRule="exact"/>
        <w:ind w:firstLine="642" w:firstLineChars="200"/>
        <w:textAlignment w:val="auto"/>
        <w:rPr>
          <w:rFonts w:hint="eastAsia" w:ascii="楷体_GB2312" w:hAnsi="楷体_GB2312" w:eastAsia="楷体_GB2312" w:cs="楷体_GB2312"/>
        </w:rPr>
      </w:pPr>
      <w:bookmarkStart w:id="95" w:name="_Toc13254"/>
      <w:bookmarkStart w:id="96" w:name="_Toc8727"/>
      <w:bookmarkStart w:id="97" w:name="_Toc21287"/>
      <w:bookmarkStart w:id="98" w:name="_Toc11003"/>
      <w:r>
        <w:rPr>
          <w:rFonts w:hint="eastAsia" w:ascii="楷体_GB2312" w:hAnsi="楷体_GB2312" w:eastAsia="楷体_GB2312" w:cs="楷体_GB2312"/>
        </w:rPr>
        <w:t>5.3橙色（Ⅱ级）预警应急响应措施</w:t>
      </w:r>
      <w:bookmarkEnd w:id="95"/>
      <w:bookmarkEnd w:id="96"/>
      <w:bookmarkEnd w:id="97"/>
      <w:bookmarkEnd w:id="98"/>
    </w:p>
    <w:p>
      <w:pPr>
        <w:pStyle w:val="5"/>
        <w:pageBreakBefore w:val="0"/>
        <w:kinsoku/>
        <w:wordWrap/>
        <w:overflowPunct w:val="0"/>
        <w:topLinePunct w:val="0"/>
        <w:autoSpaceDE/>
        <w:autoSpaceDN/>
        <w:bidi w:val="0"/>
        <w:spacing w:before="0" w:after="0" w:line="560" w:lineRule="exact"/>
        <w:ind w:firstLine="642" w:firstLineChars="200"/>
        <w:textAlignment w:val="auto"/>
        <w:rPr>
          <w:rFonts w:hint="default" w:ascii="仿宋" w:hAnsi="仿宋" w:eastAsia="仿宋" w:cs="仿宋"/>
          <w:b/>
          <w:kern w:val="0"/>
          <w:sz w:val="32"/>
          <w:szCs w:val="36"/>
          <w:lang w:val="en-US" w:eastAsia="zh-CN" w:bidi="ar-SA"/>
        </w:rPr>
      </w:pPr>
      <w:bookmarkStart w:id="99" w:name="_Toc2827"/>
      <w:r>
        <w:rPr>
          <w:rFonts w:hint="eastAsia" w:ascii="仿宋" w:hAnsi="仿宋" w:cs="仿宋"/>
          <w:b/>
          <w:kern w:val="0"/>
          <w:sz w:val="32"/>
          <w:szCs w:val="36"/>
          <w:lang w:val="en-US" w:eastAsia="zh-CN" w:bidi="ar-SA"/>
        </w:rPr>
        <w:t>5.3.1</w:t>
      </w:r>
      <w:r>
        <w:rPr>
          <w:rFonts w:hint="eastAsia" w:ascii="仿宋" w:hAnsi="仿宋" w:eastAsia="仿宋" w:cs="仿宋"/>
          <w:b/>
          <w:kern w:val="0"/>
          <w:sz w:val="32"/>
          <w:szCs w:val="36"/>
          <w:lang w:val="en-US" w:eastAsia="zh-CN" w:bidi="ar-SA"/>
        </w:rPr>
        <w:t>公众健康防护措施</w:t>
      </w:r>
      <w:bookmarkEnd w:id="99"/>
    </w:p>
    <w:p>
      <w:pPr>
        <w:pStyle w:val="4"/>
        <w:pageBreakBefore w:val="0"/>
        <w:kinsoku/>
        <w:wordWrap/>
        <w:overflowPunct w:val="0"/>
        <w:topLinePunct w:val="0"/>
        <w:autoSpaceDE/>
        <w:autoSpaceDN/>
        <w:bidi w:val="0"/>
        <w:spacing w:line="560" w:lineRule="exact"/>
        <w:ind w:firstLine="640" w:firstLineChars="200"/>
        <w:textAlignment w:val="auto"/>
        <w:rPr>
          <w:rFonts w:hint="default" w:cs="仿宋"/>
          <w:b w:val="0"/>
          <w:color w:val="000000"/>
          <w:szCs w:val="32"/>
        </w:rPr>
      </w:pPr>
      <w:bookmarkStart w:id="100" w:name="_Toc10996"/>
      <w:r>
        <w:rPr>
          <w:rFonts w:cs="仿宋"/>
          <w:b w:val="0"/>
          <w:color w:val="000000"/>
          <w:szCs w:val="32"/>
        </w:rPr>
        <w:t>在III级防护措施基础上，增加如下措施：建议一般人群室外活动与户外作业佩戴口罩；中小学、幼儿园采取弹性教学，停止户外活动；停止举办露天比赛等大型群众性户外活动；医疗机构增设呼吸类等相关疾病门诊、急诊，延长工作时间。</w:t>
      </w:r>
      <w:bookmarkEnd w:id="100"/>
    </w:p>
    <w:p>
      <w:pPr>
        <w:pStyle w:val="5"/>
        <w:pageBreakBefore w:val="0"/>
        <w:kinsoku/>
        <w:wordWrap/>
        <w:overflowPunct w:val="0"/>
        <w:topLinePunct w:val="0"/>
        <w:autoSpaceDE/>
        <w:autoSpaceDN/>
        <w:bidi w:val="0"/>
        <w:spacing w:before="0" w:after="0" w:line="560" w:lineRule="exact"/>
        <w:ind w:firstLine="642" w:firstLineChars="200"/>
        <w:textAlignment w:val="auto"/>
        <w:rPr>
          <w:rFonts w:hint="default" w:ascii="仿宋" w:hAnsi="仿宋" w:eastAsia="仿宋" w:cs="仿宋"/>
          <w:b/>
          <w:kern w:val="0"/>
          <w:sz w:val="32"/>
          <w:szCs w:val="36"/>
          <w:lang w:val="en-US" w:eastAsia="zh-CN" w:bidi="ar-SA"/>
        </w:rPr>
      </w:pPr>
      <w:bookmarkStart w:id="101" w:name="_Toc8476"/>
      <w:r>
        <w:rPr>
          <w:rFonts w:hint="eastAsia" w:ascii="仿宋" w:hAnsi="仿宋" w:cs="仿宋"/>
          <w:b/>
          <w:kern w:val="0"/>
          <w:sz w:val="32"/>
          <w:szCs w:val="36"/>
          <w:lang w:val="en-US" w:eastAsia="zh-CN" w:bidi="ar-SA"/>
        </w:rPr>
        <w:t>5.3.2</w:t>
      </w:r>
      <w:r>
        <w:rPr>
          <w:rFonts w:hint="eastAsia" w:ascii="仿宋" w:hAnsi="仿宋" w:eastAsia="仿宋" w:cs="仿宋"/>
          <w:b/>
          <w:kern w:val="0"/>
          <w:sz w:val="32"/>
          <w:szCs w:val="36"/>
          <w:lang w:val="en-US" w:eastAsia="zh-CN" w:bidi="ar-SA"/>
        </w:rPr>
        <w:t>建议性污染减排措施</w:t>
      </w:r>
      <w:bookmarkEnd w:id="101"/>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在Ⅲ级建议性减排措施基础上，进一步加强建议性污染减排措施宣传力度，提升公众绿色生活、绿色出行、绿色消费意识。</w:t>
      </w:r>
    </w:p>
    <w:p>
      <w:pPr>
        <w:pStyle w:val="5"/>
        <w:pageBreakBefore w:val="0"/>
        <w:kinsoku/>
        <w:wordWrap/>
        <w:overflowPunct w:val="0"/>
        <w:topLinePunct w:val="0"/>
        <w:autoSpaceDE/>
        <w:autoSpaceDN/>
        <w:bidi w:val="0"/>
        <w:spacing w:before="0" w:after="0" w:line="560" w:lineRule="exact"/>
        <w:ind w:firstLine="642" w:firstLineChars="200"/>
        <w:textAlignment w:val="auto"/>
        <w:rPr>
          <w:rFonts w:hint="default" w:ascii="仿宋" w:hAnsi="仿宋" w:eastAsia="仿宋" w:cs="仿宋"/>
          <w:b/>
          <w:kern w:val="0"/>
          <w:sz w:val="32"/>
          <w:szCs w:val="36"/>
          <w:lang w:val="en-US" w:eastAsia="zh-CN" w:bidi="ar-SA"/>
        </w:rPr>
      </w:pPr>
      <w:bookmarkStart w:id="102" w:name="_Toc19047"/>
      <w:r>
        <w:rPr>
          <w:rFonts w:hint="eastAsia" w:ascii="仿宋" w:hAnsi="仿宋" w:cs="仿宋"/>
          <w:b/>
          <w:kern w:val="0"/>
          <w:sz w:val="32"/>
          <w:szCs w:val="36"/>
          <w:lang w:val="en-US" w:eastAsia="zh-CN" w:bidi="ar-SA"/>
        </w:rPr>
        <w:t>5.3.3</w:t>
      </w:r>
      <w:r>
        <w:rPr>
          <w:rFonts w:hint="eastAsia" w:ascii="仿宋" w:hAnsi="仿宋" w:eastAsia="仿宋" w:cs="仿宋"/>
          <w:b/>
          <w:kern w:val="0"/>
          <w:sz w:val="32"/>
          <w:szCs w:val="36"/>
          <w:lang w:val="en-US" w:eastAsia="zh-CN" w:bidi="ar-SA"/>
        </w:rPr>
        <w:t>强制性污染减排措施</w:t>
      </w:r>
      <w:bookmarkEnd w:id="102"/>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在Ⅲ级响应措施的基础上，采取强化措施，进一步降低大气污染物排放：</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（1）工业企业。全县应急减排项目清单的工业企业严格按照“一厂一策”实施方案要求，全县二氧化硫、氮氧化物、颗粒物、挥发性有机物排放量减排20%以上。工业企业停止使用国Ⅱ及以下非道路移动机械。</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（2）建筑施工工地。在Ⅲ级响应措施的基础上，停止使用国Ⅱ及以下非道路移动机械。</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（3）城市道路。在Ⅲ级响应措施的基础上，城区重点道路每日洒水降尘频次不少于5次。</w:t>
      </w:r>
    </w:p>
    <w:p>
      <w:pPr>
        <w:pStyle w:val="18"/>
        <w:pageBreakBefore w:val="0"/>
        <w:kinsoku/>
        <w:wordWrap/>
        <w:overflowPunct w:val="0"/>
        <w:topLinePunct w:val="0"/>
        <w:autoSpaceDE/>
        <w:autoSpaceDN/>
        <w:bidi w:val="0"/>
        <w:spacing w:before="0" w:after="0" w:line="560" w:lineRule="exact"/>
        <w:ind w:firstLine="640"/>
        <w:textAlignment w:val="auto"/>
        <w:rPr>
          <w:rFonts w:hint="default"/>
        </w:rPr>
      </w:pPr>
      <w:r>
        <w:rPr>
          <w:rFonts w:hint="eastAsia" w:eastAsia="仿宋" w:cs="仿宋"/>
          <w:sz w:val="32"/>
          <w:szCs w:val="32"/>
        </w:rPr>
        <w:t>（4）机动车。矿山、物流（除民生保障类）等涉及大宗原料和产品运输（日常车辆进出量超过10辆次）等单位停止使用国Ⅳ及以下重型载货汽车（含燃气）进行运输（特种车辆、危化品车辆等除外）。</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交通运输部门加大公共交通运力保障，合理增加公共交通工具的运营频次和运营时间。在条件允许</w:t>
      </w:r>
      <w:r>
        <w:rPr>
          <w:rFonts w:hint="eastAsia" w:eastAsia="仿宋" w:cs="仿宋"/>
          <w:sz w:val="32"/>
          <w:szCs w:val="32"/>
          <w:lang w:eastAsia="zh-CN"/>
        </w:rPr>
        <w:t>的情况</w:t>
      </w:r>
      <w:r>
        <w:rPr>
          <w:rFonts w:hint="eastAsia" w:eastAsia="仿宋" w:cs="仿宋"/>
          <w:sz w:val="32"/>
          <w:szCs w:val="32"/>
        </w:rPr>
        <w:t>下，采用人工影响局部天气措施，改善空气</w:t>
      </w:r>
      <w:r>
        <w:rPr>
          <w:rFonts w:hint="eastAsia" w:eastAsia="仿宋" w:cs="仿宋"/>
          <w:sz w:val="32"/>
          <w:szCs w:val="32"/>
          <w:lang w:val="en-US" w:eastAsia="zh-CN"/>
        </w:rPr>
        <w:t>质量</w:t>
      </w:r>
      <w:r>
        <w:rPr>
          <w:rFonts w:hint="eastAsia" w:eastAsia="仿宋" w:cs="仿宋"/>
          <w:sz w:val="32"/>
          <w:szCs w:val="32"/>
        </w:rPr>
        <w:t>。</w:t>
      </w:r>
    </w:p>
    <w:p>
      <w:pPr>
        <w:pStyle w:val="4"/>
        <w:pageBreakBefore w:val="0"/>
        <w:kinsoku/>
        <w:wordWrap/>
        <w:overflowPunct w:val="0"/>
        <w:topLinePunct w:val="0"/>
        <w:autoSpaceDE/>
        <w:autoSpaceDN/>
        <w:bidi w:val="0"/>
        <w:spacing w:line="560" w:lineRule="exact"/>
        <w:ind w:firstLine="642" w:firstLineChars="200"/>
        <w:textAlignment w:val="auto"/>
        <w:rPr>
          <w:rFonts w:hint="default" w:ascii="仿宋" w:hAnsi="仿宋" w:eastAsia="仿宋" w:cs="仿宋"/>
          <w:b/>
          <w:kern w:val="0"/>
          <w:sz w:val="32"/>
          <w:szCs w:val="36"/>
          <w:lang w:val="en-US" w:eastAsia="zh-CN" w:bidi="ar-SA"/>
        </w:rPr>
      </w:pPr>
      <w:bookmarkStart w:id="103" w:name="_Toc29960"/>
      <w:r>
        <w:rPr>
          <w:rFonts w:hint="eastAsia" w:ascii="仿宋" w:hAnsi="仿宋" w:cs="仿宋"/>
          <w:b/>
          <w:kern w:val="0"/>
          <w:sz w:val="32"/>
          <w:szCs w:val="36"/>
          <w:lang w:val="en-US" w:eastAsia="zh-CN" w:bidi="ar-SA"/>
        </w:rPr>
        <w:t>5.3.4</w:t>
      </w:r>
      <w:r>
        <w:rPr>
          <w:rFonts w:hint="eastAsia" w:ascii="仿宋" w:hAnsi="仿宋" w:eastAsia="仿宋" w:cs="仿宋"/>
          <w:b/>
          <w:kern w:val="0"/>
          <w:sz w:val="32"/>
          <w:szCs w:val="36"/>
          <w:lang w:val="en-US" w:eastAsia="zh-CN" w:bidi="ar-SA"/>
        </w:rPr>
        <w:t>监督管理措施</w:t>
      </w:r>
      <w:bookmarkEnd w:id="103"/>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在Ⅲ级响应措施的基础上，增加如下措施：生态环境、交警部门联合检查使用国Ⅳ及以下重型载货汽车运输情况；县指挥部办公室督促指导县重污染天气应急响应措施；市生态环境局县分局会同县气象局加强重污染天气下空气质量的监测预警会商；根据应急响应实际情况组织评估重污染天气应急减排措施效果，及时完善应对措施。</w:t>
      </w:r>
    </w:p>
    <w:p>
      <w:pPr>
        <w:pStyle w:val="4"/>
        <w:pageBreakBefore w:val="0"/>
        <w:kinsoku/>
        <w:wordWrap/>
        <w:overflowPunct w:val="0"/>
        <w:topLinePunct w:val="0"/>
        <w:autoSpaceDE/>
        <w:autoSpaceDN/>
        <w:bidi w:val="0"/>
        <w:spacing w:line="560" w:lineRule="exact"/>
        <w:ind w:firstLine="642" w:firstLineChars="200"/>
        <w:textAlignment w:val="auto"/>
        <w:rPr>
          <w:rFonts w:hint="eastAsia" w:ascii="楷体_GB2312" w:hAnsi="楷体_GB2312" w:eastAsia="楷体_GB2312" w:cs="楷体_GB2312"/>
        </w:rPr>
      </w:pPr>
      <w:bookmarkStart w:id="104" w:name="_Toc18929"/>
      <w:bookmarkStart w:id="105" w:name="_Toc16985"/>
      <w:bookmarkStart w:id="106" w:name="_Toc16122"/>
      <w:bookmarkStart w:id="107" w:name="_Toc24791"/>
      <w:r>
        <w:rPr>
          <w:rFonts w:hint="eastAsia" w:ascii="楷体_GB2312" w:hAnsi="楷体_GB2312" w:eastAsia="楷体_GB2312" w:cs="楷体_GB2312"/>
        </w:rPr>
        <w:t>5.4红色（Ⅰ级）预警应急响应措施</w:t>
      </w:r>
      <w:bookmarkEnd w:id="104"/>
      <w:bookmarkEnd w:id="105"/>
      <w:bookmarkEnd w:id="106"/>
      <w:bookmarkEnd w:id="107"/>
    </w:p>
    <w:p>
      <w:pPr>
        <w:pStyle w:val="4"/>
        <w:pageBreakBefore w:val="0"/>
        <w:kinsoku/>
        <w:wordWrap/>
        <w:overflowPunct w:val="0"/>
        <w:topLinePunct w:val="0"/>
        <w:autoSpaceDE/>
        <w:autoSpaceDN/>
        <w:bidi w:val="0"/>
        <w:spacing w:line="560" w:lineRule="exact"/>
        <w:ind w:firstLine="642" w:firstLineChars="200"/>
        <w:textAlignment w:val="auto"/>
        <w:rPr>
          <w:rFonts w:hint="eastAsia" w:ascii="仿宋" w:hAnsi="仿宋" w:eastAsia="仿宋" w:cs="仿宋"/>
          <w:b/>
          <w:kern w:val="0"/>
          <w:sz w:val="32"/>
          <w:szCs w:val="36"/>
          <w:lang w:val="en-US" w:eastAsia="zh-CN" w:bidi="ar-SA"/>
        </w:rPr>
      </w:pPr>
      <w:r>
        <w:rPr>
          <w:rFonts w:hint="eastAsia" w:ascii="仿宋" w:hAnsi="仿宋" w:cs="仿宋"/>
          <w:b/>
          <w:kern w:val="0"/>
          <w:sz w:val="32"/>
          <w:szCs w:val="36"/>
          <w:lang w:val="en-US" w:eastAsia="zh-CN" w:bidi="ar-SA"/>
        </w:rPr>
        <w:t>5.4.1</w:t>
      </w:r>
      <w:r>
        <w:rPr>
          <w:rFonts w:hint="eastAsia" w:ascii="仿宋" w:hAnsi="仿宋" w:eastAsia="仿宋" w:cs="仿宋"/>
          <w:b/>
          <w:kern w:val="0"/>
          <w:sz w:val="32"/>
          <w:szCs w:val="36"/>
          <w:lang w:val="en-US" w:eastAsia="zh-CN" w:bidi="ar-SA"/>
        </w:rPr>
        <w:t>公众健康防护措施</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在II级防护措施基础上，建议中小学校、幼儿园根据实际情况采取停课措施；</w:t>
      </w:r>
      <w:r>
        <w:rPr>
          <w:rFonts w:hint="eastAsia" w:eastAsia="仿宋" w:cs="仿宋"/>
          <w:color w:val="000000"/>
          <w:sz w:val="32"/>
          <w:szCs w:val="32"/>
        </w:rPr>
        <w:t>停止举办户外大型活动。</w:t>
      </w:r>
    </w:p>
    <w:p>
      <w:pPr>
        <w:pStyle w:val="4"/>
        <w:pageBreakBefore w:val="0"/>
        <w:kinsoku/>
        <w:wordWrap/>
        <w:overflowPunct w:val="0"/>
        <w:topLinePunct w:val="0"/>
        <w:autoSpaceDE/>
        <w:autoSpaceDN/>
        <w:bidi w:val="0"/>
        <w:spacing w:line="560" w:lineRule="exact"/>
        <w:ind w:firstLine="642" w:firstLineChars="200"/>
        <w:textAlignment w:val="auto"/>
        <w:rPr>
          <w:rFonts w:hint="eastAsia" w:ascii="仿宋" w:hAnsi="仿宋" w:eastAsia="仿宋" w:cs="仿宋"/>
          <w:b/>
          <w:kern w:val="0"/>
          <w:sz w:val="32"/>
          <w:szCs w:val="36"/>
          <w:lang w:val="en-US" w:eastAsia="zh-CN" w:bidi="ar-SA"/>
        </w:rPr>
      </w:pPr>
      <w:r>
        <w:rPr>
          <w:rFonts w:hint="eastAsia" w:ascii="仿宋" w:hAnsi="仿宋" w:cs="仿宋"/>
          <w:b/>
          <w:kern w:val="0"/>
          <w:sz w:val="32"/>
          <w:szCs w:val="36"/>
          <w:lang w:val="en-US" w:eastAsia="zh-CN" w:bidi="ar-SA"/>
        </w:rPr>
        <w:t>5.4.2</w:t>
      </w:r>
      <w:r>
        <w:rPr>
          <w:rFonts w:hint="eastAsia" w:ascii="仿宋" w:hAnsi="仿宋" w:eastAsia="仿宋" w:cs="仿宋"/>
          <w:b/>
          <w:kern w:val="0"/>
          <w:sz w:val="32"/>
          <w:szCs w:val="36"/>
          <w:lang w:val="en-US" w:eastAsia="zh-CN" w:bidi="ar-SA"/>
        </w:rPr>
        <w:t>建议性污染减排措施</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在II级响应措施的基础上，建议企事业等单位根据实际情况，采取调休、错峰上下班、远程办公等弹性工作制；倡导过境的柴油货车绕行，避开主城区行驶。</w:t>
      </w:r>
    </w:p>
    <w:p>
      <w:pPr>
        <w:pStyle w:val="4"/>
        <w:pageBreakBefore w:val="0"/>
        <w:kinsoku/>
        <w:wordWrap/>
        <w:overflowPunct w:val="0"/>
        <w:topLinePunct w:val="0"/>
        <w:autoSpaceDE/>
        <w:autoSpaceDN/>
        <w:bidi w:val="0"/>
        <w:spacing w:line="560" w:lineRule="exact"/>
        <w:ind w:firstLine="642" w:firstLineChars="200"/>
        <w:textAlignment w:val="auto"/>
        <w:rPr>
          <w:rFonts w:hint="eastAsia" w:ascii="仿宋" w:hAnsi="仿宋" w:eastAsia="仿宋" w:cs="仿宋"/>
          <w:b/>
          <w:kern w:val="0"/>
          <w:sz w:val="32"/>
          <w:szCs w:val="36"/>
          <w:lang w:val="en-US" w:eastAsia="zh-CN" w:bidi="ar-SA"/>
        </w:rPr>
      </w:pPr>
      <w:r>
        <w:rPr>
          <w:rFonts w:hint="eastAsia" w:ascii="仿宋" w:hAnsi="仿宋" w:cs="仿宋"/>
          <w:b/>
          <w:kern w:val="0"/>
          <w:sz w:val="32"/>
          <w:szCs w:val="36"/>
          <w:lang w:val="en-US" w:eastAsia="zh-CN" w:bidi="ar-SA"/>
        </w:rPr>
        <w:t>5.4.3</w:t>
      </w:r>
      <w:r>
        <w:rPr>
          <w:rFonts w:hint="eastAsia" w:ascii="仿宋" w:hAnsi="仿宋" w:eastAsia="仿宋" w:cs="仿宋"/>
          <w:b/>
          <w:kern w:val="0"/>
          <w:sz w:val="32"/>
          <w:szCs w:val="36"/>
          <w:lang w:val="en-US" w:eastAsia="zh-CN" w:bidi="ar-SA"/>
        </w:rPr>
        <w:t>强制性污染减排措施</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在Ⅱ级响应措施的基础上，采取强化措施，进一步降低大气污染物排放：</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（1）工业企业。全县应急减排项目清单的工业企业严格按照“一厂一策”实施方案要求，全县二氧化硫、氮氧化物、颗粒物、挥发性有机物排放量减排30%以上。</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（2）建筑施工工地。强化Ⅱ级响应措施。</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（3）城市道路。在Ⅱ级响应措施的基础上，城区城市道路每日洒水降尘频次不少于4次，城区重点道路每日洒水降尘频次不少于5次。</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（4）机动车和船舶。城区过境柴油车绕行疏导；200吨以下的干散货船、单壳化学品船、600吨载重以上的单壳油船停驶。</w:t>
      </w:r>
    </w:p>
    <w:p>
      <w:pPr>
        <w:pStyle w:val="4"/>
        <w:pageBreakBefore w:val="0"/>
        <w:kinsoku/>
        <w:wordWrap/>
        <w:overflowPunct w:val="0"/>
        <w:topLinePunct w:val="0"/>
        <w:autoSpaceDE/>
        <w:autoSpaceDN/>
        <w:bidi w:val="0"/>
        <w:spacing w:line="560" w:lineRule="exact"/>
        <w:ind w:firstLine="642" w:firstLineChars="200"/>
        <w:textAlignment w:val="auto"/>
        <w:rPr>
          <w:rFonts w:hint="eastAsia" w:ascii="仿宋" w:hAnsi="仿宋" w:cs="仿宋"/>
          <w:b/>
          <w:kern w:val="0"/>
          <w:sz w:val="32"/>
          <w:szCs w:val="36"/>
          <w:lang w:val="en-US" w:eastAsia="zh-CN" w:bidi="ar-SA"/>
        </w:rPr>
      </w:pPr>
      <w:r>
        <w:rPr>
          <w:rFonts w:hint="eastAsia" w:ascii="仿宋" w:hAnsi="仿宋" w:cs="仿宋"/>
          <w:b/>
          <w:kern w:val="0"/>
          <w:sz w:val="32"/>
          <w:szCs w:val="36"/>
          <w:lang w:val="en-US" w:eastAsia="zh-CN" w:bidi="ar-SA"/>
        </w:rPr>
        <w:t>5.4.4监督管理措施</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在Ⅲ级响应措施的基础上，增加如下措施：交警部门开展城区过境柴油车绕行疏导措施。交通部门检查200吨以下的干散货船、单壳化学品船、600吨载重以上的单壳油船停驶行为。市生态环境局县分局会同县气象局增加重污染天气预警会商频次，必要时邀请专家组参与会商。县指挥部督促指导县重污染天气应急响应措施</w:t>
      </w:r>
      <w:r>
        <w:rPr>
          <w:rFonts w:hint="eastAsia" w:eastAsia="仿宋" w:cs="仿宋"/>
          <w:sz w:val="32"/>
          <w:szCs w:val="32"/>
          <w:lang w:eastAsia="zh-CN"/>
        </w:rPr>
        <w:t>，</w:t>
      </w:r>
      <w:r>
        <w:rPr>
          <w:rFonts w:hint="eastAsia" w:eastAsia="仿宋" w:cs="仿宋"/>
          <w:sz w:val="32"/>
          <w:szCs w:val="32"/>
        </w:rPr>
        <w:t>派出现场小组和技术力量，赴各</w:t>
      </w:r>
      <w:r>
        <w:rPr>
          <w:rFonts w:hint="eastAsia" w:eastAsia="仿宋" w:cs="仿宋"/>
          <w:sz w:val="32"/>
          <w:szCs w:val="32"/>
          <w:lang w:eastAsia="zh-CN"/>
        </w:rPr>
        <w:t>乡镇</w:t>
      </w:r>
      <w:r>
        <w:rPr>
          <w:rFonts w:hint="eastAsia" w:eastAsia="仿宋" w:cs="仿宋"/>
          <w:sz w:val="32"/>
          <w:szCs w:val="32"/>
        </w:rPr>
        <w:t>督促指导应急响应工作，必要时，与相邻县协调沟通，采取相关应急联动措施。根据实际情况组织评估重污染天气应急减排措施的效果，及时补充完善应对措施。</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108" w:name="_Toc22281"/>
      <w:bookmarkStart w:id="109" w:name="_Toc3603"/>
      <w:bookmarkStart w:id="110" w:name="_Toc22425"/>
      <w:bookmarkStart w:id="111" w:name="_Toc23783"/>
      <w:r>
        <w:rPr>
          <w:rFonts w:hint="eastAsia" w:ascii="楷体_GB2312" w:hAnsi="楷体_GB2312" w:eastAsia="楷体_GB2312" w:cs="楷体_GB2312"/>
          <w:lang w:val="en-US" w:eastAsia="zh-CN"/>
        </w:rPr>
        <w:t>5.5</w:t>
      </w:r>
      <w:r>
        <w:rPr>
          <w:rFonts w:hint="eastAsia" w:ascii="楷体_GB2312" w:hAnsi="楷体_GB2312" w:eastAsia="楷体_GB2312" w:cs="楷体_GB2312"/>
        </w:rPr>
        <w:t>响应级别调整与终止</w:t>
      </w:r>
      <w:bookmarkEnd w:id="108"/>
      <w:bookmarkEnd w:id="109"/>
      <w:bookmarkEnd w:id="110"/>
      <w:bookmarkEnd w:id="111"/>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应急响应期间，根据预警级别调整，及时提</w:t>
      </w:r>
      <w:r>
        <w:rPr>
          <w:rFonts w:hint="eastAsia" w:eastAsia="仿宋" w:cs="仿宋"/>
          <w:sz w:val="32"/>
          <w:szCs w:val="32"/>
          <w:lang w:val="en-US" w:eastAsia="zh-CN"/>
        </w:rPr>
        <w:t>升</w:t>
      </w:r>
      <w:r>
        <w:rPr>
          <w:rFonts w:hint="eastAsia" w:eastAsia="仿宋" w:cs="仿宋"/>
          <w:sz w:val="32"/>
          <w:szCs w:val="32"/>
        </w:rPr>
        <w:t>或降低应急响应的级别，提高应急响应的针对性。</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当预警解除信息发布后，应急响应自动终止。</w:t>
      </w:r>
    </w:p>
    <w:p>
      <w:pPr>
        <w:pStyle w:val="4"/>
        <w:pageBreakBefore w:val="0"/>
        <w:kinsoku/>
        <w:wordWrap/>
        <w:overflowPunct w:val="0"/>
        <w:topLinePunct w:val="0"/>
        <w:autoSpaceDE/>
        <w:autoSpaceDN/>
        <w:bidi w:val="0"/>
        <w:spacing w:line="560" w:lineRule="exact"/>
        <w:ind w:firstLine="640" w:firstLineChars="200"/>
        <w:textAlignment w:val="auto"/>
        <w:rPr>
          <w:rFonts w:hint="eastAsia" w:ascii="黑体" w:hAnsi="黑体" w:eastAsia="黑体" w:cs="黑体"/>
          <w:b w:val="0"/>
          <w:bCs/>
          <w:lang w:val="en-US" w:eastAsia="zh-CN"/>
        </w:rPr>
      </w:pPr>
      <w:bookmarkStart w:id="112" w:name="_Toc17266"/>
      <w:bookmarkStart w:id="113" w:name="_Toc15034"/>
      <w:bookmarkStart w:id="114" w:name="_Toc4277"/>
      <w:bookmarkStart w:id="115" w:name="_Toc8620"/>
      <w:r>
        <w:rPr>
          <w:rFonts w:hint="eastAsia" w:ascii="黑体" w:hAnsi="黑体" w:eastAsia="黑体" w:cs="黑体"/>
          <w:b w:val="0"/>
          <w:bCs/>
          <w:lang w:val="en-US" w:eastAsia="zh-CN"/>
        </w:rPr>
        <w:t>6.区域应急联动</w:t>
      </w:r>
      <w:bookmarkEnd w:id="112"/>
      <w:bookmarkEnd w:id="113"/>
      <w:bookmarkEnd w:id="114"/>
      <w:bookmarkEnd w:id="115"/>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县指挥部办公室及时接收省、市指挥部办公室重污染天气预警指令，按时参加省、市指挥部办公室的联合预警会商；密切与周边县区的沟通协作，加强信息共享，提高重污染天气预报预警的准确度。收到省、市指挥部的预警指令后，及时启动湘潭县重污染天气应急预案，落实区域联防联控措施，共同降低重污染天气的影响。县指挥部办公室及时向市指挥部办公室报送重污染天气应对信息。</w:t>
      </w:r>
    </w:p>
    <w:p>
      <w:pPr>
        <w:pStyle w:val="4"/>
        <w:pageBreakBefore w:val="0"/>
        <w:kinsoku/>
        <w:wordWrap/>
        <w:overflowPunct w:val="0"/>
        <w:topLinePunct w:val="0"/>
        <w:autoSpaceDE/>
        <w:autoSpaceDN/>
        <w:bidi w:val="0"/>
        <w:spacing w:line="560" w:lineRule="exact"/>
        <w:ind w:firstLine="640" w:firstLineChars="200"/>
        <w:textAlignment w:val="auto"/>
        <w:rPr>
          <w:rFonts w:hint="eastAsia" w:ascii="黑体" w:hAnsi="黑体" w:eastAsia="黑体" w:cs="黑体"/>
          <w:b w:val="0"/>
          <w:bCs/>
          <w:lang w:val="en-US" w:eastAsia="zh-CN"/>
        </w:rPr>
      </w:pPr>
      <w:bookmarkStart w:id="116" w:name="_Toc30051"/>
      <w:bookmarkStart w:id="117" w:name="_Toc2524"/>
      <w:bookmarkStart w:id="118" w:name="_Toc30505"/>
      <w:bookmarkStart w:id="119" w:name="_Toc21368"/>
      <w:r>
        <w:rPr>
          <w:rFonts w:hint="eastAsia" w:ascii="黑体" w:hAnsi="黑体" w:eastAsia="黑体" w:cs="黑体"/>
          <w:b w:val="0"/>
          <w:bCs/>
          <w:sz w:val="32"/>
          <w:szCs w:val="32"/>
        </w:rPr>
        <w:t>7.总结评估</w:t>
      </w:r>
      <w:bookmarkEnd w:id="116"/>
      <w:bookmarkEnd w:id="117"/>
      <w:bookmarkEnd w:id="118"/>
      <w:bookmarkEnd w:id="119"/>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应急响应终止后需对重污染天气应急响应情况进行总结、评估。预警解除后5个工作日内，将本县行政区域内重污染天气应对情况以书面形式报送市指挥部办公室，总结评估报告应包括重污染天气应急响应启动情况、采取的措施、取得的成效、发现的问题、污染物应急减排比例等，并针对存在的突出问题提出改进措施等。监测达到黄色预警启动条件而未启动预警的，也应于5个工作日内报送书面报告。县指挥部各有关</w:t>
      </w:r>
      <w:r>
        <w:rPr>
          <w:rFonts w:hint="eastAsia" w:eastAsia="仿宋" w:cs="仿宋"/>
          <w:sz w:val="32"/>
          <w:szCs w:val="32"/>
          <w:lang w:val="en-US" w:eastAsia="zh-CN"/>
        </w:rPr>
        <w:t>成员单位</w:t>
      </w:r>
      <w:r>
        <w:rPr>
          <w:rFonts w:hint="eastAsia" w:eastAsia="仿宋" w:cs="仿宋"/>
          <w:sz w:val="32"/>
          <w:szCs w:val="32"/>
        </w:rPr>
        <w:t>要在5个工作日内将本部门重污染天气应对情况以书面形式报送县指挥部办公室。</w:t>
      </w:r>
    </w:p>
    <w:p>
      <w:pPr>
        <w:pStyle w:val="3"/>
        <w:pageBreakBefore w:val="0"/>
        <w:kinsoku/>
        <w:wordWrap/>
        <w:overflowPunct w:val="0"/>
        <w:topLinePunct w:val="0"/>
        <w:autoSpaceDE/>
        <w:autoSpaceDN/>
        <w:bidi w:val="0"/>
        <w:spacing w:before="0" w:after="0" w:line="560" w:lineRule="exact"/>
        <w:ind w:firstLine="640" w:firstLineChars="200"/>
        <w:textAlignment w:val="auto"/>
        <w:rPr>
          <w:rFonts w:hint="eastAsia" w:ascii="黑体" w:hAnsi="黑体" w:eastAsia="黑体" w:cs="黑体"/>
          <w:b w:val="0"/>
          <w:bCs/>
          <w:sz w:val="32"/>
          <w:szCs w:val="32"/>
        </w:rPr>
      </w:pPr>
      <w:bookmarkStart w:id="120" w:name="_Toc4725"/>
      <w:bookmarkStart w:id="121" w:name="_Toc7398"/>
      <w:bookmarkStart w:id="122" w:name="_Toc6208"/>
      <w:bookmarkStart w:id="123" w:name="_Toc9831"/>
      <w:r>
        <w:rPr>
          <w:rFonts w:hint="eastAsia" w:ascii="黑体" w:hAnsi="黑体" w:eastAsia="黑体" w:cs="黑体"/>
          <w:b w:val="0"/>
          <w:bCs/>
          <w:sz w:val="32"/>
          <w:szCs w:val="32"/>
        </w:rPr>
        <w:t>8.应急保障</w:t>
      </w:r>
      <w:bookmarkEnd w:id="120"/>
      <w:bookmarkEnd w:id="121"/>
      <w:bookmarkEnd w:id="122"/>
      <w:bookmarkEnd w:id="123"/>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124" w:name="_Toc14610"/>
      <w:bookmarkStart w:id="125" w:name="_Toc30795"/>
      <w:bookmarkStart w:id="126" w:name="_Toc10462"/>
      <w:bookmarkStart w:id="127" w:name="_Toc14215"/>
      <w:r>
        <w:rPr>
          <w:rFonts w:hint="eastAsia" w:ascii="楷体_GB2312" w:hAnsi="楷体_GB2312" w:eastAsia="楷体_GB2312" w:cs="楷体_GB2312"/>
        </w:rPr>
        <w:t>8.1组织保障</w:t>
      </w:r>
      <w:bookmarkEnd w:id="124"/>
      <w:bookmarkEnd w:id="125"/>
      <w:bookmarkEnd w:id="126"/>
      <w:bookmarkEnd w:id="127"/>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县指挥部各成员单位应明确负责重污染天气应急工作</w:t>
      </w:r>
      <w:r>
        <w:rPr>
          <w:rFonts w:hint="eastAsia" w:eastAsia="仿宋" w:cs="仿宋"/>
          <w:sz w:val="32"/>
          <w:szCs w:val="32"/>
          <w:lang w:val="en-US" w:eastAsia="zh-CN"/>
        </w:rPr>
        <w:t>的</w:t>
      </w:r>
      <w:r>
        <w:rPr>
          <w:rFonts w:hint="eastAsia" w:eastAsia="仿宋" w:cs="仿宋"/>
          <w:sz w:val="32"/>
          <w:szCs w:val="32"/>
        </w:rPr>
        <w:t>分管</w:t>
      </w:r>
      <w:r>
        <w:rPr>
          <w:rFonts w:hint="eastAsia" w:eastAsia="仿宋" w:cs="仿宋"/>
          <w:sz w:val="32"/>
          <w:szCs w:val="32"/>
          <w:lang w:val="en-US" w:eastAsia="zh-CN"/>
        </w:rPr>
        <w:t>负责人</w:t>
      </w:r>
      <w:r>
        <w:rPr>
          <w:rFonts w:hint="eastAsia" w:eastAsia="仿宋" w:cs="仿宋"/>
          <w:sz w:val="32"/>
          <w:szCs w:val="32"/>
        </w:rPr>
        <w:t>和工作人员，提高应对能力，确保重污染天气预警期间能迅速参与并完成各项应急响应工作。市生态环境局县分局、县气象局要加强专业技术人员培训，培养一批训练有素的应急监测、综合分析、应急处置人才队伍。</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128" w:name="_Toc29840"/>
      <w:bookmarkStart w:id="129" w:name="_Toc3443"/>
      <w:bookmarkStart w:id="130" w:name="_Toc14838"/>
      <w:bookmarkStart w:id="131" w:name="_Toc6294"/>
      <w:r>
        <w:rPr>
          <w:rFonts w:hint="eastAsia" w:ascii="楷体_GB2312" w:hAnsi="楷体_GB2312" w:eastAsia="楷体_GB2312" w:cs="楷体_GB2312"/>
        </w:rPr>
        <w:t>8.2资金保障</w:t>
      </w:r>
      <w:bookmarkEnd w:id="128"/>
      <w:bookmarkEnd w:id="129"/>
      <w:bookmarkEnd w:id="130"/>
      <w:bookmarkEnd w:id="131"/>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县财政</w:t>
      </w:r>
      <w:r>
        <w:rPr>
          <w:rFonts w:hint="eastAsia" w:eastAsia="仿宋" w:cs="仿宋"/>
          <w:sz w:val="32"/>
          <w:szCs w:val="32"/>
          <w:lang w:val="en-US" w:eastAsia="zh-CN"/>
        </w:rPr>
        <w:t>局</w:t>
      </w:r>
      <w:r>
        <w:rPr>
          <w:rFonts w:hint="eastAsia" w:eastAsia="仿宋" w:cs="仿宋"/>
          <w:sz w:val="32"/>
          <w:szCs w:val="32"/>
        </w:rPr>
        <w:t>要统筹安排专项资金，落实重污染天气预警和应急指挥系统建设、运行和应急响应工作经费，为做好重污染天气应对工作提供财力保障。将空气质量监测网络建设、信息发布平台等基础设施建设、运行、维护费用及应急技术支持和应急演练等工作资金，给予统筹安排。</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132" w:name="_Toc6887"/>
      <w:bookmarkStart w:id="133" w:name="_Toc31140"/>
      <w:bookmarkStart w:id="134" w:name="_Toc28785"/>
      <w:bookmarkStart w:id="135" w:name="_Toc24960"/>
      <w:r>
        <w:rPr>
          <w:rFonts w:hint="eastAsia" w:ascii="楷体_GB2312" w:hAnsi="楷体_GB2312" w:eastAsia="楷体_GB2312" w:cs="楷体_GB2312"/>
        </w:rPr>
        <w:t>8.3技术保障</w:t>
      </w:r>
      <w:bookmarkEnd w:id="132"/>
      <w:bookmarkEnd w:id="133"/>
      <w:bookmarkEnd w:id="134"/>
      <w:bookmarkEnd w:id="135"/>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县指挥部办公室应加强专家队伍建设。市生态环境局县分局、县气象局要加强合作，建立完善重污染天气监测预报体系，做好重污染天气过程的趋势分析，完善会商研判机制，提高监测预警的准确度。</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136" w:name="_Toc20331"/>
      <w:bookmarkStart w:id="137" w:name="_Toc18393"/>
      <w:bookmarkStart w:id="138" w:name="_Toc22345"/>
      <w:bookmarkStart w:id="139" w:name="_Toc1454"/>
      <w:r>
        <w:rPr>
          <w:rFonts w:hint="eastAsia" w:ascii="楷体_GB2312" w:hAnsi="楷体_GB2312" w:eastAsia="楷体_GB2312" w:cs="楷体_GB2312"/>
        </w:rPr>
        <w:t>8.4通信保障</w:t>
      </w:r>
      <w:bookmarkEnd w:id="136"/>
      <w:bookmarkEnd w:id="137"/>
      <w:bookmarkEnd w:id="138"/>
      <w:bookmarkEnd w:id="139"/>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建立县指挥部成员单位和各减排单位联络网络，明确分管</w:t>
      </w:r>
      <w:r>
        <w:rPr>
          <w:rFonts w:hint="eastAsia" w:eastAsia="仿宋" w:cs="仿宋"/>
          <w:sz w:val="32"/>
          <w:szCs w:val="32"/>
          <w:lang w:val="en-US" w:eastAsia="zh-CN"/>
        </w:rPr>
        <w:t>负责人</w:t>
      </w:r>
      <w:r>
        <w:rPr>
          <w:rFonts w:hint="eastAsia" w:eastAsia="仿宋" w:cs="仿宋"/>
          <w:sz w:val="32"/>
          <w:szCs w:val="32"/>
        </w:rPr>
        <w:t>和工作人员联系方式，确保应急响应指令畅通。</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140" w:name="_Toc15360"/>
      <w:bookmarkStart w:id="141" w:name="_Toc27742"/>
      <w:bookmarkStart w:id="142" w:name="_Toc4820"/>
      <w:bookmarkStart w:id="143" w:name="_Toc19895"/>
      <w:r>
        <w:rPr>
          <w:rFonts w:hint="eastAsia" w:ascii="楷体_GB2312" w:hAnsi="楷体_GB2312" w:eastAsia="楷体_GB2312" w:cs="楷体_GB2312"/>
        </w:rPr>
        <w:t>8.5宣传保障</w:t>
      </w:r>
      <w:bookmarkEnd w:id="140"/>
      <w:bookmarkEnd w:id="141"/>
      <w:bookmarkEnd w:id="142"/>
      <w:bookmarkEnd w:id="143"/>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宣传部门要</w:t>
      </w:r>
      <w:r>
        <w:rPr>
          <w:rFonts w:hint="eastAsia" w:eastAsia="仿宋" w:cs="仿宋"/>
          <w:sz w:val="32"/>
          <w:szCs w:val="32"/>
          <w:lang w:val="en-US" w:eastAsia="zh-CN"/>
        </w:rPr>
        <w:t>指导</w:t>
      </w:r>
      <w:r>
        <w:rPr>
          <w:rFonts w:hint="eastAsia" w:eastAsia="仿宋" w:cs="仿宋"/>
          <w:sz w:val="32"/>
          <w:szCs w:val="32"/>
        </w:rPr>
        <w:t>督促各类媒体及时、准确发布重污染天气预警信息</w:t>
      </w:r>
      <w:r>
        <w:rPr>
          <w:rFonts w:hint="eastAsia" w:eastAsia="仿宋" w:cs="仿宋"/>
          <w:sz w:val="32"/>
          <w:szCs w:val="32"/>
          <w:lang w:eastAsia="zh-CN"/>
        </w:rPr>
        <w:t>、</w:t>
      </w:r>
      <w:r>
        <w:rPr>
          <w:rFonts w:hint="eastAsia" w:eastAsia="仿宋" w:cs="仿宋"/>
          <w:sz w:val="32"/>
          <w:szCs w:val="32"/>
        </w:rPr>
        <w:t>普及相关科学知识，</w:t>
      </w:r>
      <w:r>
        <w:rPr>
          <w:rFonts w:hint="eastAsia" w:eastAsia="仿宋" w:cs="仿宋"/>
          <w:sz w:val="32"/>
          <w:szCs w:val="32"/>
          <w:lang w:eastAsia="zh-CN"/>
        </w:rPr>
        <w:t>要</w:t>
      </w:r>
      <w:r>
        <w:rPr>
          <w:rFonts w:hint="eastAsia" w:eastAsia="仿宋" w:cs="仿宋"/>
          <w:sz w:val="32"/>
          <w:szCs w:val="32"/>
        </w:rPr>
        <w:t>加强新闻舆论监督，正确引导舆论导向。</w:t>
      </w:r>
    </w:p>
    <w:p>
      <w:pPr>
        <w:pStyle w:val="3"/>
        <w:pageBreakBefore w:val="0"/>
        <w:kinsoku/>
        <w:wordWrap/>
        <w:overflowPunct w:val="0"/>
        <w:topLinePunct w:val="0"/>
        <w:autoSpaceDE/>
        <w:autoSpaceDN/>
        <w:bidi w:val="0"/>
        <w:spacing w:before="0" w:after="0" w:line="560" w:lineRule="exact"/>
        <w:ind w:firstLine="640" w:firstLineChars="200"/>
        <w:textAlignment w:val="auto"/>
        <w:rPr>
          <w:rFonts w:hint="eastAsia" w:ascii="黑体" w:hAnsi="黑体" w:eastAsia="黑体" w:cs="黑体"/>
          <w:b w:val="0"/>
          <w:bCs/>
          <w:sz w:val="32"/>
          <w:szCs w:val="32"/>
        </w:rPr>
      </w:pPr>
      <w:bookmarkStart w:id="144" w:name="_Toc6720"/>
      <w:bookmarkStart w:id="145" w:name="_Toc5558"/>
      <w:bookmarkStart w:id="146" w:name="_Toc23933"/>
      <w:bookmarkStart w:id="147" w:name="_Toc27823"/>
      <w:r>
        <w:rPr>
          <w:rFonts w:hint="eastAsia" w:ascii="黑体" w:hAnsi="黑体" w:eastAsia="黑体" w:cs="黑体"/>
          <w:b w:val="0"/>
          <w:bCs/>
          <w:sz w:val="32"/>
          <w:szCs w:val="32"/>
        </w:rPr>
        <w:t>9.预案管理</w:t>
      </w:r>
      <w:bookmarkEnd w:id="144"/>
      <w:bookmarkEnd w:id="145"/>
      <w:bookmarkEnd w:id="146"/>
      <w:bookmarkEnd w:id="147"/>
    </w:p>
    <w:p>
      <w:pPr>
        <w:pStyle w:val="4"/>
        <w:pageBreakBefore w:val="0"/>
        <w:kinsoku/>
        <w:wordWrap/>
        <w:overflowPunct w:val="0"/>
        <w:topLinePunct w:val="0"/>
        <w:autoSpaceDE/>
        <w:autoSpaceDN/>
        <w:bidi w:val="0"/>
        <w:spacing w:line="560" w:lineRule="exact"/>
        <w:ind w:firstLine="642" w:firstLineChars="200"/>
        <w:textAlignment w:val="auto"/>
        <w:rPr>
          <w:rFonts w:hint="eastAsia" w:ascii="楷体_GB2312" w:hAnsi="楷体_GB2312" w:eastAsia="楷体_GB2312" w:cs="楷体_GB2312"/>
          <w:lang w:eastAsia="zh-CN"/>
        </w:rPr>
      </w:pPr>
      <w:bookmarkStart w:id="148" w:name="_Toc4689"/>
      <w:bookmarkStart w:id="149" w:name="_Toc21277"/>
      <w:bookmarkStart w:id="150" w:name="_Toc1827"/>
      <w:bookmarkStart w:id="151" w:name="_Toc11936"/>
      <w:r>
        <w:rPr>
          <w:rFonts w:hint="eastAsia" w:ascii="楷体_GB2312" w:hAnsi="楷体_GB2312" w:eastAsia="楷体_GB2312" w:cs="楷体_GB2312"/>
        </w:rPr>
        <w:t>9.1预案宣传</w:t>
      </w:r>
      <w:bookmarkEnd w:id="148"/>
      <w:bookmarkEnd w:id="149"/>
      <w:bookmarkEnd w:id="150"/>
      <w:bookmarkEnd w:id="151"/>
      <w:r>
        <w:rPr>
          <w:rFonts w:hint="eastAsia" w:ascii="楷体_GB2312" w:hAnsi="楷体_GB2312" w:eastAsia="楷体_GB2312" w:cs="楷体_GB2312"/>
          <w:lang w:eastAsia="zh-CN"/>
        </w:rPr>
        <w:t>5响应级别调整与</w:t>
      </w:r>
    </w:p>
    <w:p>
      <w:pPr>
        <w:pStyle w:val="18"/>
        <w:pageBreakBefore w:val="0"/>
        <w:kinsoku/>
        <w:wordWrap/>
        <w:overflowPunct w:val="0"/>
        <w:topLinePunct w:val="0"/>
        <w:autoSpaceDE/>
        <w:autoSpaceDN/>
        <w:bidi w:val="0"/>
        <w:spacing w:before="0" w:after="0" w:line="560" w:lineRule="exact"/>
        <w:ind w:firstLine="640"/>
        <w:jc w:val="left"/>
        <w:textAlignment w:val="auto"/>
        <w:rPr>
          <w:rFonts w:eastAsia="仿宋" w:cs="仿宋"/>
          <w:sz w:val="32"/>
          <w:szCs w:val="32"/>
        </w:rPr>
      </w:pPr>
      <w:r>
        <w:rPr>
          <w:rFonts w:hint="eastAsia" w:eastAsia="仿宋" w:cs="仿宋"/>
          <w:sz w:val="32"/>
          <w:szCs w:val="32"/>
        </w:rPr>
        <w:t>加强预案以及重污染天气预警信息和应急响应措施的宣传，密切关注舆论，及时积极正面引导舆论，回应社会关注，动员社会力量参与，为重污染天气应急响应工作营造良好舆论氛围。各</w:t>
      </w:r>
      <w:r>
        <w:rPr>
          <w:rFonts w:hint="eastAsia" w:eastAsia="仿宋" w:cs="仿宋"/>
          <w:sz w:val="32"/>
          <w:szCs w:val="32"/>
          <w:lang w:eastAsia="zh-CN"/>
        </w:rPr>
        <w:t>5响应级别调整与</w:t>
      </w:r>
      <w:r>
        <w:rPr>
          <w:rFonts w:hint="eastAsia" w:eastAsia="仿宋" w:cs="仿宋"/>
          <w:sz w:val="32"/>
          <w:szCs w:val="32"/>
        </w:rPr>
        <w:t>类媒体要广泛宣传重污染天气应对的安全、健康知识，提高公众预防、自救能力。</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152" w:name="_Toc845"/>
      <w:bookmarkStart w:id="153" w:name="_Toc7452"/>
      <w:bookmarkStart w:id="154" w:name="_Toc21876"/>
      <w:bookmarkStart w:id="155" w:name="_Toc9324"/>
      <w:r>
        <w:rPr>
          <w:rFonts w:hint="eastAsia" w:ascii="楷体_GB2312" w:hAnsi="楷体_GB2312" w:eastAsia="楷体_GB2312" w:cs="楷体_GB2312"/>
        </w:rPr>
        <w:t>9.2预案培训</w:t>
      </w:r>
      <w:bookmarkEnd w:id="152"/>
      <w:bookmarkEnd w:id="153"/>
      <w:bookmarkEnd w:id="154"/>
      <w:bookmarkEnd w:id="155"/>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县指挥部办公室和各成员单位应围绕各自职责的落实和监管方式开展培训，确保应急时监督执法到位；有关企事业单位应围绕各自所需落实的应急措施开展技术培训，确保各项应急措施安全、有效、全面落实。</w:t>
      </w:r>
    </w:p>
    <w:p>
      <w:pPr>
        <w:pStyle w:val="4"/>
        <w:pageBreakBefore w:val="0"/>
        <w:kinsoku/>
        <w:wordWrap/>
        <w:overflowPunct w:val="0"/>
        <w:topLinePunct w:val="0"/>
        <w:autoSpaceDE/>
        <w:autoSpaceDN/>
        <w:bidi w:val="0"/>
        <w:spacing w:line="560" w:lineRule="exact"/>
        <w:ind w:firstLine="642" w:firstLineChars="200"/>
        <w:textAlignment w:val="auto"/>
        <w:rPr>
          <w:rFonts w:hint="default" w:ascii="楷体_GB2312" w:hAnsi="楷体_GB2312" w:eastAsia="楷体_GB2312" w:cs="楷体_GB2312"/>
        </w:rPr>
      </w:pPr>
      <w:bookmarkStart w:id="156" w:name="_Toc2199"/>
      <w:bookmarkStart w:id="157" w:name="_Toc31577"/>
      <w:bookmarkStart w:id="158" w:name="_Toc32723"/>
      <w:bookmarkStart w:id="159" w:name="_Toc10588"/>
      <w:r>
        <w:rPr>
          <w:rFonts w:hint="eastAsia" w:ascii="楷体_GB2312" w:hAnsi="楷体_GB2312" w:eastAsia="楷体_GB2312" w:cs="楷体_GB2312"/>
        </w:rPr>
        <w:t>9.3预案管理</w:t>
      </w:r>
      <w:bookmarkEnd w:id="156"/>
      <w:bookmarkEnd w:id="157"/>
      <w:bookmarkEnd w:id="158"/>
      <w:bookmarkEnd w:id="159"/>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县指挥部办公室负责本预案的编制、解释和日常管理，根据省、市重污染天气应急工作布置和本预案实施情况，适时组织修订，报县人民政府批准后实施。市生态环境局县分局牵头负责全县应急减排项目清单的编制、修订、发布等工作。</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应急减排清单作为应急预案的组成部分，具有动态变化的特性，</w:t>
      </w:r>
      <w:r>
        <w:rPr>
          <w:rFonts w:hint="eastAsia" w:eastAsia="仿宋_GB2312"/>
          <w:snapToGrid w:val="0"/>
          <w:kern w:val="21"/>
          <w:sz w:val="32"/>
          <w:szCs w:val="32"/>
        </w:rPr>
        <w:t>市生态环境局县分局</w:t>
      </w:r>
      <w:r>
        <w:rPr>
          <w:rFonts w:eastAsia="仿宋_GB2312"/>
          <w:snapToGrid w:val="0"/>
          <w:kern w:val="21"/>
          <w:sz w:val="32"/>
          <w:szCs w:val="32"/>
        </w:rPr>
        <w:t>应于每年9月底前完成应急减排清单的编制、修订、发布等工作。各</w:t>
      </w:r>
      <w:r>
        <w:rPr>
          <w:rFonts w:hint="eastAsia" w:eastAsia="仿宋_GB2312"/>
          <w:snapToGrid w:val="0"/>
          <w:kern w:val="21"/>
          <w:sz w:val="32"/>
          <w:szCs w:val="32"/>
        </w:rPr>
        <w:t>部门</w:t>
      </w:r>
      <w:r>
        <w:rPr>
          <w:rFonts w:eastAsia="仿宋_GB2312"/>
          <w:snapToGrid w:val="0"/>
          <w:kern w:val="21"/>
          <w:sz w:val="32"/>
          <w:szCs w:val="32"/>
        </w:rPr>
        <w:t>应高度重视重点行业绩效分级、差异化管控工作，出台激励措施，鼓励企业通过设备更新、技术改造、治理升级等措施提高绩效等级，促进行业治理水平整体提升；对于需申领排污许可证的企业，</w:t>
      </w:r>
      <w:r>
        <w:rPr>
          <w:rFonts w:hint="eastAsia" w:eastAsia="仿宋_GB2312"/>
          <w:snapToGrid w:val="0"/>
          <w:kern w:val="21"/>
          <w:sz w:val="32"/>
          <w:szCs w:val="32"/>
          <w:lang w:val="en-US" w:eastAsia="zh-CN"/>
        </w:rPr>
        <w:t>市</w:t>
      </w:r>
      <w:r>
        <w:rPr>
          <w:rFonts w:hint="eastAsia" w:eastAsia="仿宋_GB2312"/>
          <w:snapToGrid w:val="0"/>
          <w:kern w:val="21"/>
          <w:sz w:val="32"/>
          <w:szCs w:val="32"/>
        </w:rPr>
        <w:t>生态环境</w:t>
      </w:r>
      <w:r>
        <w:rPr>
          <w:rFonts w:hint="eastAsia" w:eastAsia="仿宋_GB2312"/>
          <w:snapToGrid w:val="0"/>
          <w:kern w:val="21"/>
          <w:sz w:val="32"/>
          <w:szCs w:val="32"/>
          <w:lang w:val="en-US" w:eastAsia="zh-CN"/>
        </w:rPr>
        <w:t>局县分局</w:t>
      </w:r>
      <w:r>
        <w:rPr>
          <w:rFonts w:eastAsia="仿宋_GB2312"/>
          <w:snapToGrid w:val="0"/>
          <w:kern w:val="21"/>
          <w:sz w:val="32"/>
          <w:szCs w:val="32"/>
        </w:rPr>
        <w:t>应将重污染天气应急响应要求纳入排污许可证重点时段管理，并加强执法监督。</w:t>
      </w:r>
      <w:r>
        <w:rPr>
          <w:rFonts w:hint="eastAsia" w:eastAsia="仿宋" w:cs="仿宋"/>
          <w:sz w:val="32"/>
          <w:szCs w:val="32"/>
        </w:rPr>
        <w:t>县重污染天气应急预案和应急减排清单应当向社会公开，引导社会力量参与监督。</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县直相关部门应根据本预案有关要求，制定本部门重污染天气应急响应专项实施方案，并报县指挥部办公室备案，根据本预案修订情况适时进行修订。</w:t>
      </w:r>
    </w:p>
    <w:p>
      <w:pPr>
        <w:pStyle w:val="4"/>
        <w:pageBreakBefore w:val="0"/>
        <w:kinsoku/>
        <w:wordWrap/>
        <w:overflowPunct w:val="0"/>
        <w:topLinePunct w:val="0"/>
        <w:autoSpaceDE/>
        <w:autoSpaceDN/>
        <w:bidi w:val="0"/>
        <w:spacing w:line="560" w:lineRule="exact"/>
        <w:ind w:firstLine="642" w:firstLineChars="200"/>
        <w:textAlignment w:val="auto"/>
        <w:rPr>
          <w:rFonts w:hint="eastAsia" w:ascii="楷体_GB2312" w:hAnsi="楷体_GB2312" w:eastAsia="楷体_GB2312" w:cs="楷体_GB2312"/>
          <w:lang w:eastAsia="zh-CN"/>
        </w:rPr>
      </w:pPr>
      <w:bookmarkStart w:id="160" w:name="_Toc14814"/>
      <w:bookmarkStart w:id="161" w:name="_Toc19119"/>
      <w:bookmarkStart w:id="162" w:name="_Toc20406"/>
      <w:bookmarkStart w:id="163" w:name="_Toc12223"/>
      <w:r>
        <w:rPr>
          <w:rFonts w:hint="eastAsia" w:ascii="楷体_GB2312" w:hAnsi="楷体_GB2312" w:eastAsia="楷体_GB2312" w:cs="楷体_GB2312"/>
        </w:rPr>
        <w:t>9.4预案</w:t>
      </w:r>
      <w:bookmarkEnd w:id="160"/>
      <w:bookmarkEnd w:id="161"/>
      <w:bookmarkEnd w:id="162"/>
      <w:bookmarkEnd w:id="163"/>
      <w:r>
        <w:rPr>
          <w:rFonts w:hint="eastAsia" w:ascii="楷体_GB2312" w:hAnsi="楷体_GB2312" w:eastAsia="楷体_GB2312" w:cs="楷体_GB2312"/>
          <w:lang w:val="en-US" w:eastAsia="zh-CN"/>
        </w:rPr>
        <w:t>实施</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color w:val="000000"/>
          <w:sz w:val="32"/>
          <w:szCs w:val="32"/>
        </w:rPr>
      </w:pPr>
      <w:r>
        <w:rPr>
          <w:rFonts w:hint="eastAsia" w:eastAsia="仿宋" w:cs="仿宋"/>
          <w:color w:val="000000"/>
          <w:sz w:val="32"/>
          <w:szCs w:val="32"/>
        </w:rPr>
        <w:t>县指挥部办公室负责对有关成员单位专项实施方案和重污染天气应急预案制（修）订、应急体系建设、应急措施的组织落实情况等进行监督。将重污染天气应对工作纳入污染防治攻坚</w:t>
      </w:r>
      <w:r>
        <w:rPr>
          <w:rFonts w:hint="eastAsia" w:eastAsia="仿宋" w:cs="仿宋"/>
          <w:color w:val="000000"/>
          <w:sz w:val="32"/>
          <w:szCs w:val="32"/>
          <w:lang w:val="en-US" w:eastAsia="zh-CN"/>
        </w:rPr>
        <w:t>战</w:t>
      </w:r>
      <w:r>
        <w:rPr>
          <w:rFonts w:hint="eastAsia" w:eastAsia="仿宋" w:cs="仿宋"/>
          <w:color w:val="000000"/>
          <w:sz w:val="32"/>
          <w:szCs w:val="32"/>
        </w:rPr>
        <w:t>考核。</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color w:val="000000"/>
          <w:sz w:val="32"/>
          <w:szCs w:val="32"/>
        </w:rPr>
      </w:pPr>
      <w:r>
        <w:rPr>
          <w:rFonts w:hint="eastAsia" w:eastAsia="仿宋" w:cs="仿宋"/>
          <w:color w:val="000000"/>
          <w:sz w:val="32"/>
          <w:szCs w:val="32"/>
        </w:rPr>
        <w:t>县指挥部办公室对在重污染天气应急处置工作中反应迅速、措施妥当、贡献突出的先进集体和个人给予表扬。对因工作不力、履职缺位等导致未能有效应对重污染天气的部门及个人，依法依纪追究相应责任。对于未按要求执行排污单位重污染天气停产、限产或错峰生产应急措施以及其他应急措施的企业，依法实施处罚。对应急响应期间偷排偷放、屡查屡犯的企业，依法责令其停止生产，予以追究经济责任或法律责任。绩效分级为</w:t>
      </w:r>
      <w:r>
        <w:rPr>
          <w:rFonts w:eastAsia="仿宋" w:cs="仿宋"/>
          <w:color w:val="000000"/>
          <w:sz w:val="32"/>
          <w:szCs w:val="32"/>
        </w:rPr>
        <w:t>A</w:t>
      </w:r>
      <w:r>
        <w:rPr>
          <w:rFonts w:hint="eastAsia" w:eastAsia="仿宋" w:cs="仿宋"/>
          <w:color w:val="000000"/>
          <w:sz w:val="32"/>
          <w:szCs w:val="32"/>
        </w:rPr>
        <w:t>级、</w:t>
      </w:r>
      <w:r>
        <w:rPr>
          <w:rFonts w:eastAsia="仿宋" w:cs="仿宋"/>
          <w:color w:val="000000"/>
          <w:sz w:val="32"/>
          <w:szCs w:val="32"/>
        </w:rPr>
        <w:t>B</w:t>
      </w:r>
      <w:r>
        <w:rPr>
          <w:rFonts w:hint="eastAsia" w:eastAsia="仿宋" w:cs="仿宋"/>
          <w:color w:val="000000"/>
          <w:sz w:val="32"/>
          <w:szCs w:val="32"/>
        </w:rPr>
        <w:t>（</w:t>
      </w:r>
      <w:r>
        <w:rPr>
          <w:rFonts w:eastAsia="仿宋" w:cs="仿宋"/>
          <w:color w:val="000000"/>
          <w:sz w:val="32"/>
          <w:szCs w:val="32"/>
        </w:rPr>
        <w:t>B-</w:t>
      </w:r>
      <w:r>
        <w:rPr>
          <w:rFonts w:hint="eastAsia" w:eastAsia="仿宋" w:cs="仿宋"/>
          <w:color w:val="000000"/>
          <w:sz w:val="32"/>
          <w:szCs w:val="32"/>
        </w:rPr>
        <w:t>）级和绩效引领性的工业企业，在重污染天气应急响应期间存在违法违规行为的，按最低等级核定。</w:t>
      </w:r>
    </w:p>
    <w:p>
      <w:pPr>
        <w:pStyle w:val="3"/>
        <w:pageBreakBefore w:val="0"/>
        <w:numPr>
          <w:ilvl w:val="0"/>
          <w:numId w:val="0"/>
        </w:numPr>
        <w:kinsoku/>
        <w:wordWrap/>
        <w:overflowPunct w:val="0"/>
        <w:topLinePunct w:val="0"/>
        <w:autoSpaceDE/>
        <w:autoSpaceDN/>
        <w:bidi w:val="0"/>
        <w:spacing w:before="0" w:after="0" w:line="560" w:lineRule="exact"/>
        <w:ind w:firstLine="642" w:firstLineChars="200"/>
        <w:textAlignment w:val="auto"/>
        <w:rPr>
          <w:rFonts w:hint="default" w:ascii="楷体_GB2312" w:hAnsi="楷体_GB2312" w:eastAsia="楷体_GB2312" w:cs="楷体_GB2312"/>
          <w:b/>
          <w:kern w:val="0"/>
          <w:sz w:val="32"/>
          <w:szCs w:val="36"/>
          <w:lang w:val="en-US" w:eastAsia="zh-CN" w:bidi="ar-SA"/>
        </w:rPr>
      </w:pPr>
      <w:bookmarkStart w:id="164" w:name="_Toc12902"/>
      <w:bookmarkStart w:id="165" w:name="_Toc1166"/>
      <w:bookmarkStart w:id="166" w:name="_Toc17517"/>
      <w:bookmarkStart w:id="167" w:name="_Toc12739"/>
      <w:r>
        <w:rPr>
          <w:rFonts w:hint="eastAsia" w:ascii="楷体_GB2312" w:hAnsi="楷体_GB2312" w:eastAsia="楷体_GB2312" w:cs="楷体_GB2312"/>
          <w:b/>
          <w:kern w:val="0"/>
          <w:sz w:val="32"/>
          <w:szCs w:val="36"/>
          <w:lang w:val="en-US" w:eastAsia="zh-CN" w:bidi="ar-SA"/>
        </w:rPr>
        <w:t>10.附则</w:t>
      </w:r>
      <w:bookmarkEnd w:id="164"/>
      <w:bookmarkEnd w:id="165"/>
      <w:bookmarkEnd w:id="166"/>
      <w:bookmarkEnd w:id="167"/>
    </w:p>
    <w:p>
      <w:pPr>
        <w:pageBreakBefore w:val="0"/>
        <w:kinsoku/>
        <w:wordWrap/>
        <w:overflowPunct w:val="0"/>
        <w:topLinePunct w:val="0"/>
        <w:autoSpaceDE/>
        <w:autoSpaceDN/>
        <w:bidi w:val="0"/>
        <w:spacing w:line="560" w:lineRule="exact"/>
        <w:ind w:firstLine="640" w:firstLineChars="200"/>
        <w:textAlignment w:val="auto"/>
        <w:rPr>
          <w:rFonts w:hint="eastAsia" w:ascii="Times New Roman" w:hAnsi="Times New Roman" w:eastAsia="仿宋" w:cs="仿宋"/>
          <w:sz w:val="32"/>
          <w:szCs w:val="32"/>
        </w:rPr>
      </w:pPr>
      <w:r>
        <w:rPr>
          <w:rFonts w:hint="eastAsia" w:ascii="Times New Roman" w:hAnsi="Times New Roman" w:eastAsia="仿宋" w:cs="仿宋"/>
          <w:sz w:val="32"/>
          <w:szCs w:val="32"/>
        </w:rPr>
        <w:t>本预案自发布之日起实施，</w:t>
      </w:r>
      <w:r>
        <w:rPr>
          <w:rFonts w:hint="eastAsia" w:ascii="Times New Roman" w:hAnsi="Times New Roman" w:eastAsia="仿宋" w:cs="仿宋"/>
          <w:color w:val="000000"/>
          <w:sz w:val="32"/>
          <w:szCs w:val="32"/>
        </w:rPr>
        <w:t>《湘潭县环境保护委员会办公室关于印发</w:t>
      </w:r>
      <w:r>
        <w:rPr>
          <w:rFonts w:hint="eastAsia" w:ascii="Times New Roman" w:hAnsi="Times New Roman" w:eastAsia="仿宋" w:cs="仿宋"/>
          <w:color w:val="000000"/>
          <w:sz w:val="32"/>
          <w:szCs w:val="32"/>
          <w:lang w:eastAsia="zh-CN"/>
        </w:rPr>
        <w:t>〈</w:t>
      </w:r>
      <w:r>
        <w:rPr>
          <w:rFonts w:hint="eastAsia" w:ascii="Times New Roman" w:hAnsi="Times New Roman" w:eastAsia="仿宋" w:cs="仿宋"/>
          <w:color w:val="000000"/>
          <w:sz w:val="32"/>
          <w:szCs w:val="32"/>
        </w:rPr>
        <w:t>湘潭县重污染天气应急预案（试行）</w:t>
      </w:r>
      <w:r>
        <w:rPr>
          <w:rFonts w:hint="eastAsia" w:ascii="Times New Roman" w:hAnsi="Times New Roman" w:eastAsia="仿宋" w:cs="仿宋"/>
          <w:color w:val="000000"/>
          <w:sz w:val="32"/>
          <w:szCs w:val="32"/>
          <w:lang w:eastAsia="zh-CN"/>
        </w:rPr>
        <w:t>〉</w:t>
      </w:r>
      <w:r>
        <w:rPr>
          <w:rFonts w:hint="eastAsia" w:ascii="Times New Roman" w:hAnsi="Times New Roman" w:eastAsia="仿宋" w:cs="仿宋"/>
          <w:color w:val="000000"/>
          <w:sz w:val="32"/>
          <w:szCs w:val="32"/>
        </w:rPr>
        <w:t>的通知》（潭县环委办</w:t>
      </w:r>
      <w:r>
        <w:rPr>
          <w:rFonts w:hint="eastAsia" w:ascii="仿宋_GB2312" w:hAnsi="仿宋_GB2312" w:eastAsia="仿宋_GB2312" w:cs="仿宋_GB2312"/>
          <w:color w:val="000000"/>
          <w:sz w:val="32"/>
          <w:szCs w:val="32"/>
        </w:rPr>
        <w:t>〔</w:t>
      </w:r>
      <w:r>
        <w:rPr>
          <w:rFonts w:hint="eastAsia" w:ascii="Times New Roman" w:hAnsi="Times New Roman" w:eastAsia="仿宋" w:cs="仿宋"/>
          <w:color w:val="000000"/>
          <w:sz w:val="32"/>
          <w:szCs w:val="32"/>
        </w:rPr>
        <w:t>2018</w:t>
      </w:r>
      <w:r>
        <w:rPr>
          <w:rFonts w:hint="eastAsia" w:ascii="仿宋_GB2312" w:hAnsi="仿宋_GB2312" w:eastAsia="仿宋_GB2312" w:cs="仿宋_GB2312"/>
          <w:color w:val="000000"/>
          <w:sz w:val="32"/>
          <w:szCs w:val="32"/>
        </w:rPr>
        <w:t>〕</w:t>
      </w:r>
      <w:r>
        <w:rPr>
          <w:rFonts w:hint="eastAsia" w:ascii="Times New Roman" w:hAnsi="Times New Roman" w:eastAsia="仿宋" w:cs="仿宋"/>
          <w:color w:val="000000"/>
          <w:sz w:val="32"/>
          <w:szCs w:val="32"/>
        </w:rPr>
        <w:t>98号）</w:t>
      </w:r>
      <w:r>
        <w:rPr>
          <w:rFonts w:hint="eastAsia" w:ascii="Times New Roman" w:hAnsi="Times New Roman" w:eastAsia="仿宋" w:cs="仿宋"/>
          <w:sz w:val="32"/>
          <w:szCs w:val="32"/>
          <w:lang w:val="en-US" w:eastAsia="zh-CN"/>
        </w:rPr>
        <w:t>同时</w:t>
      </w:r>
      <w:r>
        <w:rPr>
          <w:rFonts w:hint="eastAsia" w:ascii="Times New Roman" w:hAnsi="Times New Roman" w:eastAsia="仿宋" w:cs="仿宋"/>
          <w:sz w:val="32"/>
          <w:szCs w:val="32"/>
        </w:rPr>
        <w:t>废止。</w:t>
      </w:r>
    </w:p>
    <w:p>
      <w:pPr>
        <w:pageBreakBefore w:val="0"/>
        <w:kinsoku/>
        <w:wordWrap/>
        <w:overflowPunct w:val="0"/>
        <w:topLinePunct w:val="0"/>
        <w:autoSpaceDE/>
        <w:autoSpaceDN/>
        <w:bidi w:val="0"/>
        <w:spacing w:line="560" w:lineRule="exact"/>
        <w:ind w:firstLine="640" w:firstLineChars="200"/>
        <w:textAlignment w:val="auto"/>
        <w:rPr>
          <w:rFonts w:hint="eastAsia" w:ascii="Times New Roman" w:hAnsi="Times New Roman" w:eastAsia="仿宋" w:cs="仿宋"/>
          <w:sz w:val="32"/>
          <w:szCs w:val="32"/>
        </w:rPr>
      </w:pPr>
    </w:p>
    <w:p>
      <w:pPr>
        <w:pStyle w:val="18"/>
        <w:pageBreakBefore w:val="0"/>
        <w:kinsoku/>
        <w:wordWrap/>
        <w:overflowPunct w:val="0"/>
        <w:topLinePunct w:val="0"/>
        <w:autoSpaceDE/>
        <w:autoSpaceDN/>
        <w:bidi w:val="0"/>
        <w:spacing w:before="0" w:after="0" w:line="560" w:lineRule="exact"/>
        <w:ind w:left="0" w:leftChars="0" w:firstLine="0" w:firstLineChars="0"/>
        <w:textAlignment w:val="auto"/>
        <w:rPr>
          <w:rFonts w:hint="eastAsia" w:eastAsia="仿宋" w:cs="仿宋"/>
          <w:sz w:val="32"/>
          <w:szCs w:val="32"/>
        </w:rPr>
      </w:pPr>
      <w:bookmarkStart w:id="168" w:name="_GoBack"/>
      <w:bookmarkEnd w:id="168"/>
    </w:p>
    <w:p>
      <w:pPr>
        <w:pStyle w:val="18"/>
        <w:pageBreakBefore w:val="0"/>
        <w:kinsoku/>
        <w:wordWrap/>
        <w:overflowPunct w:val="0"/>
        <w:topLinePunct w:val="0"/>
        <w:autoSpaceDE/>
        <w:autoSpaceDN/>
        <w:bidi w:val="0"/>
        <w:spacing w:before="0" w:after="0" w:line="560" w:lineRule="exact"/>
        <w:ind w:firstLine="64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名词</w:t>
      </w:r>
      <w:r>
        <w:rPr>
          <w:rFonts w:hint="eastAsia" w:ascii="黑体" w:hAnsi="黑体" w:eastAsia="黑体" w:cs="黑体"/>
          <w:sz w:val="32"/>
          <w:szCs w:val="32"/>
          <w:lang w:val="en-US" w:eastAsia="zh-CN"/>
        </w:rPr>
        <w:t>解释</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空气质量指数（AQI）：定量描述空气质量状况的无量纲指数。</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空气质量分指数（IAQI）：指单项污染物的空气质量指数。</w:t>
      </w:r>
    </w:p>
    <w:p>
      <w:pPr>
        <w:pStyle w:val="18"/>
        <w:pageBreakBefore w:val="0"/>
        <w:kinsoku/>
        <w:wordWrap/>
        <w:overflowPunct w:val="0"/>
        <w:topLinePunct w:val="0"/>
        <w:autoSpaceDE/>
        <w:autoSpaceDN/>
        <w:bidi w:val="0"/>
        <w:spacing w:before="0" w:after="0" w:line="560" w:lineRule="exact"/>
        <w:ind w:firstLine="640"/>
        <w:textAlignment w:val="auto"/>
        <w:rPr>
          <w:rFonts w:eastAsia="仿宋" w:cs="仿宋"/>
          <w:sz w:val="32"/>
          <w:szCs w:val="32"/>
        </w:rPr>
      </w:pPr>
      <w:r>
        <w:rPr>
          <w:rFonts w:hint="eastAsia" w:eastAsia="仿宋" w:cs="仿宋"/>
          <w:sz w:val="32"/>
          <w:szCs w:val="32"/>
        </w:rPr>
        <w:t>首要污染物：AQI大于50时IAQI最大的空气污染物。</w:t>
      </w: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r>
        <w:rPr>
          <w:rFonts w:hint="eastAsia" w:eastAsia="仿宋" w:cs="仿宋"/>
          <w:sz w:val="32"/>
          <w:szCs w:val="32"/>
        </w:rPr>
        <w:t>超标污染物：浓度超过国家环境空气质量二级标准的污染物，即IAQI大于100的污染物。</w:t>
      </w: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left="0" w:leftChars="0" w:firstLine="0" w:firstLineChars="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sectPr>
          <w:footerReference r:id="rId4" w:type="default"/>
          <w:pgSz w:w="11906" w:h="16838"/>
          <w:pgMar w:top="2098" w:right="1474" w:bottom="1984" w:left="1587" w:header="851" w:footer="992" w:gutter="0"/>
          <w:pgNumType w:fmt="numberInDash" w:start="5"/>
          <w:cols w:space="425" w:num="1"/>
          <w:docGrid w:type="lines" w:linePitch="312" w:charSpace="0"/>
        </w:sect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18"/>
        <w:pageBreakBefore w:val="0"/>
        <w:kinsoku/>
        <w:wordWrap/>
        <w:overflowPunct w:val="0"/>
        <w:topLinePunct w:val="0"/>
        <w:autoSpaceDE/>
        <w:autoSpaceDN/>
        <w:bidi w:val="0"/>
        <w:spacing w:before="0" w:after="0" w:line="560" w:lineRule="exact"/>
        <w:ind w:firstLine="640"/>
        <w:textAlignment w:val="auto"/>
        <w:rPr>
          <w:rFonts w:hint="eastAsia" w:eastAsia="仿宋" w:cs="仿宋"/>
          <w:sz w:val="32"/>
          <w:szCs w:val="32"/>
        </w:rPr>
      </w:pPr>
    </w:p>
    <w:p>
      <w:pPr>
        <w:pStyle w:val="7"/>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spacing w:line="476" w:lineRule="exact"/>
        <w:ind w:left="0" w:leftChars="0" w:firstLine="280" w:firstLineChars="100"/>
        <w:jc w:val="both"/>
        <w:textAlignment w:val="auto"/>
        <w:rPr>
          <w:rFonts w:hint="eastAsia" w:eastAsia="仿宋" w:cs="仿宋"/>
          <w:sz w:val="32"/>
          <w:szCs w:val="32"/>
        </w:rPr>
      </w:pPr>
      <w:r>
        <w:rPr>
          <w:rFonts w:hint="eastAsia" w:ascii="仿宋_GB2312" w:hAnsi="仿宋_GB2312" w:eastAsia="仿宋_GB2312" w:cs="仿宋_GB2312"/>
          <w:color w:val="000000"/>
          <w:sz w:val="28"/>
          <w:szCs w:val="28"/>
          <w:lang w:val="en-US" w:eastAsia="zh-CN"/>
        </w:rPr>
        <w:t xml:space="preserve">湘潭县人民政府办公室                 </w:t>
      </w:r>
      <w:r>
        <w:rPr>
          <w:rFonts w:hint="default" w:ascii="仿宋_GB2312" w:hAnsi="仿宋_GB2312" w:eastAsia="仿宋_GB2312" w:cs="仿宋_GB2312"/>
          <w:color w:val="000000"/>
          <w:sz w:val="28"/>
          <w:szCs w:val="28"/>
          <w:lang w:val="en" w:eastAsia="zh-CN"/>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Times New Roman" w:hAnsi="Times New Roman" w:eastAsia="仿宋_GB2312" w:cs="Times New Roman"/>
          <w:kern w:val="2"/>
          <w:sz w:val="28"/>
          <w:szCs w:val="28"/>
          <w:lang w:val="en-US" w:eastAsia="zh-CN" w:bidi="ar-SA"/>
        </w:rPr>
        <w:t>202</w:t>
      </w:r>
      <w:r>
        <w:rPr>
          <w:rFonts w:hint="default" w:ascii="Times New Roman" w:hAnsi="Times New Roman" w:eastAsia="仿宋_GB2312" w:cs="Times New Roman"/>
          <w:kern w:val="2"/>
          <w:sz w:val="28"/>
          <w:szCs w:val="28"/>
          <w:lang w:val="en" w:eastAsia="zh-CN" w:bidi="ar-SA"/>
        </w:rPr>
        <w:t>4</w:t>
      </w:r>
      <w:r>
        <w:rPr>
          <w:rFonts w:hint="eastAsia" w:ascii="仿宋_GB2312" w:hAnsi="仿宋_GB2312" w:eastAsia="仿宋_GB2312" w:cs="仿宋_GB2312"/>
          <w:color w:val="000000"/>
          <w:sz w:val="28"/>
          <w:szCs w:val="28"/>
          <w:lang w:val="en-US" w:eastAsia="zh-CN"/>
        </w:rPr>
        <w:t>年</w:t>
      </w:r>
      <w:r>
        <w:rPr>
          <w:rFonts w:hint="eastAsia" w:ascii="Times New Roman" w:hAnsi="Times New Roman" w:eastAsia="仿宋_GB2312" w:cs="Times New Roman"/>
          <w:kern w:val="2"/>
          <w:sz w:val="28"/>
          <w:szCs w:val="28"/>
          <w:lang w:val="en-US" w:eastAsia="zh-CN" w:bidi="ar-SA"/>
        </w:rPr>
        <w:t>7</w:t>
      </w:r>
      <w:r>
        <w:rPr>
          <w:rFonts w:hint="eastAsia" w:ascii="仿宋_GB2312" w:hAnsi="仿宋_GB2312" w:eastAsia="仿宋_GB2312" w:cs="仿宋_GB2312"/>
          <w:color w:val="000000"/>
          <w:sz w:val="28"/>
          <w:szCs w:val="28"/>
          <w:lang w:val="en-US" w:eastAsia="zh-CN"/>
        </w:rPr>
        <w:t>月</w:t>
      </w:r>
      <w:r>
        <w:rPr>
          <w:rFonts w:hint="eastAsia" w:ascii="Times New Roman" w:hAnsi="Times New Roman" w:eastAsia="仿宋_GB2312" w:cs="Times New Roman"/>
          <w:kern w:val="2"/>
          <w:sz w:val="28"/>
          <w:szCs w:val="28"/>
          <w:lang w:val="en-US" w:eastAsia="zh-CN" w:bidi="ar-SA"/>
        </w:rPr>
        <w:t>19</w:t>
      </w:r>
      <w:r>
        <w:rPr>
          <w:rFonts w:hint="eastAsia" w:ascii="仿宋_GB2312" w:hAnsi="仿宋_GB2312" w:eastAsia="仿宋_GB2312" w:cs="仿宋_GB2312"/>
          <w:color w:val="000000"/>
          <w:sz w:val="28"/>
          <w:szCs w:val="28"/>
          <w:lang w:val="en-US" w:eastAsia="zh-CN"/>
        </w:rPr>
        <w:t>日印</w:t>
      </w:r>
    </w:p>
    <w:sectPr>
      <w:footerReference r:id="rId5" w:type="default"/>
      <w:pgSz w:w="11906" w:h="16838"/>
      <w:pgMar w:top="2098" w:right="1474" w:bottom="1984" w:left="1587" w:header="851" w:footer="992" w:gutter="0"/>
      <w:pgNumType w:fmt="numberInDash" w:start="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方正魏碑_GBK">
    <w:panose1 w:val="02000000000000000000"/>
    <w:charset w:val="86"/>
    <w:family w:val="auto"/>
    <w:pitch w:val="default"/>
    <w:sig w:usb0="00000001" w:usb1="08000000" w:usb2="00000000" w:usb3="00000000" w:csb0="00040000" w:csb1="00000000"/>
  </w:font>
  <w:font w:name="方正隶书_GBK">
    <w:panose1 w:val="02000000000000000000"/>
    <w:charset w:val="86"/>
    <w:family w:val="auto"/>
    <w:pitch w:val="default"/>
    <w:sig w:usb0="00000001" w:usb1="08000000" w:usb2="00000000" w:usb3="00000000" w:csb0="00040000" w:csb1="00000000"/>
  </w:font>
  <w:font w:name="方正行楷_GBK">
    <w:panose1 w:val="02000000000000000000"/>
    <w:charset w:val="86"/>
    <w:family w:val="auto"/>
    <w:pitch w:val="default"/>
    <w:sig w:usb0="00000001" w:usb1="08000000" w:usb2="00000000" w:usb3="00000000" w:csb0="00040000" w:csb1="00000000"/>
  </w:font>
  <w:font w:name="Calibri Light">
    <w:altName w:val="DejaVu Sans"/>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-333375</wp:posOffset>
              </wp:positionV>
              <wp:extent cx="1828800" cy="57023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5702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top:-26.25pt;height:44.9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FFC0WnYAAAABwEAAA8AAABkcnMvZG93bnJldi54bWxNj81OwzAQhO9IvIO1&#10;SNxapymBKGRTISR64dTwI3Fz420SEa8j221Cn77mBMedGc18W25mM4gTOd9bRlgtExDEjdU9twjv&#10;by+LHIQPirUaLBPCD3nYVNdXpSq0nXhHpzq0IpawLxRCF8JYSOmbjozySzsSR+9gnVEhnq6V2qkp&#10;lptBpklyL43qOS50aqTnjprv+mgQtvP58+7VfYWhVrsm+zBP7WE7Id7erJJHEIHm8BeGX/yIDlVk&#10;2tsjay8GhPhIQFhkaQYi2mmeR2WPsH5Yg6xK+Z+/ugBQSwMEFAAAAAgAh07iQPkFI0UfAgAAKAQA&#10;AA4AAABkcnMvZTJvRG9jLnhtbK1TzW4TMRC+I/EOlu9kN6laoiibKrQKQopopYI4O147a8n2WLaT&#10;3fAA8AacuHDvc+U5GDu7CQJOiIs99vx/8838tjOa7IUPCmxFx6OSEmE51MpuK/rxw+rVlJIQma2Z&#10;BisqehCB3i5evpi3biYm0ICuhScYxIZZ6yraxOhmRRF4IwwLI3DColKCNyzi02+L2rMWoxtdTMry&#10;pmjB184DFyHg7/1JSRc5vpSCxwcpg4hEVxRri/n0+dyks1jM2WzrmWsU78tg/1CFYcpi0nOoexYZ&#10;2Xn1RyijuIcAMo44mAKkVFzkHrCbcflbN08NcyL3guAEd4Yp/L+w/P3+0RNVV3RCiWUGR3T89vX4&#10;/fn44wuZJHhaF2Zo9eTQLnZvoKto9DsxqAL+p8Y76U26sSWCJoj14Yyv6CLh+DmeTqbTElUcddev&#10;y8lVHkBx8XY+xLcCDElCRT3OL8PK9usQsRg0HUxSMgsrpXWeobakrejN1XWZHc4a9NAWHVMbp1qT&#10;FLtN1/e2gfqArXk4cSM4vlKYfM1CfGQeyYD1IsHjAx5SAyaBXqKkAf/5b//JHmeEWkpaJFdFLbKf&#10;Ev3O4uwSDwfBD8JmEOzO3AGydYyL43gW0cFHPYjSg/mErF+mHJLpgIGZ5ZgNJzOIdxFfvRK3h4vl&#10;8vzeOa+2zcUZmehYXNsnx/vZnrBd7iJIlWFPmJ2A6qFEOuZp9KuT+P7rO1tdFnzx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BYAAABkcnMv&#10;UEsBAhQAFAAAAAgAh07iQFFC0WnYAAAABwEAAA8AAAAAAAAAAQAgAAAAOAAAAGRycy9kb3ducmV2&#10;LnhtbFBLAQIUABQAAAAIAIdO4kD5BSNFHwIAACgEAAAOAAAAAAAAAAEAIAAAAD0BAABkcnMvZTJv&#10;RG9jLnhtbFBLBQYAAAAABgAGAFkBAADOBQAAAAA=&#10;">
              <v:fill on="f" focussize="0,0"/>
              <v:stroke on="f" weight="0.5pt"/>
              <v:imagedata o:title=""/>
              <o:lock v:ext="edit" aspectratio="f"/>
              <v:textbox inset="0mm,0mm,0mm,0mm">
                <w:txbxContent>
                  <w:p>
                    <w:pPr>
                      <w:pStyle w:val="9"/>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-333375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26.25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BWVcZjWAAAACAEAAA8AAABkcnMvZG93bnJldi54bWxNj0FPwzAMhe9I/IfI&#10;SNy2dB1FVWk6iYlyRGLlwDFrvLajcaok68q/x5zgZvs9PX+v3C12FDP6MDhSsFknIJBaZwbqFHw0&#10;9SoHEaImo0dHqOAbA+yq25tSF8Zd6R3nQ+wEh1AotII+xqmQMrQ9Wh3WbkJi7eS81ZFX30nj9ZXD&#10;7SjTJHmUVg/EH3o94b7H9utwsQr2ddP4GYMfP/G13p7fnh/wZVHq/m6TPIGIuMQ/M/ziMzpUzHR0&#10;FzJBjAq4SFSwytIMBMtpnvPlyMM2y0BWpfxfoPoBUEsDBBQAAAAIAIdO4kD176IwHQIAACkEAAAO&#10;AAAAZHJzL2Uyb0RvYy54bWytU82O0zAQviPxDpbvNGkrVlXVdFV2VYRUsSstiLPr2E0kx7Zst0l5&#10;AHgDTly481x9jv3sJi0CToiLPeMZz8833yxuu0aRg3C+Nrqg41FOidDclLXeFfTjh/WrGSU+MF0y&#10;ZbQo6FF4ert8+WLR2rmYmMqoUjiCINrPW1vQKgQ7zzLPK9EwPzJWaBilcQ0LUN0uKx1rEb1R2STP&#10;b7LWuNI6w4X3eL0/G+kyxZdS8PAgpReBqIKitpBOl85tPLPlgs13jtmq5n0Z7B+qaFitkfQS6p4F&#10;Rvau/iNUU3NnvJFhxE2TGSlrLlIP6Gac/9bNU8WsSL0AHG8vMPn/F5a/Pzw6UpcFnVKiWYMRnb59&#10;PX3/efrxhUwjPK31c3g9WfiF7o3pChrcXgwmj/fYeCddE2+0ROACrI8XfEUXCMfjeDaZzXKYOGyD&#10;ghTZ9bt1PrwVpiFRKKjDABOu7LDx4ew6uMRs2qxrpdIQlSZtQW+mr/P04WJBcKWRI/ZxLjZKodt2&#10;fXNbUx7RmzNncnjL1zWSb5gPj8yBDSgYDA8POKQySGJ6iZLKuM9/e4/+GBKslLRgV0E16E+Jeqcx&#10;vEjEQXCDsB0EvW/uDOg6xuZYnkR8cEENonSm+QTar2IOyZRHYKY5smE0g3gXoPVGrA8Xq9VF31tX&#10;76rrZ1DRsrDRT5b3w43YervaB+CbYI+YnYHqoQQf0+D63YmE/1VPXtcNXz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FZVxmNYAAAAIAQAADwAAAAAAAAABACAAAAA4AAAAZHJzL2Rvd25yZXYueG1s&#10;UEsBAhQAFAAAAAgAh07iQPXvojAdAgAAKQQAAA4AAAAAAAAAAQAgAAAAOwEAAGRycy9lMm9Eb2Mu&#10;eG1sUEsFBgAAAAAGAAYAWQEAAMoFAAAAAA==&#10;">
              <v:fill on="f" focussize="0,0"/>
              <v:stroke on="f" weight="0.5pt"/>
              <v:imagedata o:title=""/>
              <o:lock v:ext="edit" aspectratio="f"/>
              <v:textbox inset="0mm,0mm,0mm,0mm" style="mso-fit-shape-to-text:t;">
                <w:txbxContent>
                  <w:p>
                    <w:pPr>
                      <w:pStyle w:val="9"/>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32E41C5E"/>
    <w:rsid w:val="00245730"/>
    <w:rsid w:val="00271FB8"/>
    <w:rsid w:val="002805DB"/>
    <w:rsid w:val="003B4BAC"/>
    <w:rsid w:val="00413BB5"/>
    <w:rsid w:val="005F087F"/>
    <w:rsid w:val="005F0F17"/>
    <w:rsid w:val="007603CE"/>
    <w:rsid w:val="007C286A"/>
    <w:rsid w:val="00857B24"/>
    <w:rsid w:val="008B25C8"/>
    <w:rsid w:val="00912AE0"/>
    <w:rsid w:val="00947D1D"/>
    <w:rsid w:val="00B72164"/>
    <w:rsid w:val="00BD3B95"/>
    <w:rsid w:val="00C64C35"/>
    <w:rsid w:val="00C91CA4"/>
    <w:rsid w:val="00D504F8"/>
    <w:rsid w:val="00D86872"/>
    <w:rsid w:val="00EB0932"/>
    <w:rsid w:val="06732DD2"/>
    <w:rsid w:val="07A70F85"/>
    <w:rsid w:val="0B4453D6"/>
    <w:rsid w:val="0D9C6647"/>
    <w:rsid w:val="132F2557"/>
    <w:rsid w:val="1615007D"/>
    <w:rsid w:val="1B70509D"/>
    <w:rsid w:val="1C5203D5"/>
    <w:rsid w:val="1DBFC2A8"/>
    <w:rsid w:val="204E53AB"/>
    <w:rsid w:val="28113E01"/>
    <w:rsid w:val="2CB74F17"/>
    <w:rsid w:val="32E41C5E"/>
    <w:rsid w:val="36CF2D1D"/>
    <w:rsid w:val="3A3B75BE"/>
    <w:rsid w:val="40AA77F1"/>
    <w:rsid w:val="43D63A7D"/>
    <w:rsid w:val="451707F1"/>
    <w:rsid w:val="4791488A"/>
    <w:rsid w:val="507408A5"/>
    <w:rsid w:val="556F274C"/>
    <w:rsid w:val="59B351FF"/>
    <w:rsid w:val="5EC82E34"/>
    <w:rsid w:val="5F72E683"/>
    <w:rsid w:val="5FDFDAC8"/>
    <w:rsid w:val="603C6C9A"/>
    <w:rsid w:val="631F28F3"/>
    <w:rsid w:val="76DB0007"/>
    <w:rsid w:val="77B868CC"/>
    <w:rsid w:val="B7FF95F4"/>
    <w:rsid w:val="BE2AE3E7"/>
    <w:rsid w:val="EFFC01CD"/>
    <w:rsid w:val="FF9A2DB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180" w:after="180" w:line="440" w:lineRule="exact"/>
      <w:jc w:val="left"/>
      <w:outlineLvl w:val="0"/>
    </w:pPr>
    <w:rPr>
      <w:rFonts w:hint="eastAsia" w:ascii="Times New Roman" w:hAnsi="Times New Roman" w:eastAsia="仿宋"/>
      <w:b/>
      <w:kern w:val="44"/>
      <w:sz w:val="36"/>
      <w:szCs w:val="48"/>
    </w:rPr>
  </w:style>
  <w:style w:type="paragraph" w:styleId="4">
    <w:name w:val="heading 2"/>
    <w:basedOn w:val="1"/>
    <w:next w:val="1"/>
    <w:unhideWhenUsed/>
    <w:qFormat/>
    <w:uiPriority w:val="0"/>
    <w:pPr>
      <w:spacing w:line="440" w:lineRule="exact"/>
      <w:jc w:val="left"/>
      <w:outlineLvl w:val="1"/>
    </w:pPr>
    <w:rPr>
      <w:rFonts w:hint="eastAsia" w:ascii="Times New Roman" w:hAnsi="Times New Roman" w:eastAsia="仿宋"/>
      <w:b/>
      <w:kern w:val="0"/>
      <w:sz w:val="32"/>
      <w:szCs w:val="36"/>
    </w:rPr>
  </w:style>
  <w:style w:type="paragraph" w:styleId="5">
    <w:name w:val="heading 3"/>
    <w:basedOn w:val="1"/>
    <w:next w:val="1"/>
    <w:unhideWhenUsed/>
    <w:qFormat/>
    <w:uiPriority w:val="0"/>
    <w:pPr>
      <w:keepNext/>
      <w:keepLines/>
      <w:spacing w:before="60" w:after="60" w:line="440" w:lineRule="exact"/>
      <w:outlineLvl w:val="2"/>
    </w:pPr>
    <w:rPr>
      <w:rFonts w:ascii="Times New Roman" w:hAnsi="Times New Roman" w:eastAsia="仿宋"/>
      <w:b/>
      <w:sz w:val="32"/>
    </w:rPr>
  </w:style>
  <w:style w:type="paragraph" w:styleId="6">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7">
    <w:name w:val="Normal Indent"/>
    <w:basedOn w:val="1"/>
    <w:unhideWhenUsed/>
    <w:qFormat/>
    <w:uiPriority w:val="99"/>
    <w:pPr>
      <w:ind w:firstLine="420"/>
    </w:pPr>
    <w:rPr>
      <w:szCs w:val="20"/>
    </w:rPr>
  </w:style>
  <w:style w:type="paragraph" w:styleId="8">
    <w:name w:val="annotation text"/>
    <w:basedOn w:val="1"/>
    <w:semiHidden/>
    <w:unhideWhenUsed/>
    <w:qFormat/>
    <w:uiPriority w:val="0"/>
    <w:pPr>
      <w:jc w:val="left"/>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11">
    <w:name w:val="toc 1"/>
    <w:next w:val="1"/>
    <w:qFormat/>
    <w:uiPriority w:val="0"/>
    <w:pPr>
      <w:ind w:firstLine="200" w:firstLineChars="200"/>
    </w:pPr>
    <w:rPr>
      <w:rFonts w:ascii="Calibri" w:hAnsi="Calibri" w:eastAsia="宋体" w:cs="Times New Roman"/>
      <w:sz w:val="28"/>
      <w:lang w:val="en-US" w:eastAsia="zh-CN" w:bidi="ar-SA"/>
    </w:rPr>
  </w:style>
  <w:style w:type="paragraph" w:styleId="12">
    <w:name w:val="toc 2"/>
    <w:basedOn w:val="1"/>
    <w:next w:val="1"/>
    <w:qFormat/>
    <w:uiPriority w:val="0"/>
    <w:pPr>
      <w:ind w:left="420" w:leftChars="200"/>
    </w:pPr>
  </w:style>
  <w:style w:type="paragraph" w:styleId="13">
    <w:name w:val="Normal (Web)"/>
    <w:basedOn w:val="1"/>
    <w:qFormat/>
    <w:uiPriority w:val="0"/>
    <w:pPr>
      <w:spacing w:before="100" w:beforeAutospacing="1" w:after="100" w:afterAutospacing="1"/>
      <w:jc w:val="left"/>
    </w:pPr>
    <w:rPr>
      <w:kern w:val="0"/>
      <w:sz w:val="24"/>
    </w:rPr>
  </w:style>
  <w:style w:type="character" w:styleId="16">
    <w:name w:val="Strong"/>
    <w:basedOn w:val="15"/>
    <w:qFormat/>
    <w:uiPriority w:val="0"/>
    <w:rPr>
      <w:b/>
    </w:rPr>
  </w:style>
  <w:style w:type="paragraph" w:customStyle="1" w:styleId="17">
    <w:name w:val="Default"/>
    <w:unhideWhenUsed/>
    <w:qFormat/>
    <w:uiPriority w:val="99"/>
    <w:pPr>
      <w:widowControl w:val="0"/>
      <w:autoSpaceDE w:val="0"/>
      <w:autoSpaceDN w:val="0"/>
      <w:adjustRightInd w:val="0"/>
    </w:pPr>
    <w:rPr>
      <w:rFonts w:hint="eastAsia" w:ascii="仿宋" w:hAnsi="仿宋" w:eastAsia="仿宋" w:cs="Times New Roman"/>
      <w:color w:val="000000"/>
      <w:sz w:val="24"/>
      <w:lang w:val="en-US" w:eastAsia="zh-CN" w:bidi="ar-SA"/>
    </w:rPr>
  </w:style>
  <w:style w:type="paragraph" w:customStyle="1" w:styleId="18">
    <w:name w:val="T正文"/>
    <w:basedOn w:val="13"/>
    <w:qFormat/>
    <w:uiPriority w:val="0"/>
    <w:pPr>
      <w:spacing w:beforeAutospacing="0" w:afterAutospacing="0" w:line="440" w:lineRule="exact"/>
      <w:ind w:firstLine="1807" w:firstLineChars="200"/>
      <w:jc w:val="both"/>
    </w:pPr>
    <w:rPr>
      <w:rFonts w:ascii="Times New Roman" w:hAnsi="Times New Roman"/>
    </w:rPr>
  </w:style>
  <w:style w:type="character" w:customStyle="1" w:styleId="19">
    <w:name w:val="页眉 Char"/>
    <w:basedOn w:val="15"/>
    <w:link w:val="10"/>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24</Pages>
  <Words>10261</Words>
  <Characters>10629</Characters>
  <Lines>113</Lines>
  <Paragraphs>31</Paragraphs>
  <TotalTime>56</TotalTime>
  <ScaleCrop>false</ScaleCrop>
  <LinksUpToDate>false</LinksUpToDate>
  <CharactersWithSpaces>11079</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2024-03-12T12:06:00Z</dcterms:created>
  <dc:creator>易沐目王木木</dc:creator>
  <cp:lastModifiedBy>user</cp:lastModifiedBy>
  <cp:lastPrinted>2024-07-19T17:18:01Z</cp:lastPrinted>
  <dcterms:modified xsi:type="dcterms:W3CDTF">2024-07-19T17:18:17Z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C1D5ADE32E074904B6C59F86BAD4202A_13</vt:lpwstr>
  </property>
</Properties>
</file>