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307" w:tblpY="1342"/>
        <w:tblOverlap w:val="never"/>
        <w:tblW w:w="11310" w:type="dxa"/>
        <w:tblInd w:w="0" w:type="dxa"/>
        <w:tblLayout w:type="autofit"/>
        <w:tblCellMar>
          <w:top w:w="0" w:type="dxa"/>
          <w:left w:w="0" w:type="dxa"/>
          <w:bottom w:w="0" w:type="dxa"/>
          <w:right w:w="0" w:type="dxa"/>
        </w:tblCellMar>
      </w:tblPr>
      <w:tblGrid>
        <w:gridCol w:w="825"/>
        <w:gridCol w:w="1350"/>
        <w:gridCol w:w="1950"/>
        <w:gridCol w:w="1800"/>
        <w:gridCol w:w="1710"/>
        <w:gridCol w:w="2310"/>
        <w:gridCol w:w="1365"/>
      </w:tblGrid>
      <w:tr>
        <w:tblPrEx>
          <w:tblCellMar>
            <w:top w:w="0" w:type="dxa"/>
            <w:left w:w="0" w:type="dxa"/>
            <w:bottom w:w="0" w:type="dxa"/>
            <w:right w:w="0" w:type="dxa"/>
          </w:tblCellMar>
        </w:tblPrEx>
        <w:trPr>
          <w:trHeight w:val="1380" w:hRule="atLeast"/>
        </w:trPr>
        <w:tc>
          <w:tcPr>
            <w:tcW w:w="11310" w:type="dxa"/>
            <w:gridSpan w:val="7"/>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Style w:val="4"/>
                <w:lang w:val="en-US" w:eastAsia="zh-CN" w:bidi="ar"/>
              </w:rPr>
              <w:t>202</w:t>
            </w:r>
            <w:r>
              <w:rPr>
                <w:rStyle w:val="4"/>
                <w:rFonts w:hint="eastAsia"/>
                <w:lang w:val="en-US" w:eastAsia="zh-CN" w:bidi="ar"/>
              </w:rPr>
              <w:t>3</w:t>
            </w:r>
            <w:r>
              <w:rPr>
                <w:rStyle w:val="4"/>
                <w:lang w:val="en-US" w:eastAsia="zh-CN" w:bidi="ar"/>
              </w:rPr>
              <w:t>年</w:t>
            </w:r>
            <w:bookmarkStart w:id="0" w:name="_GoBack"/>
            <w:bookmarkEnd w:id="0"/>
            <w:r>
              <w:rPr>
                <w:rStyle w:val="4"/>
                <w:lang w:val="en-US" w:eastAsia="zh-CN" w:bidi="ar"/>
              </w:rPr>
              <w:t>度</w:t>
            </w:r>
            <w:r>
              <w:rPr>
                <w:rStyle w:val="4"/>
                <w:lang w:val="en-US" w:eastAsia="zh-CN" w:bidi="ar"/>
              </w:rPr>
              <w:t>部门整体支出绩效目标申报表</w:t>
            </w:r>
            <w:r>
              <w:rPr>
                <w:rStyle w:val="5"/>
                <w:lang w:val="en-US" w:eastAsia="zh-CN" w:bidi="ar"/>
              </w:rPr>
              <w:br w:type="textWrapping"/>
            </w:r>
          </w:p>
        </w:tc>
      </w:tr>
      <w:tr>
        <w:tblPrEx>
          <w:tblCellMar>
            <w:top w:w="0" w:type="dxa"/>
            <w:left w:w="0" w:type="dxa"/>
            <w:bottom w:w="0" w:type="dxa"/>
            <w:right w:w="0" w:type="dxa"/>
          </w:tblCellMar>
        </w:tblPrEx>
        <w:trPr>
          <w:trHeight w:val="495" w:hRule="atLeast"/>
        </w:trPr>
        <w:tc>
          <w:tcPr>
            <w:tcW w:w="11310" w:type="dxa"/>
            <w:gridSpan w:val="7"/>
            <w:tcBorders>
              <w:top w:val="nil"/>
              <w:left w:val="nil"/>
              <w:bottom w:val="nil"/>
              <w:right w:val="nil"/>
            </w:tcBorders>
            <w:noWrap w:val="0"/>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仿宋_GB2312"/>
                <w:i w:val="0"/>
                <w:color w:val="000000"/>
                <w:sz w:val="24"/>
                <w:szCs w:val="24"/>
                <w:u w:val="none"/>
              </w:rPr>
            </w:pPr>
          </w:p>
        </w:tc>
      </w:tr>
      <w:tr>
        <w:tblPrEx>
          <w:tblCellMar>
            <w:top w:w="0" w:type="dxa"/>
            <w:left w:w="0" w:type="dxa"/>
            <w:bottom w:w="0" w:type="dxa"/>
            <w:right w:w="0" w:type="dxa"/>
          </w:tblCellMar>
        </w:tblPrEx>
        <w:trPr>
          <w:trHeight w:val="585" w:hRule="atLeast"/>
        </w:trPr>
        <w:tc>
          <w:tcPr>
            <w:tcW w:w="825" w:type="dxa"/>
            <w:vMerge w:val="restart"/>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部门基本信息</w:t>
            </w:r>
          </w:p>
        </w:tc>
        <w:tc>
          <w:tcPr>
            <w:tcW w:w="1350" w:type="dxa"/>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单位名称</w:t>
            </w:r>
          </w:p>
        </w:tc>
        <w:tc>
          <w:tcPr>
            <w:tcW w:w="9135" w:type="dxa"/>
            <w:gridSpan w:val="5"/>
            <w:tcBorders>
              <w:top w:val="single" w:color="000000" w:sz="8"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湘潭县农业发展服务中心</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通讯地址</w:t>
            </w:r>
          </w:p>
        </w:tc>
        <w:tc>
          <w:tcPr>
            <w:tcW w:w="913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湘潭县易俗河镇金桂北路81号</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单位预算绩效管理联系人</w:t>
            </w:r>
          </w:p>
        </w:tc>
        <w:tc>
          <w:tcPr>
            <w:tcW w:w="37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单丹泳</w:t>
            </w:r>
          </w:p>
        </w:tc>
        <w:tc>
          <w:tcPr>
            <w:tcW w:w="1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联系电话</w:t>
            </w:r>
          </w:p>
        </w:tc>
        <w:tc>
          <w:tcPr>
            <w:tcW w:w="36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13638427218</w:t>
            </w:r>
          </w:p>
        </w:tc>
      </w:tr>
      <w:tr>
        <w:tblPrEx>
          <w:tblCellMar>
            <w:top w:w="0" w:type="dxa"/>
            <w:left w:w="0" w:type="dxa"/>
            <w:bottom w:w="0" w:type="dxa"/>
            <w:right w:w="0" w:type="dxa"/>
          </w:tblCellMar>
        </w:tblPrEx>
        <w:trPr>
          <w:trHeight w:val="58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人员编制数</w:t>
            </w:r>
          </w:p>
        </w:tc>
        <w:tc>
          <w:tcPr>
            <w:tcW w:w="37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31</w:t>
            </w:r>
          </w:p>
        </w:tc>
        <w:tc>
          <w:tcPr>
            <w:tcW w:w="1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实有人数</w:t>
            </w:r>
          </w:p>
        </w:tc>
        <w:tc>
          <w:tcPr>
            <w:tcW w:w="36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30</w:t>
            </w:r>
          </w:p>
        </w:tc>
      </w:tr>
      <w:tr>
        <w:tblPrEx>
          <w:tblCellMar>
            <w:top w:w="0" w:type="dxa"/>
            <w:left w:w="0" w:type="dxa"/>
            <w:bottom w:w="0" w:type="dxa"/>
            <w:right w:w="0" w:type="dxa"/>
          </w:tblCellMar>
        </w:tblPrEx>
        <w:trPr>
          <w:trHeight w:val="327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单位职能</w:t>
            </w:r>
          </w:p>
        </w:tc>
        <w:tc>
          <w:tcPr>
            <w:tcW w:w="913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left"/>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 xml:space="preserve">    湘潭县农业发展服务中心贯彻落实党中央关于农业发展服务工作的方针政策和决策部署，全面落实省委、市委、县委关于农业发展服务工作的部署要求，在履行职责过程中坚持和加强党对农业发展服务工作的集中统一领导。</w:t>
            </w:r>
            <w:r>
              <w:rPr>
                <w:rFonts w:hint="default" w:ascii="仿宋_GB2312" w:hAnsi="宋体" w:eastAsia="仿宋_GB2312" w:cs="仿宋_GB2312"/>
                <w:i w:val="0"/>
                <w:color w:val="000000"/>
                <w:kern w:val="0"/>
                <w:sz w:val="22"/>
                <w:szCs w:val="22"/>
                <w:u w:val="none"/>
                <w:lang w:val="en-US" w:eastAsia="zh-CN" w:bidi="ar"/>
              </w:rPr>
              <w:br w:type="textWrapping"/>
            </w:r>
            <w:r>
              <w:rPr>
                <w:rFonts w:hint="default" w:ascii="仿宋_GB2312" w:hAnsi="宋体" w:eastAsia="仿宋_GB2312" w:cs="仿宋_GB2312"/>
                <w:i w:val="0"/>
                <w:color w:val="000000"/>
                <w:kern w:val="0"/>
                <w:sz w:val="22"/>
                <w:szCs w:val="22"/>
                <w:u w:val="none"/>
                <w:lang w:val="en-US" w:eastAsia="zh-CN" w:bidi="ar"/>
              </w:rPr>
              <w:t xml:space="preserve">    1、贯彻落实农村土地承包经营制度，保护土地资源的合理开发和可持续利用，支持、引导、扶持农民合作社和家庭农场等新型农业经营主体发展。</w:t>
            </w:r>
            <w:r>
              <w:rPr>
                <w:rFonts w:hint="default" w:ascii="仿宋_GB2312" w:hAnsi="宋体" w:eastAsia="仿宋_GB2312" w:cs="仿宋_GB2312"/>
                <w:i w:val="0"/>
                <w:color w:val="000000"/>
                <w:kern w:val="0"/>
                <w:sz w:val="22"/>
                <w:szCs w:val="22"/>
                <w:u w:val="none"/>
                <w:lang w:val="en-US" w:eastAsia="zh-CN" w:bidi="ar"/>
              </w:rPr>
              <w:br w:type="textWrapping"/>
            </w:r>
            <w:r>
              <w:rPr>
                <w:rFonts w:hint="default" w:ascii="仿宋_GB2312" w:hAnsi="宋体" w:eastAsia="仿宋_GB2312" w:cs="仿宋_GB2312"/>
                <w:i w:val="0"/>
                <w:color w:val="000000"/>
                <w:kern w:val="0"/>
                <w:sz w:val="22"/>
                <w:szCs w:val="22"/>
                <w:u w:val="none"/>
                <w:lang w:val="en-US" w:eastAsia="zh-CN" w:bidi="ar"/>
              </w:rPr>
              <w:t xml:space="preserve">    2、贯彻落实农民负担相关政策，组织实施农民负担监督管理工作，配合查处涉及农民负担案（事）件。</w:t>
            </w:r>
            <w:r>
              <w:rPr>
                <w:rFonts w:hint="default" w:ascii="仿宋_GB2312" w:hAnsi="宋体" w:eastAsia="仿宋_GB2312" w:cs="仿宋_GB2312"/>
                <w:i w:val="0"/>
                <w:color w:val="000000"/>
                <w:kern w:val="0"/>
                <w:sz w:val="22"/>
                <w:szCs w:val="22"/>
                <w:u w:val="none"/>
                <w:lang w:val="en-US" w:eastAsia="zh-CN" w:bidi="ar"/>
              </w:rPr>
              <w:br w:type="textWrapping"/>
            </w:r>
            <w:r>
              <w:rPr>
                <w:rFonts w:hint="default" w:ascii="仿宋_GB2312" w:hAnsi="宋体" w:eastAsia="仿宋_GB2312" w:cs="仿宋_GB2312"/>
                <w:i w:val="0"/>
                <w:color w:val="000000"/>
                <w:kern w:val="0"/>
                <w:sz w:val="22"/>
                <w:szCs w:val="22"/>
                <w:u w:val="none"/>
                <w:lang w:val="en-US" w:eastAsia="zh-CN" w:bidi="ar"/>
              </w:rPr>
              <w:t xml:space="preserve">    3、指导农村集体经济组织财务审计工作，支持、引导、扶持村级集体经济发展。</w:t>
            </w:r>
            <w:r>
              <w:rPr>
                <w:rFonts w:hint="default" w:ascii="仿宋_GB2312" w:hAnsi="宋体" w:eastAsia="仿宋_GB2312" w:cs="仿宋_GB2312"/>
                <w:i w:val="0"/>
                <w:color w:val="000000"/>
                <w:kern w:val="0"/>
                <w:sz w:val="22"/>
                <w:szCs w:val="22"/>
                <w:u w:val="none"/>
                <w:lang w:val="en-US" w:eastAsia="zh-CN" w:bidi="ar"/>
              </w:rPr>
              <w:br w:type="textWrapping"/>
            </w:r>
            <w:r>
              <w:rPr>
                <w:rFonts w:hint="default" w:ascii="仿宋_GB2312" w:hAnsi="宋体" w:eastAsia="仿宋_GB2312" w:cs="仿宋_GB2312"/>
                <w:i w:val="0"/>
                <w:color w:val="000000"/>
                <w:kern w:val="0"/>
                <w:sz w:val="22"/>
                <w:szCs w:val="22"/>
                <w:u w:val="none"/>
                <w:lang w:val="en-US" w:eastAsia="zh-CN" w:bidi="ar"/>
              </w:rPr>
              <w:t xml:space="preserve">    4、负责全县农田建设项目的前期申报工作，并组织实施，强化后续管理。</w:t>
            </w:r>
            <w:r>
              <w:rPr>
                <w:rFonts w:hint="default" w:ascii="仿宋_GB2312" w:hAnsi="宋体" w:eastAsia="仿宋_GB2312" w:cs="仿宋_GB2312"/>
                <w:i w:val="0"/>
                <w:color w:val="000000"/>
                <w:kern w:val="0"/>
                <w:sz w:val="22"/>
                <w:szCs w:val="22"/>
                <w:u w:val="none"/>
                <w:lang w:val="en-US" w:eastAsia="zh-CN" w:bidi="ar"/>
              </w:rPr>
              <w:br w:type="textWrapping"/>
            </w:r>
            <w:r>
              <w:rPr>
                <w:rFonts w:hint="default" w:ascii="仿宋_GB2312" w:hAnsi="宋体" w:eastAsia="仿宋_GB2312" w:cs="仿宋_GB2312"/>
                <w:i w:val="0"/>
                <w:color w:val="000000"/>
                <w:kern w:val="0"/>
                <w:sz w:val="22"/>
                <w:szCs w:val="22"/>
                <w:u w:val="none"/>
                <w:lang w:val="en-US" w:eastAsia="zh-CN" w:bidi="ar"/>
              </w:rPr>
              <w:t xml:space="preserve">    5、完成县委、县政府、县农业农村局交办的其他工作任务。</w:t>
            </w:r>
          </w:p>
        </w:tc>
      </w:tr>
      <w:tr>
        <w:tblPrEx>
          <w:tblCellMar>
            <w:top w:w="0" w:type="dxa"/>
            <w:left w:w="0" w:type="dxa"/>
            <w:bottom w:w="0" w:type="dxa"/>
            <w:right w:w="0" w:type="dxa"/>
          </w:tblCellMar>
        </w:tblPrEx>
        <w:trPr>
          <w:trHeight w:val="48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48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单位年度收入预算（万元）</w:t>
            </w:r>
          </w:p>
        </w:tc>
      </w:tr>
      <w:tr>
        <w:tblPrEx>
          <w:tblCellMar>
            <w:top w:w="0" w:type="dxa"/>
            <w:left w:w="0" w:type="dxa"/>
            <w:bottom w:w="0" w:type="dxa"/>
            <w:right w:w="0" w:type="dxa"/>
          </w:tblCellMar>
        </w:tblPrEx>
        <w:trPr>
          <w:trHeight w:val="61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收入合计</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公共财政拨款</w:t>
            </w:r>
          </w:p>
        </w:tc>
        <w:tc>
          <w:tcPr>
            <w:tcW w:w="180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政府性基金拨款</w:t>
            </w:r>
          </w:p>
        </w:tc>
        <w:tc>
          <w:tcPr>
            <w:tcW w:w="1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上级补助拨款</w:t>
            </w:r>
          </w:p>
        </w:tc>
        <w:tc>
          <w:tcPr>
            <w:tcW w:w="36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其他拨款</w:t>
            </w:r>
          </w:p>
        </w:tc>
      </w:tr>
      <w:tr>
        <w:tblPrEx>
          <w:tblCellMar>
            <w:top w:w="0" w:type="dxa"/>
            <w:left w:w="0" w:type="dxa"/>
            <w:bottom w:w="0" w:type="dxa"/>
            <w:right w:w="0" w:type="dxa"/>
          </w:tblCellMar>
        </w:tblPrEx>
        <w:trPr>
          <w:trHeight w:val="52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12454.21</w:t>
            </w:r>
          </w:p>
        </w:tc>
        <w:tc>
          <w:tcPr>
            <w:tcW w:w="1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402.21</w:t>
            </w:r>
          </w:p>
        </w:tc>
        <w:tc>
          <w:tcPr>
            <w:tcW w:w="18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w:t>
            </w:r>
          </w:p>
        </w:tc>
        <w:tc>
          <w:tcPr>
            <w:tcW w:w="17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both"/>
              <w:textAlignment w:val="center"/>
              <w:rPr>
                <w:rFonts w:hint="default" w:ascii="仿宋_GB2312" w:hAnsi="宋体" w:eastAsia="仿宋_GB2312" w:cs="仿宋_GB2312"/>
                <w:i w:val="0"/>
                <w:color w:val="000000"/>
                <w:sz w:val="24"/>
                <w:szCs w:val="24"/>
                <w:u w:val="none"/>
                <w:lang w:val="en-US" w:eastAsia="zh-CN"/>
              </w:rPr>
            </w:pPr>
            <w:r>
              <w:rPr>
                <w:rFonts w:hint="eastAsia" w:ascii="仿宋_GB2312" w:hAnsi="宋体" w:eastAsia="仿宋_GB2312" w:cs="仿宋_GB2312"/>
                <w:i w:val="0"/>
                <w:color w:val="000000"/>
                <w:sz w:val="24"/>
                <w:szCs w:val="24"/>
                <w:u w:val="none"/>
                <w:lang w:val="en-US" w:eastAsia="zh-CN"/>
              </w:rPr>
              <w:t>12052.7</w:t>
            </w:r>
          </w:p>
        </w:tc>
        <w:tc>
          <w:tcPr>
            <w:tcW w:w="3675"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r>
      <w:tr>
        <w:tblPrEx>
          <w:tblCellMar>
            <w:top w:w="0" w:type="dxa"/>
            <w:left w:w="0" w:type="dxa"/>
            <w:bottom w:w="0" w:type="dxa"/>
            <w:right w:w="0" w:type="dxa"/>
          </w:tblCellMar>
        </w:tblPrEx>
        <w:trPr>
          <w:trHeight w:val="55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485" w:type="dxa"/>
            <w:gridSpan w:val="6"/>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单位年度支出预算（万元）</w:t>
            </w:r>
          </w:p>
        </w:tc>
      </w:tr>
      <w:tr>
        <w:tblPrEx>
          <w:tblCellMar>
            <w:top w:w="0" w:type="dxa"/>
            <w:left w:w="0" w:type="dxa"/>
            <w:bottom w:w="0" w:type="dxa"/>
            <w:right w:w="0" w:type="dxa"/>
          </w:tblCellMar>
        </w:tblPrEx>
        <w:trPr>
          <w:trHeight w:val="48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支出合计</w:t>
            </w:r>
          </w:p>
        </w:tc>
        <w:tc>
          <w:tcPr>
            <w:tcW w:w="37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基本支出</w:t>
            </w:r>
          </w:p>
        </w:tc>
        <w:tc>
          <w:tcPr>
            <w:tcW w:w="538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项目支出</w:t>
            </w:r>
          </w:p>
        </w:tc>
      </w:tr>
      <w:tr>
        <w:tblPrEx>
          <w:tblCellMar>
            <w:top w:w="0" w:type="dxa"/>
            <w:left w:w="0" w:type="dxa"/>
            <w:bottom w:w="0" w:type="dxa"/>
            <w:right w:w="0" w:type="dxa"/>
          </w:tblCellMar>
        </w:tblPrEx>
        <w:trPr>
          <w:trHeight w:val="54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12454.21</w:t>
            </w:r>
          </w:p>
        </w:tc>
        <w:tc>
          <w:tcPr>
            <w:tcW w:w="3750"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4"/>
                <w:szCs w:val="24"/>
                <w:u w:val="none"/>
                <w:lang w:val="en-US"/>
              </w:rPr>
            </w:pPr>
            <w:r>
              <w:rPr>
                <w:rFonts w:hint="eastAsia" w:ascii="宋体" w:hAnsi="宋体" w:cs="宋体"/>
                <w:i w:val="0"/>
                <w:color w:val="000000"/>
                <w:kern w:val="0"/>
                <w:sz w:val="24"/>
                <w:szCs w:val="24"/>
                <w:u w:val="none"/>
                <w:lang w:val="en-US" w:eastAsia="zh-CN" w:bidi="ar"/>
              </w:rPr>
              <w:t>402.21</w:t>
            </w:r>
          </w:p>
        </w:tc>
        <w:tc>
          <w:tcPr>
            <w:tcW w:w="5385" w:type="dxa"/>
            <w:gridSpan w:val="3"/>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lang w:val="en-US"/>
              </w:rPr>
            </w:pPr>
            <w:r>
              <w:rPr>
                <w:rFonts w:hint="eastAsia" w:ascii="仿宋_GB2312" w:hAnsi="宋体" w:eastAsia="仿宋_GB2312" w:cs="仿宋_GB2312"/>
                <w:i w:val="0"/>
                <w:color w:val="000000"/>
                <w:kern w:val="0"/>
                <w:sz w:val="24"/>
                <w:szCs w:val="24"/>
                <w:u w:val="none"/>
                <w:lang w:val="en-US" w:eastAsia="zh-CN" w:bidi="ar"/>
              </w:rPr>
              <w:t>12052.7</w:t>
            </w:r>
          </w:p>
        </w:tc>
      </w:tr>
      <w:tr>
        <w:tblPrEx>
          <w:tblCellMar>
            <w:top w:w="0" w:type="dxa"/>
            <w:left w:w="0" w:type="dxa"/>
            <w:bottom w:w="0" w:type="dxa"/>
            <w:right w:w="0" w:type="dxa"/>
          </w:tblCellMar>
        </w:tblPrEx>
        <w:trPr>
          <w:trHeight w:val="51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其中</w:t>
            </w:r>
          </w:p>
        </w:tc>
        <w:tc>
          <w:tcPr>
            <w:tcW w:w="913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b/>
                <w:i w:val="0"/>
                <w:color w:val="000000"/>
                <w:sz w:val="24"/>
                <w:szCs w:val="24"/>
                <w:u w:val="none"/>
              </w:rPr>
            </w:pPr>
            <w:r>
              <w:rPr>
                <w:rFonts w:hint="default" w:ascii="仿宋_GB2312" w:hAnsi="宋体" w:eastAsia="仿宋_GB2312" w:cs="仿宋_GB2312"/>
                <w:b/>
                <w:i w:val="0"/>
                <w:color w:val="000000"/>
                <w:kern w:val="0"/>
                <w:sz w:val="24"/>
                <w:szCs w:val="24"/>
                <w:u w:val="none"/>
                <w:lang w:val="en-US" w:eastAsia="zh-CN" w:bidi="ar"/>
              </w:rPr>
              <w:t>三公经费预算（万元）</w:t>
            </w:r>
          </w:p>
        </w:tc>
      </w:tr>
      <w:tr>
        <w:tblPrEx>
          <w:tblCellMar>
            <w:top w:w="0" w:type="dxa"/>
            <w:left w:w="0" w:type="dxa"/>
            <w:bottom w:w="0" w:type="dxa"/>
            <w:right w:w="0" w:type="dxa"/>
          </w:tblCellMar>
        </w:tblPrEx>
        <w:trPr>
          <w:trHeight w:val="435"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合计</w:t>
            </w:r>
          </w:p>
        </w:tc>
        <w:tc>
          <w:tcPr>
            <w:tcW w:w="37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公务用车运行和购置费</w:t>
            </w:r>
          </w:p>
        </w:tc>
        <w:tc>
          <w:tcPr>
            <w:tcW w:w="40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因公出国（境）费</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公务接待费</w:t>
            </w:r>
          </w:p>
        </w:tc>
      </w:tr>
      <w:tr>
        <w:tblPrEx>
          <w:tblCellMar>
            <w:top w:w="0" w:type="dxa"/>
            <w:left w:w="0" w:type="dxa"/>
            <w:bottom w:w="0" w:type="dxa"/>
            <w:right w:w="0" w:type="dxa"/>
          </w:tblCellMar>
        </w:tblPrEx>
        <w:trPr>
          <w:trHeight w:val="450" w:hRule="atLeast"/>
        </w:trPr>
        <w:tc>
          <w:tcPr>
            <w:tcW w:w="825" w:type="dxa"/>
            <w:vMerge w:val="continue"/>
            <w:tcBorders>
              <w:top w:val="single" w:color="000000" w:sz="8"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0</w:t>
            </w:r>
          </w:p>
        </w:tc>
        <w:tc>
          <w:tcPr>
            <w:tcW w:w="375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402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0</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eastAsia" w:ascii="仿宋_GB2312" w:hAnsi="宋体" w:eastAsia="仿宋_GB2312" w:cs="仿宋_GB2312"/>
                <w:i w:val="0"/>
                <w:color w:val="000000"/>
                <w:kern w:val="0"/>
                <w:sz w:val="24"/>
                <w:szCs w:val="24"/>
                <w:u w:val="none"/>
                <w:lang w:val="en-US" w:eastAsia="zh-CN" w:bidi="ar"/>
              </w:rPr>
              <w:t>2</w:t>
            </w:r>
          </w:p>
        </w:tc>
      </w:tr>
      <w:tr>
        <w:tblPrEx>
          <w:tblCellMar>
            <w:top w:w="0" w:type="dxa"/>
            <w:left w:w="0" w:type="dxa"/>
            <w:bottom w:w="0" w:type="dxa"/>
            <w:right w:w="0" w:type="dxa"/>
          </w:tblCellMar>
        </w:tblPrEx>
        <w:trPr>
          <w:trHeight w:val="600" w:hRule="atLeast"/>
        </w:trPr>
        <w:tc>
          <w:tcPr>
            <w:tcW w:w="825"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整体</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支出</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绩效</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目标</w:t>
            </w:r>
          </w:p>
        </w:tc>
        <w:tc>
          <w:tcPr>
            <w:tcW w:w="10485" w:type="dxa"/>
            <w:gridSpan w:val="6"/>
            <w:vMerge w:val="restart"/>
            <w:tcBorders>
              <w:top w:val="single" w:color="000000" w:sz="4" w:space="0"/>
              <w:left w:val="single" w:color="000000" w:sz="4" w:space="0"/>
              <w:bottom w:val="nil"/>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1、保障机关正常运转；2、推进高标准农田建设；3、实施优势特色产业培育工程；4、推进现代农业示范区建设；5、开展农村改革深化行动；6、经费支出严格按年初预算执行，做到人员不超编、经费执行不超预算；7、完成县委、县政府、县农业农村局交办的其他工作任务。</w:t>
            </w:r>
          </w:p>
        </w:tc>
      </w:tr>
      <w:tr>
        <w:tblPrEx>
          <w:tblCellMar>
            <w:top w:w="0" w:type="dxa"/>
            <w:left w:w="0" w:type="dxa"/>
            <w:bottom w:w="0" w:type="dxa"/>
            <w:right w:w="0" w:type="dxa"/>
          </w:tblCellMar>
        </w:tblPrEx>
        <w:trPr>
          <w:trHeight w:val="46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485" w:type="dxa"/>
            <w:gridSpan w:val="6"/>
            <w:vMerge w:val="continue"/>
            <w:tcBorders>
              <w:top w:val="single" w:color="000000" w:sz="4" w:space="0"/>
              <w:left w:val="single" w:color="000000" w:sz="4" w:space="0"/>
              <w:bottom w:val="nil"/>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CellMar>
            <w:top w:w="0" w:type="dxa"/>
            <w:left w:w="0" w:type="dxa"/>
            <w:bottom w:w="0" w:type="dxa"/>
            <w:right w:w="0" w:type="dxa"/>
          </w:tblCellMar>
        </w:tblPrEx>
        <w:trPr>
          <w:trHeight w:val="30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485" w:type="dxa"/>
            <w:gridSpan w:val="6"/>
            <w:vMerge w:val="continue"/>
            <w:tcBorders>
              <w:top w:val="single" w:color="000000" w:sz="4" w:space="0"/>
              <w:left w:val="single" w:color="000000" w:sz="4" w:space="0"/>
              <w:bottom w:val="nil"/>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CellMar>
            <w:top w:w="0" w:type="dxa"/>
            <w:left w:w="0" w:type="dxa"/>
            <w:bottom w:w="0" w:type="dxa"/>
            <w:right w:w="0" w:type="dxa"/>
          </w:tblCellMar>
        </w:tblPrEx>
        <w:trPr>
          <w:trHeight w:val="2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0485" w:type="dxa"/>
            <w:gridSpan w:val="6"/>
            <w:vMerge w:val="continue"/>
            <w:tcBorders>
              <w:top w:val="single" w:color="000000" w:sz="4" w:space="0"/>
              <w:left w:val="single" w:color="000000" w:sz="4" w:space="0"/>
              <w:bottom w:val="nil"/>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r>
      <w:tr>
        <w:tblPrEx>
          <w:tblCellMar>
            <w:top w:w="0" w:type="dxa"/>
            <w:left w:w="0" w:type="dxa"/>
            <w:bottom w:w="0" w:type="dxa"/>
            <w:right w:w="0" w:type="dxa"/>
          </w:tblCellMar>
        </w:tblPrEx>
        <w:trPr>
          <w:trHeight w:val="510" w:hRule="atLeast"/>
        </w:trPr>
        <w:tc>
          <w:tcPr>
            <w:tcW w:w="825" w:type="dxa"/>
            <w:vMerge w:val="restart"/>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门</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整</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体</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支</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出</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年</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度</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绩</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效</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指</w:t>
            </w:r>
            <w:r>
              <w:rPr>
                <w:rFonts w:hint="eastAsia" w:ascii="宋体" w:hAnsi="宋体" w:eastAsia="宋体" w:cs="宋体"/>
                <w:b/>
                <w:i w:val="0"/>
                <w:color w:val="000000"/>
                <w:kern w:val="0"/>
                <w:sz w:val="24"/>
                <w:szCs w:val="24"/>
                <w:u w:val="none"/>
                <w:lang w:val="en-US" w:eastAsia="zh-CN" w:bidi="ar"/>
              </w:rPr>
              <w:br w:type="textWrapping"/>
            </w:r>
            <w:r>
              <w:rPr>
                <w:rFonts w:hint="eastAsia" w:ascii="宋体" w:hAnsi="宋体" w:eastAsia="宋体" w:cs="宋体"/>
                <w:b/>
                <w:i w:val="0"/>
                <w:color w:val="000000"/>
                <w:kern w:val="0"/>
                <w:sz w:val="24"/>
                <w:szCs w:val="24"/>
                <w:u w:val="none"/>
                <w:lang w:val="en-US" w:eastAsia="zh-CN" w:bidi="ar"/>
              </w:rPr>
              <w:t>标</w:t>
            </w:r>
          </w:p>
        </w:tc>
        <w:tc>
          <w:tcPr>
            <w:tcW w:w="13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0"/>
                <w:szCs w:val="20"/>
                <w:u w:val="none"/>
              </w:rPr>
            </w:pPr>
            <w:r>
              <w:rPr>
                <w:rFonts w:hint="default" w:ascii="仿宋_GB2312" w:hAnsi="宋体" w:eastAsia="仿宋_GB2312" w:cs="仿宋_GB2312"/>
                <w:i w:val="0"/>
                <w:color w:val="000000"/>
                <w:kern w:val="0"/>
                <w:sz w:val="20"/>
                <w:szCs w:val="20"/>
                <w:u w:val="none"/>
                <w:lang w:val="en-US" w:eastAsia="zh-CN" w:bidi="ar"/>
              </w:rPr>
              <w:t>一级指标</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二级指标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指标内容</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指标值</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备注</w:t>
            </w:r>
          </w:p>
        </w:tc>
      </w:tr>
      <w:tr>
        <w:tblPrEx>
          <w:tblCellMar>
            <w:top w:w="0" w:type="dxa"/>
            <w:left w:w="0" w:type="dxa"/>
            <w:bottom w:w="0" w:type="dxa"/>
            <w:right w:w="0" w:type="dxa"/>
          </w:tblCellMar>
        </w:tblPrEx>
        <w:trPr>
          <w:trHeight w:val="513"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产出指标</w:t>
            </w:r>
          </w:p>
        </w:tc>
        <w:tc>
          <w:tcPr>
            <w:tcW w:w="1950"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数量指标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人员编制数</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31</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46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完成高标准农田建设任务数</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6.6</w:t>
            </w:r>
            <w:r>
              <w:rPr>
                <w:rFonts w:hint="default" w:ascii="仿宋_GB2312" w:hAnsi="宋体" w:eastAsia="仿宋_GB2312" w:cs="仿宋_GB2312"/>
                <w:i w:val="0"/>
                <w:color w:val="000000"/>
                <w:kern w:val="0"/>
                <w:sz w:val="22"/>
                <w:szCs w:val="22"/>
                <w:u w:val="none"/>
                <w:lang w:val="en-US" w:eastAsia="zh-CN" w:bidi="ar"/>
              </w:rPr>
              <w:t>万亩</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45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其中高效节水灌溉面积</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2</w:t>
            </w:r>
            <w:r>
              <w:rPr>
                <w:rFonts w:hint="default" w:ascii="仿宋_GB2312" w:hAnsi="宋体" w:eastAsia="仿宋_GB2312" w:cs="仿宋_GB2312"/>
                <w:i w:val="0"/>
                <w:color w:val="000000"/>
                <w:kern w:val="0"/>
                <w:sz w:val="22"/>
                <w:szCs w:val="22"/>
                <w:u w:val="none"/>
                <w:lang w:val="en-US" w:eastAsia="zh-CN" w:bidi="ar"/>
              </w:rPr>
              <w:t>万亩</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70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推进现代示范区建设和种植结构调整，力争土地流转率达标</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63</w:t>
            </w:r>
            <w:r>
              <w:rPr>
                <w:rFonts w:hint="default" w:ascii="仿宋_GB2312" w:hAnsi="宋体" w:eastAsia="仿宋_GB2312" w:cs="仿宋_GB2312"/>
                <w:i w:val="0"/>
                <w:color w:val="000000"/>
                <w:kern w:val="0"/>
                <w:sz w:val="22"/>
                <w:szCs w:val="22"/>
                <w:u w:val="none"/>
                <w:lang w:val="en-US" w:eastAsia="zh-CN" w:bidi="ar"/>
              </w:rPr>
              <w:t>%</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1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培育市级以上示范合作社、示范家庭农场</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27</w:t>
            </w:r>
            <w:r>
              <w:rPr>
                <w:rFonts w:hint="default" w:ascii="仿宋_GB2312" w:hAnsi="宋体" w:eastAsia="仿宋_GB2312" w:cs="仿宋_GB2312"/>
                <w:i w:val="0"/>
                <w:color w:val="000000"/>
                <w:kern w:val="0"/>
                <w:sz w:val="22"/>
                <w:szCs w:val="22"/>
                <w:u w:val="none"/>
                <w:lang w:val="en-US" w:eastAsia="zh-CN" w:bidi="ar"/>
              </w:rPr>
              <w:t>家</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43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新型经营主体培育项目</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5</w:t>
            </w:r>
            <w:r>
              <w:rPr>
                <w:rFonts w:hint="default" w:ascii="仿宋_GB2312" w:hAnsi="宋体" w:eastAsia="仿宋_GB2312" w:cs="仿宋_GB2312"/>
                <w:i w:val="0"/>
                <w:color w:val="000000"/>
                <w:kern w:val="0"/>
                <w:sz w:val="22"/>
                <w:szCs w:val="22"/>
                <w:u w:val="none"/>
                <w:lang w:val="en-US" w:eastAsia="zh-CN" w:bidi="ar"/>
              </w:rPr>
              <w:t>个</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质量指标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做到人员编制数不超编</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31</w:t>
            </w:r>
            <w:r>
              <w:rPr>
                <w:rFonts w:hint="default" w:ascii="仿宋_GB2312" w:hAnsi="宋体" w:eastAsia="仿宋_GB2312" w:cs="仿宋_GB2312"/>
                <w:i w:val="0"/>
                <w:color w:val="000000"/>
                <w:kern w:val="0"/>
                <w:sz w:val="22"/>
                <w:szCs w:val="22"/>
                <w:u w:val="none"/>
                <w:lang w:val="en-US" w:eastAsia="zh-CN" w:bidi="ar"/>
              </w:rPr>
              <w:t>人</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及时足额发放工资补助</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按月发放</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2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基本完成土地确权工作</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100%</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2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积极培育新型经营主体</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100%</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8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高标准农田建设</w:t>
            </w:r>
            <w:r>
              <w:rPr>
                <w:rFonts w:hint="default" w:ascii="仿宋_GB2312" w:hAnsi="宋体" w:eastAsia="仿宋_GB2312" w:cs="仿宋_GB2312"/>
                <w:i w:val="0"/>
                <w:color w:val="000000"/>
                <w:kern w:val="0"/>
                <w:sz w:val="22"/>
                <w:szCs w:val="22"/>
                <w:u w:val="none"/>
                <w:lang w:val="en-US" w:eastAsia="zh-CN" w:bidi="ar"/>
              </w:rPr>
              <w:t>无质量安全事故发生</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0</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8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lang w:val="en-US"/>
              </w:rPr>
            </w:pPr>
            <w:r>
              <w:rPr>
                <w:rFonts w:hint="eastAsia" w:ascii="仿宋_GB2312" w:hAnsi="宋体" w:eastAsia="仿宋_GB2312" w:cs="仿宋_GB2312"/>
                <w:i w:val="0"/>
                <w:color w:val="000000"/>
                <w:kern w:val="0"/>
                <w:sz w:val="22"/>
                <w:szCs w:val="22"/>
                <w:u w:val="none"/>
                <w:lang w:val="en-US" w:eastAsia="zh-CN" w:bidi="ar"/>
              </w:rPr>
              <w:t>无群众上访事件发生</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0</w:t>
            </w:r>
          </w:p>
        </w:tc>
        <w:tc>
          <w:tcPr>
            <w:tcW w:w="1365"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42"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时效指标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基本支出</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202</w:t>
            </w:r>
            <w:r>
              <w:rPr>
                <w:rFonts w:hint="eastAsia" w:ascii="仿宋_GB2312" w:hAnsi="宋体" w:eastAsia="仿宋_GB2312" w:cs="仿宋_GB2312"/>
                <w:i w:val="0"/>
                <w:color w:val="000000"/>
                <w:kern w:val="0"/>
                <w:sz w:val="22"/>
                <w:szCs w:val="22"/>
                <w:u w:val="none"/>
                <w:lang w:val="en-US" w:eastAsia="zh-CN" w:bidi="ar"/>
              </w:rPr>
              <w:t>3</w:t>
            </w:r>
            <w:r>
              <w:rPr>
                <w:rFonts w:hint="default" w:ascii="仿宋_GB2312" w:hAnsi="宋体" w:eastAsia="仿宋_GB2312" w:cs="仿宋_GB2312"/>
                <w:i w:val="0"/>
                <w:color w:val="000000"/>
                <w:kern w:val="0"/>
                <w:sz w:val="22"/>
                <w:szCs w:val="22"/>
                <w:u w:val="none"/>
                <w:lang w:val="en-US" w:eastAsia="zh-CN" w:bidi="ar"/>
              </w:rPr>
              <w:t>年1月-12月</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42"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项目支出</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202</w:t>
            </w:r>
            <w:r>
              <w:rPr>
                <w:rFonts w:hint="eastAsia" w:ascii="仿宋_GB2312" w:hAnsi="宋体" w:eastAsia="仿宋_GB2312" w:cs="仿宋_GB2312"/>
                <w:i w:val="0"/>
                <w:color w:val="000000"/>
                <w:kern w:val="0"/>
                <w:sz w:val="22"/>
                <w:szCs w:val="22"/>
                <w:u w:val="none"/>
                <w:lang w:val="en-US" w:eastAsia="zh-CN" w:bidi="ar"/>
              </w:rPr>
              <w:t>3</w:t>
            </w:r>
            <w:r>
              <w:rPr>
                <w:rFonts w:hint="default" w:ascii="仿宋_GB2312" w:hAnsi="宋体" w:eastAsia="仿宋_GB2312" w:cs="仿宋_GB2312"/>
                <w:i w:val="0"/>
                <w:color w:val="000000"/>
                <w:kern w:val="0"/>
                <w:sz w:val="22"/>
                <w:szCs w:val="22"/>
                <w:u w:val="none"/>
                <w:lang w:val="en-US" w:eastAsia="zh-CN" w:bidi="ar"/>
              </w:rPr>
              <w:t>年1月-12月</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42"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高标准农田建设工</w:t>
            </w:r>
            <w:r>
              <w:rPr>
                <w:rFonts w:hint="eastAsia" w:ascii="仿宋_GB2312" w:hAnsi="宋体" w:eastAsia="仿宋_GB2312" w:cs="仿宋_GB2312"/>
                <w:i w:val="0"/>
                <w:color w:val="000000"/>
                <w:kern w:val="0"/>
                <w:sz w:val="22"/>
                <w:szCs w:val="22"/>
                <w:u w:val="none"/>
                <w:lang w:val="en-US" w:eastAsia="zh-CN" w:bidi="ar"/>
              </w:rPr>
              <w:t>程</w:t>
            </w:r>
            <w:r>
              <w:rPr>
                <w:rFonts w:hint="default" w:ascii="仿宋_GB2312" w:hAnsi="宋体" w:eastAsia="仿宋_GB2312" w:cs="仿宋_GB2312"/>
                <w:i w:val="0"/>
                <w:color w:val="000000"/>
                <w:kern w:val="0"/>
                <w:sz w:val="22"/>
                <w:szCs w:val="22"/>
                <w:u w:val="none"/>
                <w:lang w:val="en-US" w:eastAsia="zh-CN" w:bidi="ar"/>
              </w:rPr>
              <w:t>按计划时间完成初步设计、计划批复等工作</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202</w:t>
            </w:r>
            <w:r>
              <w:rPr>
                <w:rFonts w:hint="eastAsia" w:ascii="仿宋_GB2312" w:hAnsi="宋体" w:eastAsia="仿宋_GB2312" w:cs="仿宋_GB2312"/>
                <w:i w:val="0"/>
                <w:color w:val="000000"/>
                <w:kern w:val="0"/>
                <w:sz w:val="22"/>
                <w:szCs w:val="22"/>
                <w:u w:val="none"/>
                <w:lang w:val="en-US" w:eastAsia="zh-CN" w:bidi="ar"/>
              </w:rPr>
              <w:t>3</w:t>
            </w:r>
            <w:r>
              <w:rPr>
                <w:rFonts w:hint="default" w:ascii="仿宋_GB2312" w:hAnsi="宋体" w:eastAsia="仿宋_GB2312" w:cs="仿宋_GB2312"/>
                <w:i w:val="0"/>
                <w:color w:val="000000"/>
                <w:kern w:val="0"/>
                <w:sz w:val="22"/>
                <w:szCs w:val="22"/>
                <w:u w:val="none"/>
                <w:lang w:val="en-US" w:eastAsia="zh-CN" w:bidi="ar"/>
              </w:rPr>
              <w:t>年5月底前</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642"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高标准农田建设</w:t>
            </w:r>
            <w:r>
              <w:rPr>
                <w:rFonts w:hint="eastAsia" w:ascii="仿宋_GB2312" w:hAnsi="宋体" w:eastAsia="仿宋_GB2312" w:cs="仿宋_GB2312"/>
                <w:i w:val="0"/>
                <w:color w:val="000000"/>
                <w:kern w:val="0"/>
                <w:sz w:val="22"/>
                <w:szCs w:val="22"/>
                <w:u w:val="none"/>
                <w:lang w:val="en-US" w:eastAsia="zh-CN" w:bidi="ar"/>
              </w:rPr>
              <w:t>工程</w:t>
            </w:r>
            <w:r>
              <w:rPr>
                <w:rFonts w:hint="default" w:ascii="仿宋_GB2312" w:hAnsi="宋体" w:eastAsia="仿宋_GB2312" w:cs="仿宋_GB2312"/>
                <w:i w:val="0"/>
                <w:color w:val="000000"/>
                <w:kern w:val="0"/>
                <w:sz w:val="22"/>
                <w:szCs w:val="22"/>
                <w:u w:val="none"/>
                <w:lang w:val="en-US" w:eastAsia="zh-CN" w:bidi="ar"/>
              </w:rPr>
              <w:t>按计划时间完成工程招标</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202</w:t>
            </w:r>
            <w:r>
              <w:rPr>
                <w:rFonts w:hint="eastAsia" w:ascii="仿宋_GB2312" w:hAnsi="宋体" w:eastAsia="仿宋_GB2312" w:cs="仿宋_GB2312"/>
                <w:i w:val="0"/>
                <w:color w:val="000000"/>
                <w:kern w:val="0"/>
                <w:sz w:val="22"/>
                <w:szCs w:val="22"/>
                <w:u w:val="none"/>
                <w:lang w:val="en-US" w:eastAsia="zh-CN" w:bidi="ar"/>
              </w:rPr>
              <w:t>3</w:t>
            </w:r>
            <w:r>
              <w:rPr>
                <w:rFonts w:hint="default" w:ascii="仿宋_GB2312" w:hAnsi="宋体" w:eastAsia="仿宋_GB2312" w:cs="仿宋_GB2312"/>
                <w:i w:val="0"/>
                <w:color w:val="000000"/>
                <w:kern w:val="0"/>
                <w:sz w:val="22"/>
                <w:szCs w:val="22"/>
                <w:u w:val="none"/>
                <w:lang w:val="en-US" w:eastAsia="zh-CN" w:bidi="ar"/>
              </w:rPr>
              <w:t>年10月底前</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8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高标准农田建设</w:t>
            </w:r>
            <w:r>
              <w:rPr>
                <w:rFonts w:hint="eastAsia" w:ascii="仿宋_GB2312" w:hAnsi="宋体" w:eastAsia="仿宋_GB2312" w:cs="仿宋_GB2312"/>
                <w:i w:val="0"/>
                <w:color w:val="000000"/>
                <w:kern w:val="0"/>
                <w:sz w:val="22"/>
                <w:szCs w:val="22"/>
                <w:u w:val="none"/>
                <w:lang w:val="en-US" w:eastAsia="zh-CN" w:bidi="ar"/>
              </w:rPr>
              <w:t>工程</w:t>
            </w:r>
            <w:r>
              <w:rPr>
                <w:rFonts w:hint="default" w:ascii="仿宋_GB2312" w:hAnsi="宋体" w:eastAsia="仿宋_GB2312" w:cs="仿宋_GB2312"/>
                <w:i w:val="0"/>
                <w:color w:val="000000"/>
                <w:kern w:val="0"/>
                <w:sz w:val="22"/>
                <w:szCs w:val="22"/>
                <w:u w:val="none"/>
                <w:lang w:val="en-US" w:eastAsia="zh-CN" w:bidi="ar"/>
              </w:rPr>
              <w:t>按计划时间开工</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202</w:t>
            </w:r>
            <w:r>
              <w:rPr>
                <w:rFonts w:hint="eastAsia" w:ascii="仿宋_GB2312" w:hAnsi="宋体" w:eastAsia="仿宋_GB2312" w:cs="仿宋_GB2312"/>
                <w:i w:val="0"/>
                <w:color w:val="000000"/>
                <w:kern w:val="0"/>
                <w:sz w:val="22"/>
                <w:szCs w:val="22"/>
                <w:u w:val="none"/>
                <w:lang w:val="en-US" w:eastAsia="zh-CN" w:bidi="ar"/>
              </w:rPr>
              <w:t>3</w:t>
            </w:r>
            <w:r>
              <w:rPr>
                <w:rFonts w:hint="default" w:ascii="仿宋_GB2312" w:hAnsi="宋体" w:eastAsia="仿宋_GB2312" w:cs="仿宋_GB2312"/>
                <w:i w:val="0"/>
                <w:color w:val="000000"/>
                <w:kern w:val="0"/>
                <w:sz w:val="22"/>
                <w:szCs w:val="22"/>
                <w:u w:val="none"/>
                <w:lang w:val="en-US" w:eastAsia="zh-CN" w:bidi="ar"/>
              </w:rPr>
              <w:t>年10月底前</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restart"/>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成本指标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lang w:val="en-US"/>
              </w:rPr>
            </w:pPr>
            <w:r>
              <w:rPr>
                <w:rFonts w:hint="eastAsia" w:ascii="仿宋_GB2312" w:hAnsi="宋体" w:eastAsia="仿宋_GB2312" w:cs="仿宋_GB2312"/>
                <w:i w:val="0"/>
                <w:color w:val="000000"/>
                <w:kern w:val="0"/>
                <w:sz w:val="22"/>
                <w:szCs w:val="22"/>
                <w:u w:val="none"/>
                <w:lang w:val="en-US" w:eastAsia="zh-CN" w:bidi="ar"/>
              </w:rPr>
              <w:t>基本支出</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401.39</w:t>
            </w:r>
            <w:r>
              <w:rPr>
                <w:rFonts w:hint="default" w:ascii="仿宋_GB2312" w:hAnsi="宋体" w:eastAsia="仿宋_GB2312" w:cs="仿宋_GB2312"/>
                <w:i w:val="0"/>
                <w:color w:val="000000"/>
                <w:kern w:val="0"/>
                <w:sz w:val="22"/>
                <w:szCs w:val="22"/>
                <w:u w:val="none"/>
                <w:lang w:val="en-US" w:eastAsia="zh-CN" w:bidi="ar"/>
              </w:rPr>
              <w:t>万元</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lang w:val="en-US"/>
              </w:rPr>
            </w:pPr>
            <w:r>
              <w:rPr>
                <w:rFonts w:hint="eastAsia" w:ascii="仿宋_GB2312" w:hAnsi="宋体" w:eastAsia="仿宋_GB2312" w:cs="仿宋_GB2312"/>
                <w:i w:val="0"/>
                <w:color w:val="000000"/>
                <w:kern w:val="0"/>
                <w:sz w:val="22"/>
                <w:szCs w:val="22"/>
                <w:u w:val="none"/>
                <w:lang w:val="en-US" w:eastAsia="zh-CN" w:bidi="ar"/>
              </w:rPr>
              <w:t>高标准农田项目支出</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4"/>
                <w:szCs w:val="24"/>
                <w:u w:val="none"/>
                <w:lang w:val="en-US" w:eastAsia="zh-CN" w:bidi="ar"/>
              </w:rPr>
              <w:t>16770.5</w:t>
            </w:r>
            <w:r>
              <w:rPr>
                <w:rFonts w:hint="default" w:ascii="仿宋_GB2312" w:hAnsi="宋体" w:eastAsia="仿宋_GB2312" w:cs="仿宋_GB2312"/>
                <w:i w:val="0"/>
                <w:color w:val="000000"/>
                <w:kern w:val="0"/>
                <w:sz w:val="22"/>
                <w:szCs w:val="22"/>
                <w:u w:val="none"/>
                <w:lang w:val="en-US" w:eastAsia="zh-CN" w:bidi="ar"/>
              </w:rPr>
              <w:t>万元</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lang w:val="en-US"/>
              </w:rPr>
            </w:pPr>
            <w:r>
              <w:rPr>
                <w:rFonts w:hint="eastAsia" w:ascii="仿宋_GB2312" w:hAnsi="宋体" w:eastAsia="仿宋_GB2312" w:cs="仿宋_GB2312"/>
                <w:i w:val="0"/>
                <w:color w:val="000000"/>
                <w:kern w:val="0"/>
                <w:sz w:val="22"/>
                <w:szCs w:val="22"/>
                <w:u w:val="none"/>
                <w:lang w:val="en-US" w:eastAsia="zh-CN" w:bidi="ar"/>
              </w:rPr>
              <w:t>土地仲裁经费</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8</w:t>
            </w:r>
            <w:r>
              <w:rPr>
                <w:rFonts w:hint="default" w:ascii="仿宋_GB2312" w:hAnsi="宋体" w:eastAsia="仿宋_GB2312" w:cs="仿宋_GB2312"/>
                <w:i w:val="0"/>
                <w:color w:val="000000"/>
                <w:kern w:val="0"/>
                <w:sz w:val="22"/>
                <w:szCs w:val="22"/>
                <w:u w:val="none"/>
                <w:lang w:val="en-US" w:eastAsia="zh-CN" w:bidi="ar"/>
              </w:rPr>
              <w:t>万元</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lang w:val="en-US" w:eastAsia="zh-CN"/>
              </w:rPr>
            </w:pPr>
            <w:r>
              <w:rPr>
                <w:rFonts w:hint="eastAsia" w:ascii="仿宋_GB2312" w:hAnsi="宋体" w:eastAsia="仿宋_GB2312" w:cs="仿宋_GB2312"/>
                <w:i w:val="0"/>
                <w:color w:val="000000"/>
                <w:sz w:val="22"/>
                <w:szCs w:val="22"/>
                <w:u w:val="none"/>
                <w:lang w:val="en-US" w:eastAsia="zh-CN"/>
              </w:rPr>
              <w:t>农民减负工作经费</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6.6</w:t>
            </w:r>
            <w:r>
              <w:rPr>
                <w:rFonts w:hint="default" w:ascii="仿宋_GB2312" w:hAnsi="宋体" w:eastAsia="仿宋_GB2312" w:cs="仿宋_GB2312"/>
                <w:i w:val="0"/>
                <w:color w:val="000000"/>
                <w:kern w:val="0"/>
                <w:sz w:val="22"/>
                <w:szCs w:val="22"/>
                <w:u w:val="none"/>
                <w:lang w:val="en-US" w:eastAsia="zh-CN" w:bidi="ar"/>
              </w:rPr>
              <w:t>万元</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nil"/>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新型经营主体示范创建经费</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186</w:t>
            </w:r>
            <w:r>
              <w:rPr>
                <w:rFonts w:hint="default" w:ascii="仿宋_GB2312" w:hAnsi="宋体" w:eastAsia="仿宋_GB2312" w:cs="仿宋_GB2312"/>
                <w:i w:val="0"/>
                <w:color w:val="000000"/>
                <w:kern w:val="0"/>
                <w:sz w:val="22"/>
                <w:szCs w:val="22"/>
                <w:u w:val="none"/>
                <w:lang w:val="en-US" w:eastAsia="zh-CN" w:bidi="ar"/>
              </w:rPr>
              <w:t>万元</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1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效益指标</w:t>
            </w: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经济效益指标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农业生产条件及生态环境改善</w:t>
            </w:r>
          </w:p>
        </w:tc>
        <w:tc>
          <w:tcPr>
            <w:tcW w:w="2310" w:type="dxa"/>
            <w:tcBorders>
              <w:top w:val="single" w:color="000000" w:sz="4" w:space="0"/>
              <w:left w:val="single" w:color="000000" w:sz="4" w:space="0"/>
              <w:bottom w:val="single" w:color="000000" w:sz="4" w:space="0"/>
              <w:right w:val="nil"/>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得到明显改善</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36"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社会效益指标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粮食综合生产能力</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仿宋_GB2312" w:hAnsi="宋体" w:eastAsia="仿宋_GB2312" w:cs="仿宋_GB2312"/>
                <w:i w:val="0"/>
                <w:color w:val="000000"/>
                <w:kern w:val="0"/>
                <w:sz w:val="22"/>
                <w:szCs w:val="22"/>
                <w:u w:val="none"/>
                <w:lang w:val="en-US" w:eastAsia="zh-CN" w:bidi="ar"/>
              </w:rPr>
              <w:t>逐步提高</w:t>
            </w:r>
          </w:p>
        </w:tc>
        <w:tc>
          <w:tcPr>
            <w:tcW w:w="136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56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实现农产品产值增值、增收的作用</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较大</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84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eastAsia" w:ascii="仿宋_GB2312" w:hAnsi="宋体" w:eastAsia="仿宋_GB2312" w:cs="仿宋_GB2312"/>
                <w:i w:val="0"/>
                <w:color w:val="000000"/>
                <w:kern w:val="0"/>
                <w:sz w:val="22"/>
                <w:szCs w:val="22"/>
                <w:u w:val="none"/>
                <w:lang w:val="en-US" w:eastAsia="zh-CN" w:bidi="ar"/>
              </w:rPr>
              <w:t>通过</w:t>
            </w:r>
            <w:r>
              <w:rPr>
                <w:rFonts w:hint="default" w:ascii="仿宋_GB2312" w:hAnsi="宋体" w:eastAsia="仿宋_GB2312" w:cs="仿宋_GB2312"/>
                <w:i w:val="0"/>
                <w:color w:val="000000"/>
                <w:kern w:val="0"/>
                <w:sz w:val="22"/>
                <w:szCs w:val="22"/>
                <w:u w:val="none"/>
                <w:lang w:val="en-US" w:eastAsia="zh-CN" w:bidi="ar"/>
              </w:rPr>
              <w:t>双向互动，对促进产业发展、壮大集体经济、农民增收的作用</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较大</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46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生态效益指标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耕地质量</w:t>
            </w:r>
          </w:p>
        </w:tc>
        <w:tc>
          <w:tcPr>
            <w:tcW w:w="231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逐步提升</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525"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可持续影响指标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农业种植结构</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进一步优化</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87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社会公众或服务对象满意度指标</w:t>
            </w: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新型经营主体对农业产业发展的各项扶持优惠政策的满意程度</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95%</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750" w:hRule="atLeast"/>
        </w:trPr>
        <w:tc>
          <w:tcPr>
            <w:tcW w:w="825" w:type="dxa"/>
            <w:vMerge w:val="continue"/>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jc w:val="center"/>
              <w:rPr>
                <w:rFonts w:hint="eastAsia" w:ascii="宋体" w:hAnsi="宋体" w:eastAsia="宋体" w:cs="宋体"/>
                <w:b/>
                <w:i w:val="0"/>
                <w:color w:val="000000"/>
                <w:sz w:val="24"/>
                <w:szCs w:val="24"/>
                <w:u w:val="none"/>
              </w:rPr>
            </w:pPr>
          </w:p>
        </w:tc>
        <w:tc>
          <w:tcPr>
            <w:tcW w:w="13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4"/>
                <w:szCs w:val="24"/>
                <w:u w:val="none"/>
              </w:rPr>
            </w:pPr>
          </w:p>
        </w:tc>
        <w:tc>
          <w:tcPr>
            <w:tcW w:w="195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c>
          <w:tcPr>
            <w:tcW w:w="3510"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项目区农户、合作社的满意程度</w:t>
            </w:r>
          </w:p>
        </w:tc>
        <w:tc>
          <w:tcPr>
            <w:tcW w:w="2310"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22"/>
                <w:szCs w:val="22"/>
                <w:u w:val="none"/>
              </w:rPr>
            </w:pPr>
            <w:r>
              <w:rPr>
                <w:rFonts w:hint="default" w:ascii="仿宋_GB2312" w:hAnsi="宋体" w:eastAsia="仿宋_GB2312" w:cs="仿宋_GB2312"/>
                <w:i w:val="0"/>
                <w:color w:val="000000"/>
                <w:kern w:val="0"/>
                <w:sz w:val="22"/>
                <w:szCs w:val="22"/>
                <w:u w:val="none"/>
                <w:lang w:val="en-US" w:eastAsia="zh-CN" w:bidi="ar"/>
              </w:rPr>
              <w:t>95%</w:t>
            </w:r>
          </w:p>
        </w:tc>
        <w:tc>
          <w:tcPr>
            <w:tcW w:w="1365" w:type="dxa"/>
            <w:tcBorders>
              <w:top w:val="single" w:color="000000" w:sz="4" w:space="0"/>
              <w:left w:val="single" w:color="000000" w:sz="4" w:space="0"/>
              <w:bottom w:val="single" w:color="000000" w:sz="4" w:space="0"/>
              <w:right w:val="single" w:color="000000" w:sz="8" w:space="0"/>
            </w:tcBorders>
            <w:noWrap w:val="0"/>
            <w:tcMar>
              <w:top w:w="15" w:type="dxa"/>
              <w:left w:w="15" w:type="dxa"/>
              <w:right w:w="15" w:type="dxa"/>
            </w:tcMar>
            <w:vAlign w:val="center"/>
          </w:tcPr>
          <w:p>
            <w:pPr>
              <w:jc w:val="center"/>
              <w:rPr>
                <w:rFonts w:hint="default" w:ascii="仿宋_GB2312" w:hAnsi="宋体" w:eastAsia="仿宋_GB2312" w:cs="仿宋_GB2312"/>
                <w:i w:val="0"/>
                <w:color w:val="000000"/>
                <w:sz w:val="22"/>
                <w:szCs w:val="22"/>
                <w:u w:val="none"/>
              </w:rPr>
            </w:pP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财政部门</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归口股室</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审核意见</w:t>
            </w:r>
          </w:p>
        </w:tc>
        <w:tc>
          <w:tcPr>
            <w:tcW w:w="9135" w:type="dxa"/>
            <w:gridSpan w:val="5"/>
            <w:tcBorders>
              <w:top w:val="nil"/>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（盖章）</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年    月    日    </w:t>
            </w: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4"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财政部门</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绩效管理股</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审核意见</w:t>
            </w:r>
          </w:p>
        </w:tc>
        <w:tc>
          <w:tcPr>
            <w:tcW w:w="9135"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（盖章）</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年    月    日    </w:t>
            </w:r>
          </w:p>
        </w:tc>
      </w:tr>
      <w:tr>
        <w:tblPrEx>
          <w:tblCellMar>
            <w:top w:w="0" w:type="dxa"/>
            <w:left w:w="0" w:type="dxa"/>
            <w:bottom w:w="0" w:type="dxa"/>
            <w:right w:w="0" w:type="dxa"/>
          </w:tblCellMar>
        </w:tblPrEx>
        <w:trPr>
          <w:trHeight w:val="1605" w:hRule="atLeast"/>
        </w:trPr>
        <w:tc>
          <w:tcPr>
            <w:tcW w:w="2175" w:type="dxa"/>
            <w:gridSpan w:val="2"/>
            <w:tcBorders>
              <w:top w:val="single" w:color="000000" w:sz="4" w:space="0"/>
              <w:left w:val="single" w:color="000000" w:sz="8" w:space="0"/>
              <w:bottom w:val="single" w:color="000000" w:sz="8" w:space="0"/>
              <w:right w:val="single" w:color="000000" w:sz="4" w:space="0"/>
            </w:tcBorders>
            <w:noWrap w:val="0"/>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4"/>
                <w:szCs w:val="24"/>
                <w:u w:val="none"/>
              </w:rPr>
            </w:pPr>
            <w:r>
              <w:rPr>
                <w:rFonts w:hint="eastAsia" w:ascii="黑体" w:hAnsi="宋体" w:eastAsia="黑体" w:cs="黑体"/>
                <w:i w:val="0"/>
                <w:color w:val="000000"/>
                <w:kern w:val="0"/>
                <w:sz w:val="24"/>
                <w:szCs w:val="24"/>
                <w:u w:val="none"/>
                <w:lang w:val="en-US" w:eastAsia="zh-CN" w:bidi="ar"/>
              </w:rPr>
              <w:t>财政部门</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预算股</w:t>
            </w:r>
            <w:r>
              <w:rPr>
                <w:rFonts w:hint="eastAsia" w:ascii="黑体" w:hAnsi="宋体" w:eastAsia="黑体" w:cs="黑体"/>
                <w:i w:val="0"/>
                <w:color w:val="000000"/>
                <w:kern w:val="0"/>
                <w:sz w:val="24"/>
                <w:szCs w:val="24"/>
                <w:u w:val="none"/>
                <w:lang w:val="en-US" w:eastAsia="zh-CN" w:bidi="ar"/>
              </w:rPr>
              <w:br w:type="textWrapping"/>
            </w:r>
            <w:r>
              <w:rPr>
                <w:rFonts w:hint="eastAsia" w:ascii="黑体" w:hAnsi="宋体" w:eastAsia="黑体" w:cs="黑体"/>
                <w:i w:val="0"/>
                <w:color w:val="000000"/>
                <w:kern w:val="0"/>
                <w:sz w:val="24"/>
                <w:szCs w:val="24"/>
                <w:u w:val="none"/>
                <w:lang w:val="en-US" w:eastAsia="zh-CN" w:bidi="ar"/>
              </w:rPr>
              <w:t>审核意见</w:t>
            </w:r>
          </w:p>
        </w:tc>
        <w:tc>
          <w:tcPr>
            <w:tcW w:w="9135" w:type="dxa"/>
            <w:gridSpan w:val="5"/>
            <w:tcBorders>
              <w:top w:val="single" w:color="000000" w:sz="4" w:space="0"/>
              <w:left w:val="single" w:color="000000" w:sz="4" w:space="0"/>
              <w:bottom w:val="single" w:color="000000" w:sz="8" w:space="0"/>
              <w:right w:val="single" w:color="000000" w:sz="4" w:space="0"/>
            </w:tcBorders>
            <w:noWrap w:val="0"/>
            <w:tcMar>
              <w:top w:w="15" w:type="dxa"/>
              <w:left w:w="15" w:type="dxa"/>
              <w:right w:w="15" w:type="dxa"/>
            </w:tcMar>
            <w:vAlign w:val="bottom"/>
          </w:tcPr>
          <w:p>
            <w:pPr>
              <w:keepNext w:val="0"/>
              <w:keepLines w:val="0"/>
              <w:widowControl/>
              <w:suppressLineNumbers w:val="0"/>
              <w:jc w:val="center"/>
              <w:textAlignment w:val="bottom"/>
              <w:rPr>
                <w:rFonts w:hint="default" w:ascii="仿宋_GB2312" w:hAnsi="宋体" w:eastAsia="仿宋_GB2312" w:cs="仿宋_GB2312"/>
                <w:i w:val="0"/>
                <w:color w:val="000000"/>
                <w:sz w:val="24"/>
                <w:szCs w:val="24"/>
                <w:u w:val="none"/>
              </w:rPr>
            </w:pPr>
            <w:r>
              <w:rPr>
                <w:rFonts w:hint="default" w:ascii="仿宋_GB2312" w:hAnsi="宋体" w:eastAsia="仿宋_GB2312" w:cs="仿宋_GB2312"/>
                <w:i w:val="0"/>
                <w:color w:val="000000"/>
                <w:kern w:val="0"/>
                <w:sz w:val="24"/>
                <w:szCs w:val="24"/>
                <w:u w:val="none"/>
                <w:lang w:val="en-US" w:eastAsia="zh-CN" w:bidi="ar"/>
              </w:rPr>
              <w:t xml:space="preserve">                                           （盖章）</w:t>
            </w:r>
            <w:r>
              <w:rPr>
                <w:rFonts w:hint="default" w:ascii="仿宋_GB2312" w:hAnsi="宋体" w:eastAsia="仿宋_GB2312" w:cs="仿宋_GB2312"/>
                <w:i w:val="0"/>
                <w:color w:val="000000"/>
                <w:kern w:val="0"/>
                <w:sz w:val="24"/>
                <w:szCs w:val="24"/>
                <w:u w:val="none"/>
                <w:lang w:val="en-US" w:eastAsia="zh-CN" w:bidi="ar"/>
              </w:rPr>
              <w:br w:type="textWrapping"/>
            </w:r>
            <w:r>
              <w:rPr>
                <w:rFonts w:hint="default" w:ascii="仿宋_GB2312" w:hAnsi="宋体" w:eastAsia="仿宋_GB2312" w:cs="仿宋_GB2312"/>
                <w:i w:val="0"/>
                <w:color w:val="000000"/>
                <w:kern w:val="0"/>
                <w:sz w:val="24"/>
                <w:szCs w:val="24"/>
                <w:u w:val="none"/>
                <w:lang w:val="en-US" w:eastAsia="zh-CN" w:bidi="ar"/>
              </w:rPr>
              <w:t xml:space="preserve">                                           年    月    日    </w:t>
            </w:r>
          </w:p>
        </w:tc>
      </w:tr>
    </w:tbl>
    <w:p>
      <w:pPr>
        <w:widowControl/>
        <w:shd w:val="clear" w:color="auto" w:fill="FFFFFF"/>
        <w:spacing w:line="480" w:lineRule="auto"/>
        <w:ind w:firstLine="480"/>
        <w:jc w:val="center"/>
        <w:rPr>
          <w:rFonts w:hint="eastAsia" w:ascii="宋体" w:hAnsi="宋体" w:cs="宋体"/>
          <w:color w:val="333333"/>
          <w:kern w:val="0"/>
          <w:sz w:val="24"/>
        </w:rPr>
      </w:pPr>
      <w:r>
        <w:rPr>
          <w:rFonts w:hint="eastAsia" w:ascii="宋体" w:hAnsi="宋体" w:cs="宋体"/>
          <w:color w:val="333333"/>
          <w:kern w:val="0"/>
          <w:sz w:val="24"/>
        </w:rPr>
        <w:t> </w:t>
      </w:r>
    </w:p>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lN2ZkNWU1Zjk0NDcyZTU5Njk0Y2RmODI2ZWZjOWEifQ=="/>
    <w:docVar w:name="KSO_WPS_MARK_KEY" w:val="27127e49-4944-47bf-8a9b-8a2db4ac50d8"/>
  </w:docVars>
  <w:rsids>
    <w:rsidRoot w:val="0D534CC5"/>
    <w:rsid w:val="07FC2953"/>
    <w:rsid w:val="0BEE62F5"/>
    <w:rsid w:val="0D534CC5"/>
    <w:rsid w:val="0FC04FCC"/>
    <w:rsid w:val="3B4B0DCA"/>
    <w:rsid w:val="4A4273BA"/>
    <w:rsid w:val="4AE515FF"/>
    <w:rsid w:val="586616DC"/>
    <w:rsid w:val="5CC84999"/>
    <w:rsid w:val="7C2B04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ascii="黑体" w:hAnsi="宋体" w:eastAsia="黑体" w:cs="黑体"/>
      <w:b/>
      <w:color w:val="000000"/>
      <w:sz w:val="44"/>
      <w:szCs w:val="44"/>
      <w:u w:val="none"/>
    </w:rPr>
  </w:style>
  <w:style w:type="character" w:customStyle="1" w:styleId="5">
    <w:name w:val="font51"/>
    <w:basedOn w:val="3"/>
    <w:qFormat/>
    <w:uiPriority w:val="0"/>
    <w:rPr>
      <w:rFonts w:hint="eastAsia" w:ascii="宋体" w:hAnsi="宋体" w:eastAsia="宋体" w:cs="宋体"/>
      <w:b/>
      <w:color w:val="000000"/>
      <w:sz w:val="44"/>
      <w:szCs w:val="44"/>
      <w:u w:val="none"/>
    </w:rPr>
  </w:style>
  <w:style w:type="character" w:customStyle="1" w:styleId="6">
    <w:name w:val="font21"/>
    <w:basedOn w:val="3"/>
    <w:qFormat/>
    <w:uiPriority w:val="0"/>
    <w:rPr>
      <w:rFonts w:ascii="楷体_GB2312" w:eastAsia="楷体_GB2312" w:cs="楷体_GB2312"/>
      <w:b/>
      <w:color w:val="000000"/>
      <w:sz w:val="36"/>
      <w:szCs w:val="36"/>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1252</Words>
  <Characters>1357</Characters>
  <Lines>0</Lines>
  <Paragraphs>0</Paragraphs>
  <TotalTime>0</TotalTime>
  <ScaleCrop>false</ScaleCrop>
  <LinksUpToDate>false</LinksUpToDate>
  <CharactersWithSpaces>1678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2023-05-29T06:01:00Z</dcterms:created>
  <dc:creator>单单</dc:creator>
  <cp:lastModifiedBy>晨枫</cp:lastModifiedBy>
  <cp:lastPrinted>2024-05-30T06:36:54Z</cp:lastPrinted>
  <dcterms:modified xsi:type="dcterms:W3CDTF">2024-05-30T07:46:48Z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9E63D03A3AE844028741F15AB47DADC1_13</vt:lpwstr>
  </property>
</Properties>
</file>