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1"/>
        <w:rPr>
          <w:rFonts w:ascii="微软雅黑" w:hAnsi="微软雅黑" w:eastAsia="宋体" w:cs="宋体"/>
          <w:b/>
          <w:bCs/>
          <w:color w:val="000000" w:themeColor="text1"/>
          <w:kern w:val="0"/>
          <w:sz w:val="39"/>
          <w:szCs w:val="39"/>
          <w14:textFill>
            <w14:solidFill>
              <w14:schemeClr w14:val="tx1"/>
            </w14:solidFill>
          </w14:textFill>
        </w:rPr>
      </w:pPr>
      <w:r>
        <w:rPr>
          <w:rFonts w:ascii="微软雅黑" w:hAnsi="微软雅黑" w:eastAsia="宋体" w:cs="宋体"/>
          <w:b/>
          <w:bCs/>
          <w:color w:val="000000" w:themeColor="text1"/>
          <w:kern w:val="0"/>
          <w:sz w:val="39"/>
          <w:szCs w:val="39"/>
          <w14:textFill>
            <w14:solidFill>
              <w14:schemeClr w14:val="tx1"/>
            </w14:solidFill>
          </w14:textFill>
        </w:rPr>
        <w:t>湘潭县机关事务服务中心20</w:t>
      </w:r>
      <w:r>
        <w:rPr>
          <w:rFonts w:hint="eastAsia" w:ascii="微软雅黑" w:hAnsi="微软雅黑" w:eastAsia="宋体" w:cs="宋体"/>
          <w:b/>
          <w:bCs/>
          <w:color w:val="000000" w:themeColor="text1"/>
          <w:kern w:val="0"/>
          <w:sz w:val="39"/>
          <w:szCs w:val="39"/>
          <w14:textFill>
            <w14:solidFill>
              <w14:schemeClr w14:val="tx1"/>
            </w14:solidFill>
          </w14:textFill>
        </w:rPr>
        <w:t>20</w:t>
      </w:r>
      <w:r>
        <w:rPr>
          <w:rFonts w:ascii="微软雅黑" w:hAnsi="微软雅黑" w:eastAsia="宋体" w:cs="宋体"/>
          <w:b/>
          <w:bCs/>
          <w:color w:val="000000" w:themeColor="text1"/>
          <w:kern w:val="0"/>
          <w:sz w:val="39"/>
          <w:szCs w:val="39"/>
          <w14:textFill>
            <w14:solidFill>
              <w14:schemeClr w14:val="tx1"/>
            </w14:solidFill>
          </w14:textFill>
        </w:rPr>
        <w:t>年部门预算和“三公”经费预算公开</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目录：</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第一部分  县机关事务服务中心单位基本概况</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第二部分  县机关事务服务中心部门预算单位的组成</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第三部分  县机关事务服务中心20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年部门收支总体情况</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第四部分  县机关事务服务中心一般公共预算拨款支出预算</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第五部分  县机关事务服务中心</w:t>
      </w:r>
      <w:r>
        <w:rPr>
          <w:rFonts w:hint="eastAsia" w:ascii="宋体" w:hAnsi="宋体" w:eastAsia="宋体" w:cs="宋体"/>
          <w:color w:val="333333"/>
          <w:kern w:val="0"/>
          <w:sz w:val="24"/>
          <w:szCs w:val="24"/>
        </w:rPr>
        <w:t>政府</w:t>
      </w:r>
      <w:r>
        <w:rPr>
          <w:rFonts w:ascii="宋体" w:hAnsi="宋体" w:eastAsia="宋体" w:cs="宋体"/>
          <w:color w:val="333333"/>
          <w:kern w:val="0"/>
          <w:sz w:val="24"/>
          <w:szCs w:val="24"/>
        </w:rPr>
        <w:t>性基金预算支出</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第六部分  县机关事务服务中心其他重要事项的情况说明 </w:t>
      </w:r>
    </w:p>
    <w:p>
      <w:pPr>
        <w:widowControl/>
        <w:shd w:val="clear" w:color="auto" w:fill="FFFFFF"/>
        <w:spacing w:line="480" w:lineRule="auto"/>
        <w:ind w:firstLine="480"/>
        <w:rPr>
          <w:rFonts w:ascii="宋体" w:hAnsi="宋体" w:eastAsia="宋体" w:cs="宋体"/>
          <w:color w:val="333333"/>
          <w:kern w:val="0"/>
          <w:sz w:val="24"/>
          <w:szCs w:val="24"/>
        </w:rPr>
      </w:pPr>
      <w:r>
        <w:rPr>
          <w:rFonts w:hint="eastAsia" w:ascii="宋体" w:hAnsi="宋体" w:eastAsia="宋体" w:cs="宋体"/>
          <w:color w:val="333333"/>
          <w:kern w:val="0"/>
          <w:sz w:val="24"/>
          <w:szCs w:val="24"/>
        </w:rPr>
        <w:t xml:space="preserve">第七部分   </w:t>
      </w:r>
      <w:r>
        <w:rPr>
          <w:rFonts w:ascii="宋体" w:hAnsi="宋体" w:eastAsia="宋体" w:cs="宋体"/>
          <w:color w:val="333333"/>
          <w:kern w:val="0"/>
          <w:sz w:val="24"/>
          <w:szCs w:val="24"/>
        </w:rPr>
        <w:t>名词解释</w:t>
      </w:r>
    </w:p>
    <w:p>
      <w:pPr>
        <w:widowControl/>
        <w:shd w:val="clear" w:color="auto" w:fill="FFFFFF"/>
        <w:spacing w:line="480" w:lineRule="auto"/>
        <w:ind w:firstLine="480"/>
        <w:rPr>
          <w:rFonts w:ascii="宋体" w:hAnsi="宋体" w:eastAsia="宋体" w:cs="宋体"/>
          <w:color w:val="333333"/>
          <w:kern w:val="0"/>
          <w:sz w:val="24"/>
          <w:szCs w:val="24"/>
        </w:rPr>
      </w:pPr>
      <w:r>
        <w:rPr>
          <w:rFonts w:hint="eastAsia" w:ascii="宋体" w:hAnsi="宋体" w:eastAsia="宋体" w:cs="宋体"/>
          <w:color w:val="333333"/>
          <w:kern w:val="0"/>
          <w:sz w:val="24"/>
          <w:szCs w:val="24"/>
        </w:rPr>
        <w:t>第八部分   县机关事务服务中心部门预算公开表</w:t>
      </w:r>
    </w:p>
    <w:p>
      <w:pPr>
        <w:widowControl/>
        <w:shd w:val="clear" w:color="auto" w:fill="FFFFFF"/>
        <w:spacing w:line="480" w:lineRule="auto"/>
        <w:ind w:firstLine="480"/>
        <w:rPr>
          <w:rFonts w:ascii="宋体" w:hAnsi="宋体" w:eastAsia="宋体" w:cs="宋体"/>
          <w:color w:val="333333"/>
          <w:kern w:val="0"/>
          <w:sz w:val="24"/>
          <w:szCs w:val="24"/>
        </w:rPr>
      </w:pPr>
      <w:r>
        <w:rPr>
          <w:rFonts w:hint="eastAsia" w:ascii="宋体" w:hAnsi="宋体" w:eastAsia="宋体" w:cs="宋体"/>
          <w:color w:val="333333"/>
          <w:kern w:val="0"/>
          <w:sz w:val="24"/>
          <w:szCs w:val="24"/>
        </w:rPr>
        <w:t>第九部分   县机关事务服务中心部门支出绩效目申报表</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  </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根据《中华人民共和国预算法》的规定，现将湘潭县财政局潭财发〔20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〕1</w:t>
      </w:r>
      <w:r>
        <w:rPr>
          <w:rFonts w:hint="eastAsia" w:ascii="宋体" w:hAnsi="宋体" w:eastAsia="宋体" w:cs="宋体"/>
          <w:color w:val="333333"/>
          <w:kern w:val="0"/>
          <w:sz w:val="24"/>
          <w:szCs w:val="24"/>
        </w:rPr>
        <w:t>1</w:t>
      </w:r>
      <w:r>
        <w:rPr>
          <w:rFonts w:ascii="宋体" w:hAnsi="宋体" w:eastAsia="宋体" w:cs="宋体"/>
          <w:color w:val="333333"/>
          <w:kern w:val="0"/>
          <w:sz w:val="24"/>
          <w:szCs w:val="24"/>
        </w:rPr>
        <w:t>号文件批复的20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年度部门预算公示如下：</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一、单位基本概况</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1.机构设置</w:t>
      </w:r>
    </w:p>
    <w:p>
      <w:pPr>
        <w:widowControl/>
        <w:shd w:val="clear" w:color="auto" w:fill="FFFFFF"/>
        <w:spacing w:line="480" w:lineRule="auto"/>
        <w:ind w:firstLine="480"/>
        <w:rPr>
          <w:rFonts w:cs="宋体" w:asciiTheme="majorEastAsia" w:hAnsiTheme="majorEastAsia" w:eastAsiaTheme="majorEastAsia"/>
          <w:color w:val="333333"/>
          <w:kern w:val="0"/>
          <w:sz w:val="24"/>
          <w:szCs w:val="24"/>
        </w:rPr>
      </w:pPr>
      <w:r>
        <w:rPr>
          <w:rFonts w:ascii="宋体" w:hAnsi="宋体" w:eastAsia="宋体" w:cs="宋体"/>
          <w:color w:val="333333"/>
          <w:kern w:val="0"/>
          <w:sz w:val="24"/>
          <w:szCs w:val="24"/>
        </w:rPr>
        <w:t>湘潭县机关事务服务中心成立于2015年12月，办公地址设在县政法楼三楼，是县人民政府直属公益一类事业</w:t>
      </w:r>
      <w:r>
        <w:rPr>
          <w:rFonts w:cs="宋体" w:asciiTheme="majorEastAsia" w:hAnsiTheme="majorEastAsia" w:eastAsiaTheme="majorEastAsia"/>
          <w:color w:val="333333"/>
          <w:kern w:val="0"/>
          <w:sz w:val="24"/>
          <w:szCs w:val="24"/>
        </w:rPr>
        <w:t>单位。</w:t>
      </w:r>
      <w:r>
        <w:rPr>
          <w:rFonts w:hint="eastAsia" w:asciiTheme="majorEastAsia" w:hAnsiTheme="majorEastAsia" w:eastAsiaTheme="majorEastAsia"/>
          <w:color w:val="333333"/>
          <w:sz w:val="24"/>
          <w:szCs w:val="24"/>
          <w:shd w:val="clear" w:color="auto" w:fill="FFFFFF"/>
        </w:rPr>
        <w:t>2019年3月，与县委县人民政府接待工作办公室职责整合。内设办公室、资产管理股、物业管理股、公务用车管理股（公务用车车队）、接待服务管理股、机关后勤保障股6个股室，</w:t>
      </w:r>
      <w:r>
        <w:rPr>
          <w:rFonts w:cs="宋体" w:asciiTheme="majorEastAsia" w:hAnsiTheme="majorEastAsia" w:eastAsiaTheme="majorEastAsia"/>
          <w:color w:val="333333"/>
          <w:kern w:val="0"/>
          <w:sz w:val="24"/>
          <w:szCs w:val="24"/>
        </w:rPr>
        <w:t>编制人数39人，现有在职人员3</w:t>
      </w:r>
      <w:r>
        <w:rPr>
          <w:rFonts w:hint="eastAsia" w:cs="宋体" w:asciiTheme="majorEastAsia" w:hAnsiTheme="majorEastAsia" w:eastAsiaTheme="majorEastAsia"/>
          <w:color w:val="333333"/>
          <w:kern w:val="0"/>
          <w:sz w:val="24"/>
          <w:szCs w:val="24"/>
        </w:rPr>
        <w:t>7</w:t>
      </w:r>
      <w:r>
        <w:rPr>
          <w:rFonts w:cs="宋体" w:asciiTheme="majorEastAsia" w:hAnsiTheme="majorEastAsia" w:eastAsiaTheme="majorEastAsia"/>
          <w:color w:val="333333"/>
          <w:kern w:val="0"/>
          <w:sz w:val="24"/>
          <w:szCs w:val="24"/>
        </w:rPr>
        <w:t>人，公务车辆2</w:t>
      </w:r>
      <w:r>
        <w:rPr>
          <w:rFonts w:hint="eastAsia" w:cs="宋体" w:asciiTheme="majorEastAsia" w:hAnsiTheme="majorEastAsia" w:eastAsiaTheme="majorEastAsia"/>
          <w:color w:val="333333"/>
          <w:kern w:val="0"/>
          <w:sz w:val="24"/>
          <w:szCs w:val="24"/>
        </w:rPr>
        <w:t>6</w:t>
      </w:r>
      <w:r>
        <w:rPr>
          <w:rFonts w:cs="宋体" w:asciiTheme="majorEastAsia" w:hAnsiTheme="majorEastAsia" w:eastAsiaTheme="majorEastAsia"/>
          <w:color w:val="333333"/>
          <w:kern w:val="0"/>
          <w:sz w:val="24"/>
          <w:szCs w:val="24"/>
        </w:rPr>
        <w:t>辆。</w:t>
      </w:r>
    </w:p>
    <w:p>
      <w:pPr>
        <w:pStyle w:val="5"/>
        <w:shd w:val="clear" w:color="auto" w:fill="FFFFFF"/>
        <w:spacing w:before="0" w:beforeAutospacing="0" w:after="0" w:afterAutospacing="0" w:line="480" w:lineRule="auto"/>
        <w:ind w:firstLine="480"/>
        <w:jc w:val="both"/>
        <w:rPr>
          <w:color w:val="333333"/>
        </w:rPr>
      </w:pPr>
      <w:r>
        <w:rPr>
          <w:color w:val="333333"/>
        </w:rPr>
        <w:t>2.职能职责</w:t>
      </w:r>
    </w:p>
    <w:p>
      <w:pPr>
        <w:pStyle w:val="5"/>
        <w:shd w:val="clear" w:color="auto" w:fill="FFFFFF"/>
        <w:spacing w:before="0" w:beforeAutospacing="0" w:after="0" w:afterAutospacing="0" w:line="480" w:lineRule="auto"/>
        <w:ind w:firstLine="480"/>
        <w:jc w:val="both"/>
        <w:rPr>
          <w:color w:val="333333"/>
        </w:rPr>
      </w:pPr>
      <w:r>
        <w:rPr>
          <w:rFonts w:hint="eastAsia"/>
          <w:color w:val="333333"/>
        </w:rPr>
        <w:t>（一）负责县直机关事务的建设、管理、保障和服务工作。根据上级有关政策规定，拟订全县机关事务工作的规定、办法和规章制度，并组织实施。</w:t>
      </w:r>
    </w:p>
    <w:p>
      <w:pPr>
        <w:pStyle w:val="5"/>
        <w:shd w:val="clear" w:color="auto" w:fill="FFFFFF"/>
        <w:spacing w:before="0" w:beforeAutospacing="0" w:after="0" w:afterAutospacing="0" w:line="480" w:lineRule="auto"/>
        <w:ind w:firstLine="480"/>
        <w:jc w:val="both"/>
        <w:rPr>
          <w:color w:val="333333"/>
        </w:rPr>
      </w:pPr>
      <w:r>
        <w:rPr>
          <w:rFonts w:hint="eastAsia"/>
          <w:color w:val="333333"/>
        </w:rPr>
        <w:t>（二）负责县本级党政机关办公用房及其配套设施设备的建设（新建、改建、扩建、购置）及维修改造、调剂使用、监督管理、清查登记等工作。指导全县机关后勤保障的规划建设和监督管理等工作。负责县本级过渡性用房的建设管理和服务工作。负责县机关食堂管理服务工作。指导乡镇党政机关办公用房管理、周转房的建设管理和服务工作。</w:t>
      </w:r>
    </w:p>
    <w:p>
      <w:pPr>
        <w:pStyle w:val="5"/>
        <w:shd w:val="clear" w:color="auto" w:fill="FFFFFF"/>
        <w:spacing w:before="0" w:beforeAutospacing="0" w:after="0" w:afterAutospacing="0" w:line="480" w:lineRule="auto"/>
        <w:ind w:firstLine="480"/>
        <w:jc w:val="both"/>
        <w:rPr>
          <w:color w:val="333333"/>
        </w:rPr>
      </w:pPr>
      <w:r>
        <w:rPr>
          <w:rFonts w:hint="eastAsia"/>
          <w:color w:val="333333"/>
        </w:rPr>
        <w:t>（三）负责县本级公务用车服务监督管理平台日常工作。负责县本级党政机关公务用车管理服务工作。做好全县公务车辆司勤人员的业务指导、培训等管理工作。</w:t>
      </w:r>
    </w:p>
    <w:p>
      <w:pPr>
        <w:pStyle w:val="5"/>
        <w:shd w:val="clear" w:color="auto" w:fill="FFFFFF"/>
        <w:spacing w:before="0" w:beforeAutospacing="0" w:after="0" w:afterAutospacing="0" w:line="480" w:lineRule="auto"/>
        <w:ind w:firstLine="480"/>
        <w:jc w:val="both"/>
        <w:rPr>
          <w:color w:val="333333"/>
        </w:rPr>
      </w:pPr>
      <w:r>
        <w:rPr>
          <w:rFonts w:hint="eastAsia"/>
          <w:color w:val="333333"/>
        </w:rPr>
        <w:t>（四）负责县委</w:t>
      </w:r>
      <w:r>
        <w:rPr>
          <w:rFonts w:hint="eastAsia"/>
          <w:color w:val="333333"/>
          <w:lang w:val="en-US" w:eastAsia="zh-CN"/>
        </w:rPr>
        <w:t>县</w:t>
      </w:r>
      <w:r>
        <w:rPr>
          <w:rFonts w:hint="eastAsia"/>
          <w:color w:val="333333"/>
        </w:rPr>
        <w:t>政府机关大院和有关县直机关单位物业管理工作，指导其他县直机关物业管理工作。研究拟定县直机关物业技术服务标准并指导实施。</w:t>
      </w:r>
    </w:p>
    <w:p>
      <w:pPr>
        <w:pStyle w:val="5"/>
        <w:shd w:val="clear" w:color="auto" w:fill="FFFFFF"/>
        <w:spacing w:before="0" w:beforeAutospacing="0" w:after="0" w:afterAutospacing="0" w:line="480" w:lineRule="auto"/>
        <w:ind w:firstLine="480"/>
        <w:jc w:val="both"/>
        <w:rPr>
          <w:color w:val="333333"/>
        </w:rPr>
      </w:pPr>
      <w:r>
        <w:rPr>
          <w:rFonts w:hint="eastAsia"/>
          <w:color w:val="333333"/>
        </w:rPr>
        <w:t>（五）负责厅级（含）以上领导来县考察、调研和检查指导等公务活动的接待工作。负责来县重大招商引资活动的接待工作。指导全县各部门、各乡镇公务活动接待工作。</w:t>
      </w:r>
    </w:p>
    <w:p>
      <w:pPr>
        <w:pStyle w:val="5"/>
        <w:shd w:val="clear" w:color="auto" w:fill="FFFFFF"/>
        <w:spacing w:before="0" w:beforeAutospacing="0" w:after="0" w:afterAutospacing="0" w:line="480" w:lineRule="auto"/>
        <w:ind w:firstLine="480"/>
        <w:jc w:val="both"/>
        <w:rPr>
          <w:color w:val="333333"/>
        </w:rPr>
      </w:pPr>
      <w:r>
        <w:rPr>
          <w:rFonts w:hint="eastAsia"/>
          <w:color w:val="333333"/>
        </w:rPr>
        <w:t>（六）配合有关部门做好县直公共机构节约能源资源管理工作。配合有关部门做好有关国有资产的产权界定和处置等工作。</w:t>
      </w:r>
    </w:p>
    <w:p>
      <w:pPr>
        <w:pStyle w:val="5"/>
        <w:shd w:val="clear" w:color="auto" w:fill="FFFFFF"/>
        <w:spacing w:before="0" w:beforeAutospacing="0" w:after="0" w:afterAutospacing="0" w:line="480" w:lineRule="auto"/>
        <w:ind w:firstLine="480"/>
        <w:jc w:val="both"/>
        <w:rPr>
          <w:color w:val="333333"/>
        </w:rPr>
      </w:pPr>
      <w:r>
        <w:rPr>
          <w:rFonts w:hint="eastAsia"/>
          <w:color w:val="333333"/>
        </w:rPr>
        <w:t>（七）完成</w:t>
      </w:r>
      <w:bookmarkStart w:id="0" w:name="_GoBack"/>
      <w:bookmarkEnd w:id="0"/>
      <w:r>
        <w:rPr>
          <w:rFonts w:hint="eastAsia"/>
          <w:color w:val="333333"/>
        </w:rPr>
        <w:t>县委、县政府交办的其他工作任务。</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二、部门预算单位的组成</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湘潭县机关事务服务中心纳入20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年部门预算编制范围的单位本级及六个内设机构，分别为</w:t>
      </w:r>
      <w:r>
        <w:rPr>
          <w:rFonts w:hint="eastAsia" w:asciiTheme="majorEastAsia" w:hAnsiTheme="majorEastAsia" w:eastAsiaTheme="majorEastAsia"/>
          <w:color w:val="333333"/>
          <w:sz w:val="24"/>
          <w:szCs w:val="24"/>
          <w:shd w:val="clear" w:color="auto" w:fill="FFFFFF"/>
        </w:rPr>
        <w:t>办公室、资产管理股、物业管理股、公务用车管理股（公务用车车队）、接待服务管理股、机关后勤保障股</w:t>
      </w:r>
      <w:r>
        <w:rPr>
          <w:rFonts w:ascii="宋体" w:hAnsi="宋体" w:eastAsia="宋体" w:cs="宋体"/>
          <w:color w:val="333333"/>
          <w:kern w:val="0"/>
          <w:sz w:val="24"/>
          <w:szCs w:val="24"/>
        </w:rPr>
        <w:t>。</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三、20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年部门收支总体情况 </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1、收入预算，20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年年初预算数</w:t>
      </w:r>
      <w:r>
        <w:rPr>
          <w:rFonts w:hint="eastAsia" w:ascii="宋体" w:hAnsi="宋体" w:eastAsia="宋体" w:cs="宋体"/>
          <w:color w:val="333333"/>
          <w:kern w:val="0"/>
          <w:sz w:val="24"/>
          <w:szCs w:val="24"/>
        </w:rPr>
        <w:t>2232.74</w:t>
      </w:r>
      <w:r>
        <w:rPr>
          <w:rFonts w:ascii="宋体" w:hAnsi="宋体" w:eastAsia="宋体" w:cs="宋体"/>
          <w:color w:val="333333"/>
          <w:kern w:val="0"/>
          <w:sz w:val="24"/>
          <w:szCs w:val="24"/>
        </w:rPr>
        <w:t>万元，一般公共预算拨款</w:t>
      </w:r>
      <w:r>
        <w:rPr>
          <w:rFonts w:hint="eastAsia" w:ascii="宋体" w:hAnsi="宋体" w:eastAsia="宋体" w:cs="宋体"/>
          <w:color w:val="333333"/>
          <w:kern w:val="0"/>
          <w:sz w:val="24"/>
          <w:szCs w:val="24"/>
        </w:rPr>
        <w:t>2232.74</w:t>
      </w:r>
      <w:r>
        <w:rPr>
          <w:rFonts w:ascii="宋体" w:hAnsi="宋体" w:eastAsia="宋体" w:cs="宋体"/>
          <w:color w:val="333333"/>
          <w:kern w:val="0"/>
          <w:sz w:val="24"/>
          <w:szCs w:val="24"/>
        </w:rPr>
        <w:t>万元，收入较去年年初预算增加</w:t>
      </w:r>
      <w:r>
        <w:rPr>
          <w:rFonts w:hint="eastAsia" w:ascii="宋体" w:hAnsi="宋体" w:eastAsia="宋体" w:cs="宋体"/>
          <w:color w:val="333333"/>
          <w:kern w:val="0"/>
          <w:sz w:val="24"/>
          <w:szCs w:val="24"/>
        </w:rPr>
        <w:t>1173.53</w:t>
      </w:r>
      <w:r>
        <w:rPr>
          <w:rFonts w:ascii="宋体" w:hAnsi="宋体" w:eastAsia="宋体" w:cs="宋体"/>
          <w:color w:val="333333"/>
          <w:kern w:val="0"/>
          <w:sz w:val="24"/>
          <w:szCs w:val="24"/>
        </w:rPr>
        <w:t>万元。</w:t>
      </w:r>
      <w:r>
        <w:rPr>
          <w:rFonts w:hint="eastAsia" w:ascii="宋体" w:hAnsi="宋体" w:eastAsia="宋体" w:cs="宋体"/>
          <w:color w:val="333333"/>
          <w:kern w:val="0"/>
          <w:sz w:val="24"/>
          <w:szCs w:val="24"/>
        </w:rPr>
        <w:t>因项目性专项增加。</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2、支出预算，20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年年初预算数</w:t>
      </w:r>
      <w:r>
        <w:rPr>
          <w:rFonts w:hint="eastAsia" w:ascii="宋体" w:hAnsi="宋体" w:eastAsia="宋体" w:cs="宋体"/>
          <w:color w:val="333333"/>
          <w:kern w:val="0"/>
          <w:sz w:val="24"/>
          <w:szCs w:val="24"/>
        </w:rPr>
        <w:t>2232.74</w:t>
      </w:r>
      <w:r>
        <w:rPr>
          <w:rFonts w:ascii="宋体" w:hAnsi="宋体" w:eastAsia="宋体" w:cs="宋体"/>
          <w:color w:val="333333"/>
          <w:kern w:val="0"/>
          <w:sz w:val="24"/>
          <w:szCs w:val="24"/>
        </w:rPr>
        <w:t>万元，较去年增加</w:t>
      </w:r>
      <w:r>
        <w:rPr>
          <w:rFonts w:hint="eastAsia" w:ascii="宋体" w:hAnsi="宋体" w:eastAsia="宋体" w:cs="宋体"/>
          <w:color w:val="333333"/>
          <w:kern w:val="0"/>
          <w:sz w:val="24"/>
          <w:szCs w:val="24"/>
        </w:rPr>
        <w:t>1173.53</w:t>
      </w:r>
      <w:r>
        <w:rPr>
          <w:rFonts w:ascii="宋体" w:hAnsi="宋体" w:eastAsia="宋体" w:cs="宋体"/>
          <w:color w:val="333333"/>
          <w:kern w:val="0"/>
          <w:sz w:val="24"/>
          <w:szCs w:val="24"/>
        </w:rPr>
        <w:t>万元,其中，基本支出减少</w:t>
      </w:r>
      <w:r>
        <w:rPr>
          <w:rFonts w:hint="eastAsia" w:ascii="宋体" w:hAnsi="宋体" w:eastAsia="宋体" w:cs="宋体"/>
          <w:color w:val="333333"/>
          <w:kern w:val="0"/>
          <w:sz w:val="24"/>
          <w:szCs w:val="24"/>
        </w:rPr>
        <w:t>31.8</w:t>
      </w:r>
      <w:r>
        <w:rPr>
          <w:rFonts w:ascii="宋体" w:hAnsi="宋体" w:eastAsia="宋体" w:cs="宋体"/>
          <w:color w:val="333333"/>
          <w:kern w:val="0"/>
          <w:sz w:val="24"/>
          <w:szCs w:val="24"/>
        </w:rPr>
        <w:t>万元，因年初部门预算压减；项目支出增加</w:t>
      </w:r>
      <w:r>
        <w:rPr>
          <w:rFonts w:hint="eastAsia" w:ascii="宋体" w:hAnsi="宋体" w:eastAsia="宋体" w:cs="宋体"/>
          <w:color w:val="333333"/>
          <w:kern w:val="0"/>
          <w:sz w:val="24"/>
          <w:szCs w:val="24"/>
        </w:rPr>
        <w:t>1205.33</w:t>
      </w:r>
      <w:r>
        <w:rPr>
          <w:rFonts w:ascii="宋体" w:hAnsi="宋体" w:eastAsia="宋体" w:cs="宋体"/>
          <w:color w:val="333333"/>
          <w:kern w:val="0"/>
          <w:sz w:val="24"/>
          <w:szCs w:val="24"/>
        </w:rPr>
        <w:t>万元，</w:t>
      </w:r>
      <w:r>
        <w:rPr>
          <w:rFonts w:hint="eastAsia" w:ascii="宋体" w:hAnsi="宋体" w:eastAsia="宋体" w:cs="宋体"/>
          <w:color w:val="333333"/>
          <w:kern w:val="0"/>
          <w:sz w:val="24"/>
          <w:szCs w:val="24"/>
        </w:rPr>
        <w:t>因项目性专项增加。</w:t>
      </w:r>
    </w:p>
    <w:p>
      <w:pPr>
        <w:widowControl/>
        <w:spacing w:line="600" w:lineRule="exact"/>
        <w:ind w:firstLine="660"/>
        <w:jc w:val="left"/>
        <w:rPr>
          <w:rFonts w:ascii="宋体" w:hAnsi="宋体" w:eastAsia="宋体" w:cs="宋体"/>
          <w:color w:val="333333"/>
          <w:kern w:val="0"/>
          <w:sz w:val="24"/>
          <w:szCs w:val="24"/>
        </w:rPr>
      </w:pPr>
      <w:r>
        <w:rPr>
          <w:rFonts w:ascii="宋体" w:hAnsi="宋体" w:eastAsia="宋体" w:cs="宋体"/>
          <w:color w:val="333333"/>
          <w:kern w:val="0"/>
          <w:sz w:val="24"/>
          <w:szCs w:val="24"/>
        </w:rPr>
        <w:t>四、一般公共预算拨款支出预算</w:t>
      </w:r>
    </w:p>
    <w:p>
      <w:pPr>
        <w:widowControl/>
        <w:spacing w:line="600" w:lineRule="exact"/>
        <w:ind w:firstLine="660"/>
        <w:jc w:val="left"/>
        <w:rPr>
          <w:rFonts w:cs="Times New Roman" w:asciiTheme="majorEastAsia" w:hAnsiTheme="majorEastAsia" w:eastAsiaTheme="majorEastAsia"/>
          <w:sz w:val="24"/>
          <w:szCs w:val="24"/>
        </w:rPr>
      </w:pPr>
      <w:r>
        <w:rPr>
          <w:rFonts w:hint="eastAsia" w:cs="Times New Roman" w:asciiTheme="majorEastAsia" w:hAnsiTheme="majorEastAsia" w:eastAsiaTheme="majorEastAsia"/>
          <w:sz w:val="24"/>
          <w:szCs w:val="24"/>
        </w:rPr>
        <w:t>2020</w:t>
      </w:r>
      <w:r>
        <w:rPr>
          <w:rFonts w:cs="Times New Roman" w:asciiTheme="majorEastAsia" w:hAnsiTheme="majorEastAsia" w:eastAsiaTheme="majorEastAsia"/>
          <w:sz w:val="24"/>
          <w:szCs w:val="24"/>
        </w:rPr>
        <w:t>年本部门一般公共预算拨款支出预算</w:t>
      </w:r>
      <w:r>
        <w:rPr>
          <w:rFonts w:hint="eastAsia" w:cs="Times New Roman" w:asciiTheme="majorEastAsia" w:hAnsiTheme="majorEastAsia" w:eastAsiaTheme="majorEastAsia"/>
          <w:sz w:val="24"/>
          <w:szCs w:val="24"/>
        </w:rPr>
        <w:t>2232.74</w:t>
      </w:r>
      <w:r>
        <w:rPr>
          <w:rFonts w:cs="Times New Roman" w:asciiTheme="majorEastAsia" w:hAnsiTheme="majorEastAsia" w:eastAsiaTheme="majorEastAsia"/>
          <w:sz w:val="24"/>
          <w:szCs w:val="24"/>
        </w:rPr>
        <w:t>万元，其中，一般公共服务支出</w:t>
      </w:r>
      <w:r>
        <w:rPr>
          <w:rFonts w:hint="eastAsia" w:cs="Times New Roman" w:asciiTheme="majorEastAsia" w:hAnsiTheme="majorEastAsia" w:eastAsiaTheme="majorEastAsia"/>
          <w:sz w:val="24"/>
          <w:szCs w:val="24"/>
        </w:rPr>
        <w:t>2232.74</w:t>
      </w:r>
      <w:r>
        <w:rPr>
          <w:rFonts w:cs="Times New Roman" w:asciiTheme="majorEastAsia" w:hAnsiTheme="majorEastAsia" w:eastAsiaTheme="majorEastAsia"/>
          <w:sz w:val="24"/>
          <w:szCs w:val="24"/>
        </w:rPr>
        <w:t>万元，占</w:t>
      </w:r>
      <w:r>
        <w:rPr>
          <w:rFonts w:hint="eastAsia" w:cs="Times New Roman" w:asciiTheme="majorEastAsia" w:hAnsiTheme="majorEastAsia" w:eastAsiaTheme="majorEastAsia"/>
          <w:sz w:val="24"/>
          <w:szCs w:val="24"/>
        </w:rPr>
        <w:t>100</w:t>
      </w:r>
      <w:r>
        <w:rPr>
          <w:rFonts w:cs="Times New Roman" w:asciiTheme="majorEastAsia" w:hAnsiTheme="majorEastAsia" w:eastAsiaTheme="majorEastAsia"/>
          <w:sz w:val="24"/>
          <w:szCs w:val="24"/>
        </w:rPr>
        <w:t>%具体安排情况如下：</w:t>
      </w:r>
    </w:p>
    <w:p>
      <w:pPr>
        <w:widowControl/>
        <w:shd w:val="clear" w:color="auto" w:fill="FFFFFF"/>
        <w:spacing w:line="480" w:lineRule="auto"/>
        <w:ind w:firstLine="480"/>
        <w:rPr>
          <w:rFonts w:cs="宋体" w:asciiTheme="majorEastAsia" w:hAnsiTheme="majorEastAsia" w:eastAsiaTheme="majorEastAsia"/>
          <w:color w:val="333333"/>
          <w:kern w:val="0"/>
          <w:sz w:val="24"/>
          <w:szCs w:val="24"/>
        </w:rPr>
      </w:pPr>
      <w:r>
        <w:rPr>
          <w:rFonts w:cs="宋体" w:asciiTheme="majorEastAsia" w:hAnsiTheme="majorEastAsia" w:eastAsiaTheme="majorEastAsia"/>
          <w:color w:val="333333"/>
          <w:kern w:val="0"/>
          <w:sz w:val="24"/>
          <w:szCs w:val="24"/>
        </w:rPr>
        <w:t>1、基本支出：是指为保障单位机构正常运转、完成日常工作任务而发生的各项支出，包括用于基本工资、津贴补贴等人员经费以及办公费、印刷费、水电费、办公设备购置等日常公用经费。20</w:t>
      </w:r>
      <w:r>
        <w:rPr>
          <w:rFonts w:hint="eastAsia" w:cs="宋体" w:asciiTheme="majorEastAsia" w:hAnsiTheme="majorEastAsia" w:eastAsiaTheme="majorEastAsia"/>
          <w:color w:val="333333"/>
          <w:kern w:val="0"/>
          <w:sz w:val="24"/>
          <w:szCs w:val="24"/>
        </w:rPr>
        <w:t>20</w:t>
      </w:r>
      <w:r>
        <w:rPr>
          <w:rFonts w:cs="宋体" w:asciiTheme="majorEastAsia" w:hAnsiTheme="majorEastAsia" w:eastAsiaTheme="majorEastAsia"/>
          <w:color w:val="333333"/>
          <w:kern w:val="0"/>
          <w:sz w:val="24"/>
          <w:szCs w:val="24"/>
        </w:rPr>
        <w:t>年年初基本支出预算数为</w:t>
      </w:r>
      <w:r>
        <w:rPr>
          <w:rFonts w:hint="eastAsia" w:cs="宋体" w:asciiTheme="majorEastAsia" w:hAnsiTheme="majorEastAsia" w:eastAsiaTheme="majorEastAsia"/>
          <w:color w:val="333333"/>
          <w:kern w:val="0"/>
          <w:sz w:val="24"/>
          <w:szCs w:val="24"/>
        </w:rPr>
        <w:t>498.80</w:t>
      </w:r>
      <w:r>
        <w:rPr>
          <w:rFonts w:cs="宋体" w:asciiTheme="majorEastAsia" w:hAnsiTheme="majorEastAsia" w:eastAsiaTheme="majorEastAsia"/>
          <w:color w:val="333333"/>
          <w:kern w:val="0"/>
          <w:sz w:val="24"/>
          <w:szCs w:val="24"/>
        </w:rPr>
        <w:t>万元。</w:t>
      </w:r>
    </w:p>
    <w:p>
      <w:pPr>
        <w:widowControl/>
        <w:shd w:val="clear" w:color="auto" w:fill="FFFFFF"/>
        <w:spacing w:line="480" w:lineRule="auto"/>
        <w:ind w:firstLine="480"/>
        <w:rPr>
          <w:rFonts w:cs="宋体" w:asciiTheme="majorEastAsia" w:hAnsiTheme="majorEastAsia" w:eastAsiaTheme="majorEastAsia"/>
          <w:color w:val="333333"/>
          <w:kern w:val="0"/>
          <w:sz w:val="24"/>
          <w:szCs w:val="24"/>
        </w:rPr>
      </w:pPr>
      <w:r>
        <w:rPr>
          <w:rFonts w:cs="宋体" w:asciiTheme="majorEastAsia" w:hAnsiTheme="majorEastAsia" w:eastAsiaTheme="majorEastAsia"/>
          <w:color w:val="333333"/>
          <w:kern w:val="0"/>
          <w:sz w:val="24"/>
          <w:szCs w:val="24"/>
        </w:rPr>
        <w:t>2、项目支出：是指单位为完成工作任务或事业发展目标而发生的支出，包括项目性专项和业务工作专项。20</w:t>
      </w:r>
      <w:r>
        <w:rPr>
          <w:rFonts w:hint="eastAsia" w:cs="宋体" w:asciiTheme="majorEastAsia" w:hAnsiTheme="majorEastAsia" w:eastAsiaTheme="majorEastAsia"/>
          <w:color w:val="333333"/>
          <w:kern w:val="0"/>
          <w:sz w:val="24"/>
          <w:szCs w:val="24"/>
        </w:rPr>
        <w:t>20</w:t>
      </w:r>
      <w:r>
        <w:rPr>
          <w:rFonts w:cs="宋体" w:asciiTheme="majorEastAsia" w:hAnsiTheme="majorEastAsia" w:eastAsiaTheme="majorEastAsia"/>
          <w:color w:val="333333"/>
          <w:kern w:val="0"/>
          <w:sz w:val="24"/>
          <w:szCs w:val="24"/>
        </w:rPr>
        <w:t>年年初项目共</w:t>
      </w:r>
      <w:r>
        <w:rPr>
          <w:rFonts w:hint="eastAsia" w:cs="宋体" w:asciiTheme="majorEastAsia" w:hAnsiTheme="majorEastAsia" w:eastAsiaTheme="majorEastAsia"/>
          <w:color w:val="333333"/>
          <w:kern w:val="0"/>
          <w:sz w:val="24"/>
          <w:szCs w:val="24"/>
        </w:rPr>
        <w:t>16</w:t>
      </w:r>
      <w:r>
        <w:rPr>
          <w:rFonts w:cs="宋体" w:asciiTheme="majorEastAsia" w:hAnsiTheme="majorEastAsia" w:eastAsiaTheme="majorEastAsia"/>
          <w:color w:val="333333"/>
          <w:kern w:val="0"/>
          <w:sz w:val="24"/>
          <w:szCs w:val="24"/>
        </w:rPr>
        <w:t>个,共计金额</w:t>
      </w:r>
      <w:r>
        <w:rPr>
          <w:rFonts w:hint="eastAsia" w:cs="宋体" w:asciiTheme="majorEastAsia" w:hAnsiTheme="majorEastAsia" w:eastAsiaTheme="majorEastAsia"/>
          <w:color w:val="333333"/>
          <w:kern w:val="0"/>
          <w:sz w:val="24"/>
          <w:szCs w:val="24"/>
        </w:rPr>
        <w:t>1733.94</w:t>
      </w:r>
      <w:r>
        <w:rPr>
          <w:rFonts w:cs="宋体" w:asciiTheme="majorEastAsia" w:hAnsiTheme="majorEastAsia" w:eastAsiaTheme="majorEastAsia"/>
          <w:color w:val="333333"/>
          <w:kern w:val="0"/>
          <w:sz w:val="24"/>
          <w:szCs w:val="24"/>
        </w:rPr>
        <w:t>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（1）监察委、群团楼物业管理项目</w:t>
      </w:r>
      <w:r>
        <w:rPr>
          <w:rFonts w:hint="eastAsia" w:ascii="宋体" w:hAnsi="宋体" w:eastAsia="宋体" w:cs="宋体"/>
          <w:color w:val="333333"/>
          <w:kern w:val="0"/>
          <w:sz w:val="24"/>
          <w:szCs w:val="24"/>
        </w:rPr>
        <w:t>8</w:t>
      </w:r>
      <w:r>
        <w:rPr>
          <w:rFonts w:ascii="宋体" w:hAnsi="宋体" w:eastAsia="宋体" w:cs="宋体"/>
          <w:color w:val="333333"/>
          <w:kern w:val="0"/>
          <w:sz w:val="24"/>
          <w:szCs w:val="24"/>
        </w:rPr>
        <w:t>0万元。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（2）县政府机关大院日常维修维护费</w:t>
      </w:r>
      <w:r>
        <w:rPr>
          <w:rFonts w:hint="eastAsia" w:ascii="宋体" w:hAnsi="宋体" w:eastAsia="宋体" w:cs="宋体"/>
          <w:color w:val="333333"/>
          <w:kern w:val="0"/>
          <w:sz w:val="24"/>
          <w:szCs w:val="24"/>
        </w:rPr>
        <w:t>140</w:t>
      </w:r>
      <w:r>
        <w:rPr>
          <w:rFonts w:ascii="宋体" w:hAnsi="宋体" w:eastAsia="宋体" w:cs="宋体"/>
          <w:color w:val="333333"/>
          <w:kern w:val="0"/>
          <w:sz w:val="24"/>
          <w:szCs w:val="24"/>
        </w:rPr>
        <w:t>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（3）县政府后山工作经费20万元。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（4）县政府机关大院、机关工委院物业管理项目</w:t>
      </w:r>
      <w:r>
        <w:rPr>
          <w:rFonts w:hint="eastAsia" w:ascii="宋体" w:hAnsi="宋体" w:eastAsia="宋体" w:cs="宋体"/>
          <w:color w:val="333333"/>
          <w:kern w:val="0"/>
          <w:sz w:val="24"/>
          <w:szCs w:val="24"/>
        </w:rPr>
        <w:t>299</w:t>
      </w:r>
      <w:r>
        <w:rPr>
          <w:rFonts w:ascii="宋体" w:hAnsi="宋体" w:eastAsia="宋体" w:cs="宋体"/>
          <w:color w:val="333333"/>
          <w:kern w:val="0"/>
          <w:sz w:val="24"/>
          <w:szCs w:val="24"/>
        </w:rPr>
        <w:t>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（5）机关大院水电费</w:t>
      </w:r>
      <w:r>
        <w:rPr>
          <w:rFonts w:hint="eastAsia" w:ascii="宋体" w:hAnsi="宋体" w:eastAsia="宋体" w:cs="宋体"/>
          <w:color w:val="333333"/>
          <w:kern w:val="0"/>
          <w:sz w:val="24"/>
          <w:szCs w:val="24"/>
        </w:rPr>
        <w:t>120</w:t>
      </w:r>
      <w:r>
        <w:rPr>
          <w:rFonts w:ascii="宋体" w:hAnsi="宋体" w:eastAsia="宋体" w:cs="宋体"/>
          <w:color w:val="333333"/>
          <w:kern w:val="0"/>
          <w:sz w:val="24"/>
          <w:szCs w:val="24"/>
        </w:rPr>
        <w:t>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（6）信访秩序中队劳务费33万元。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（7）园区商务中心物业管理、水电费</w:t>
      </w:r>
      <w:r>
        <w:rPr>
          <w:rFonts w:hint="eastAsia" w:ascii="宋体" w:hAnsi="宋体" w:eastAsia="宋体" w:cs="宋体"/>
          <w:color w:val="333333"/>
          <w:kern w:val="0"/>
          <w:sz w:val="24"/>
          <w:szCs w:val="24"/>
        </w:rPr>
        <w:t>150</w:t>
      </w:r>
      <w:r>
        <w:rPr>
          <w:rFonts w:ascii="宋体" w:hAnsi="宋体" w:eastAsia="宋体" w:cs="宋体"/>
          <w:color w:val="333333"/>
          <w:kern w:val="0"/>
          <w:sz w:val="24"/>
          <w:szCs w:val="24"/>
        </w:rPr>
        <w:t>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8</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公务用车平台设备费41.36万元。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9</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公务用车平台服务费21.89万元。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10</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接待工作经费120万元。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11</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商务局办公楼电梯安装49万元。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12</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县武装部维修改造和货物采购项目204.7万元。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13</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工程建设独立费用支出项目85万元。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14</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行政审批局屋顶防渗和增建服务区25万元。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15</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司法局外墙维修改造49万元。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16</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19年追加项目工程尾款295.99万元</w:t>
      </w:r>
    </w:p>
    <w:p>
      <w:pPr>
        <w:widowControl/>
        <w:spacing w:line="600" w:lineRule="exact"/>
        <w:ind w:firstLine="480" w:firstLineChars="200"/>
        <w:jc w:val="left"/>
        <w:rPr>
          <w:rFonts w:cs="Times New Roman" w:asciiTheme="minorEastAsia" w:hAnsiTheme="minorEastAsia"/>
          <w:sz w:val="24"/>
          <w:szCs w:val="24"/>
        </w:rPr>
      </w:pPr>
      <w:r>
        <w:rPr>
          <w:rFonts w:cs="Times New Roman" w:asciiTheme="minorEastAsia" w:hAnsiTheme="minorEastAsia"/>
          <w:sz w:val="24"/>
          <w:szCs w:val="24"/>
        </w:rPr>
        <w:t>五、政府性基金预算支出</w:t>
      </w:r>
    </w:p>
    <w:p>
      <w:pPr>
        <w:widowControl/>
        <w:spacing w:line="600" w:lineRule="exact"/>
        <w:ind w:firstLine="480" w:firstLineChars="200"/>
        <w:jc w:val="left"/>
        <w:rPr>
          <w:rFonts w:cs="Times New Roman" w:asciiTheme="minorEastAsia" w:hAnsiTheme="minorEastAsia"/>
          <w:sz w:val="24"/>
          <w:szCs w:val="24"/>
        </w:rPr>
      </w:pPr>
      <w:r>
        <w:rPr>
          <w:rFonts w:hint="eastAsia" w:cs="Times New Roman" w:asciiTheme="minorEastAsia" w:hAnsiTheme="minorEastAsia"/>
          <w:sz w:val="24"/>
          <w:szCs w:val="24"/>
        </w:rPr>
        <w:t>2020年</w:t>
      </w:r>
      <w:r>
        <w:rPr>
          <w:rFonts w:cs="Times New Roman" w:asciiTheme="minorEastAsia" w:hAnsiTheme="minorEastAsia"/>
          <w:sz w:val="24"/>
          <w:szCs w:val="24"/>
        </w:rPr>
        <w:t>本部门无政府性基金安排的支出</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六、其他重要事项的情况说明 </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1、机关运行经费 </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年机关运行经费一般公共预算拨款</w:t>
      </w:r>
      <w:r>
        <w:rPr>
          <w:rFonts w:hint="eastAsia" w:ascii="宋体" w:hAnsi="宋体" w:eastAsia="宋体" w:cs="宋体"/>
          <w:color w:val="333333"/>
          <w:kern w:val="0"/>
          <w:sz w:val="24"/>
          <w:szCs w:val="24"/>
        </w:rPr>
        <w:t>498.80万元，</w:t>
      </w:r>
      <w:r>
        <w:rPr>
          <w:rFonts w:ascii="宋体" w:hAnsi="宋体" w:eastAsia="宋体" w:cs="宋体"/>
          <w:color w:val="333333"/>
          <w:kern w:val="0"/>
          <w:sz w:val="24"/>
          <w:szCs w:val="24"/>
        </w:rPr>
        <w:t>比201</w:t>
      </w:r>
      <w:r>
        <w:rPr>
          <w:rFonts w:hint="eastAsia" w:ascii="宋体" w:hAnsi="宋体" w:eastAsia="宋体" w:cs="宋体"/>
          <w:color w:val="333333"/>
          <w:kern w:val="0"/>
          <w:sz w:val="24"/>
          <w:szCs w:val="24"/>
        </w:rPr>
        <w:t>9</w:t>
      </w:r>
      <w:r>
        <w:rPr>
          <w:rFonts w:ascii="宋体" w:hAnsi="宋体" w:eastAsia="宋体" w:cs="宋体"/>
          <w:color w:val="333333"/>
          <w:kern w:val="0"/>
          <w:sz w:val="24"/>
          <w:szCs w:val="24"/>
        </w:rPr>
        <w:t>年预算</w:t>
      </w:r>
      <w:r>
        <w:rPr>
          <w:rFonts w:hint="eastAsia" w:ascii="宋体" w:hAnsi="宋体" w:eastAsia="宋体" w:cs="宋体"/>
          <w:color w:val="333333"/>
          <w:kern w:val="0"/>
          <w:sz w:val="24"/>
          <w:szCs w:val="24"/>
        </w:rPr>
        <w:t>减少42.01万元，减少7.77%。因年初部门预算压减。</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2、“三公”经费预算</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年公共财政拨款安排“三公”经费预算</w:t>
      </w:r>
      <w:r>
        <w:rPr>
          <w:rFonts w:hint="eastAsia" w:ascii="宋体" w:hAnsi="宋体" w:eastAsia="宋体" w:cs="宋体"/>
          <w:color w:val="333333"/>
          <w:kern w:val="0"/>
          <w:sz w:val="24"/>
          <w:szCs w:val="24"/>
        </w:rPr>
        <w:t>239.34</w:t>
      </w:r>
      <w:r>
        <w:rPr>
          <w:rFonts w:ascii="宋体" w:hAnsi="宋体" w:eastAsia="宋体" w:cs="宋体"/>
          <w:color w:val="333333"/>
          <w:kern w:val="0"/>
          <w:sz w:val="24"/>
          <w:szCs w:val="24"/>
        </w:rPr>
        <w:t>万元，其中：公务接待项目经费</w:t>
      </w:r>
      <w:r>
        <w:rPr>
          <w:rFonts w:hint="eastAsia" w:ascii="宋体" w:hAnsi="宋体" w:eastAsia="宋体" w:cs="宋体"/>
          <w:color w:val="333333"/>
          <w:kern w:val="0"/>
          <w:sz w:val="24"/>
          <w:szCs w:val="24"/>
        </w:rPr>
        <w:t>120万元，</w:t>
      </w:r>
      <w:r>
        <w:rPr>
          <w:rFonts w:hint="eastAsia" w:cs="宋体" w:asciiTheme="majorEastAsia" w:hAnsiTheme="majorEastAsia" w:eastAsiaTheme="majorEastAsia"/>
          <w:color w:val="333333"/>
          <w:kern w:val="0"/>
          <w:sz w:val="24"/>
          <w:szCs w:val="24"/>
        </w:rPr>
        <w:t>本部门公务接待费4.1</w:t>
      </w:r>
      <w:r>
        <w:rPr>
          <w:rFonts w:cs="宋体" w:asciiTheme="majorEastAsia" w:hAnsiTheme="majorEastAsia" w:eastAsiaTheme="majorEastAsia"/>
          <w:color w:val="333333"/>
          <w:kern w:val="0"/>
          <w:sz w:val="24"/>
          <w:szCs w:val="24"/>
        </w:rPr>
        <w:t>4万元，无因公出国（境）费；</w:t>
      </w:r>
      <w:r>
        <w:rPr>
          <w:rFonts w:asciiTheme="majorEastAsia" w:hAnsiTheme="majorEastAsia" w:eastAsiaTheme="majorEastAsia"/>
          <w:sz w:val="24"/>
          <w:szCs w:val="24"/>
        </w:rPr>
        <w:t>公务用车购置及运行费</w:t>
      </w:r>
      <w:r>
        <w:rPr>
          <w:rFonts w:hint="eastAsia" w:asciiTheme="majorEastAsia" w:hAnsiTheme="majorEastAsia" w:eastAsiaTheme="majorEastAsia"/>
          <w:sz w:val="24"/>
          <w:szCs w:val="24"/>
        </w:rPr>
        <w:t>115.2</w:t>
      </w:r>
      <w:r>
        <w:rPr>
          <w:rFonts w:asciiTheme="majorEastAsia" w:hAnsiTheme="majorEastAsia" w:eastAsiaTheme="majorEastAsia"/>
          <w:sz w:val="24"/>
          <w:szCs w:val="24"/>
        </w:rPr>
        <w:t>万元（其中，公务用车购置费</w:t>
      </w:r>
      <w:r>
        <w:rPr>
          <w:rFonts w:hint="eastAsia" w:asciiTheme="majorEastAsia" w:hAnsiTheme="majorEastAsia" w:eastAsiaTheme="majorEastAsia"/>
          <w:sz w:val="24"/>
          <w:szCs w:val="24"/>
        </w:rPr>
        <w:t>0</w:t>
      </w:r>
      <w:r>
        <w:rPr>
          <w:rFonts w:asciiTheme="majorEastAsia" w:hAnsiTheme="majorEastAsia" w:eastAsiaTheme="majorEastAsia"/>
          <w:sz w:val="24"/>
          <w:szCs w:val="24"/>
        </w:rPr>
        <w:t xml:space="preserve"> 万元，公务用车运行费 </w:t>
      </w:r>
      <w:r>
        <w:rPr>
          <w:rFonts w:hint="eastAsia" w:asciiTheme="majorEastAsia" w:hAnsiTheme="majorEastAsia" w:eastAsiaTheme="majorEastAsia"/>
          <w:sz w:val="24"/>
          <w:szCs w:val="24"/>
        </w:rPr>
        <w:t>115.2</w:t>
      </w:r>
      <w:r>
        <w:rPr>
          <w:rFonts w:asciiTheme="majorEastAsia" w:hAnsiTheme="majorEastAsia" w:eastAsiaTheme="majorEastAsia"/>
          <w:sz w:val="24"/>
          <w:szCs w:val="24"/>
        </w:rPr>
        <w:t>万元）</w:t>
      </w:r>
      <w:r>
        <w:rPr>
          <w:rFonts w:cs="宋体" w:asciiTheme="majorEastAsia" w:hAnsiTheme="majorEastAsia" w:eastAsiaTheme="majorEastAsia"/>
          <w:color w:val="333333"/>
          <w:kern w:val="0"/>
          <w:sz w:val="24"/>
          <w:szCs w:val="24"/>
        </w:rPr>
        <w:t>。与201</w:t>
      </w:r>
      <w:r>
        <w:rPr>
          <w:rFonts w:hint="eastAsia" w:cs="宋体" w:asciiTheme="majorEastAsia" w:hAnsiTheme="majorEastAsia" w:eastAsiaTheme="majorEastAsia"/>
          <w:color w:val="333333"/>
          <w:kern w:val="0"/>
          <w:sz w:val="24"/>
          <w:szCs w:val="24"/>
        </w:rPr>
        <w:t>9</w:t>
      </w:r>
      <w:r>
        <w:rPr>
          <w:rFonts w:cs="宋体" w:asciiTheme="majorEastAsia" w:hAnsiTheme="majorEastAsia" w:eastAsiaTheme="majorEastAsia"/>
          <w:color w:val="333333"/>
          <w:kern w:val="0"/>
          <w:sz w:val="24"/>
          <w:szCs w:val="24"/>
        </w:rPr>
        <w:t>年比较</w:t>
      </w:r>
      <w:r>
        <w:rPr>
          <w:rFonts w:hint="eastAsia" w:cs="宋体" w:asciiTheme="majorEastAsia" w:hAnsiTheme="majorEastAsia" w:eastAsiaTheme="majorEastAsia"/>
          <w:color w:val="333333"/>
          <w:kern w:val="0"/>
          <w:sz w:val="24"/>
          <w:szCs w:val="24"/>
        </w:rPr>
        <w:t>增</w:t>
      </w:r>
      <w:r>
        <w:rPr>
          <w:rFonts w:hint="eastAsia" w:ascii="宋体" w:hAnsi="宋体" w:eastAsia="宋体" w:cs="宋体"/>
          <w:color w:val="333333"/>
          <w:kern w:val="0"/>
          <w:sz w:val="24"/>
          <w:szCs w:val="24"/>
        </w:rPr>
        <w:t>加公务接待费119.1</w:t>
      </w:r>
      <w:r>
        <w:rPr>
          <w:rFonts w:ascii="宋体" w:hAnsi="宋体" w:eastAsia="宋体" w:cs="宋体"/>
          <w:color w:val="333333"/>
          <w:kern w:val="0"/>
          <w:sz w:val="24"/>
          <w:szCs w:val="24"/>
        </w:rPr>
        <w:t>万元，因机构改革，新增部门职能职责；与</w:t>
      </w:r>
      <w:r>
        <w:rPr>
          <w:rFonts w:hint="eastAsia" w:ascii="宋体" w:hAnsi="宋体" w:eastAsia="宋体" w:cs="宋体"/>
          <w:color w:val="333333"/>
          <w:kern w:val="0"/>
          <w:sz w:val="24"/>
          <w:szCs w:val="24"/>
        </w:rPr>
        <w:t>2019年比较减少公务用车运行维护费减少34.8万元，因年初部门预算压减。</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3、政府采购安排</w:t>
      </w:r>
      <w:r>
        <w:rPr>
          <w:rFonts w:hint="eastAsia" w:ascii="宋体" w:hAnsi="宋体" w:eastAsia="宋体" w:cs="宋体"/>
          <w:color w:val="333333"/>
          <w:kern w:val="0"/>
          <w:sz w:val="24"/>
          <w:szCs w:val="24"/>
        </w:rPr>
        <w:t>情况 ：</w:t>
      </w:r>
      <w:r>
        <w:rPr>
          <w:rFonts w:ascii="宋体" w:hAnsi="宋体" w:eastAsia="宋体" w:cs="宋体"/>
          <w:color w:val="333333"/>
          <w:kern w:val="0"/>
          <w:sz w:val="24"/>
          <w:szCs w:val="24"/>
        </w:rPr>
        <w:t>20</w:t>
      </w:r>
      <w:r>
        <w:rPr>
          <w:rFonts w:hint="eastAsia" w:ascii="宋体" w:hAnsi="宋体" w:eastAsia="宋体" w:cs="宋体"/>
          <w:color w:val="333333"/>
          <w:kern w:val="0"/>
          <w:sz w:val="24"/>
          <w:szCs w:val="24"/>
        </w:rPr>
        <w:t>20</w:t>
      </w:r>
      <w:r>
        <w:rPr>
          <w:rFonts w:ascii="宋体" w:hAnsi="宋体" w:eastAsia="宋体" w:cs="宋体"/>
          <w:color w:val="333333"/>
          <w:kern w:val="0"/>
          <w:sz w:val="24"/>
          <w:szCs w:val="24"/>
        </w:rPr>
        <w:t>年采购预算安排合计</w:t>
      </w:r>
      <w:r>
        <w:rPr>
          <w:rFonts w:hint="eastAsia" w:ascii="宋体" w:hAnsi="宋体" w:eastAsia="宋体" w:cs="宋体"/>
          <w:color w:val="333333"/>
          <w:kern w:val="0"/>
          <w:sz w:val="24"/>
          <w:szCs w:val="24"/>
        </w:rPr>
        <w:t>1104</w:t>
      </w:r>
      <w:r>
        <w:rPr>
          <w:rFonts w:ascii="宋体" w:hAnsi="宋体" w:eastAsia="宋体" w:cs="宋体"/>
          <w:color w:val="333333"/>
          <w:kern w:val="0"/>
          <w:sz w:val="24"/>
          <w:szCs w:val="24"/>
        </w:rPr>
        <w:t>万元，其中货物类采购</w:t>
      </w:r>
      <w:r>
        <w:rPr>
          <w:rFonts w:hint="eastAsia" w:ascii="宋体" w:hAnsi="宋体" w:eastAsia="宋体" w:cs="宋体"/>
          <w:color w:val="333333"/>
          <w:kern w:val="0"/>
          <w:sz w:val="24"/>
          <w:szCs w:val="24"/>
        </w:rPr>
        <w:t>97</w:t>
      </w:r>
      <w:r>
        <w:rPr>
          <w:rFonts w:ascii="宋体" w:hAnsi="宋体" w:eastAsia="宋体" w:cs="宋体"/>
          <w:color w:val="333333"/>
          <w:kern w:val="0"/>
          <w:sz w:val="24"/>
          <w:szCs w:val="24"/>
        </w:rPr>
        <w:t>万元，服务类采购</w:t>
      </w:r>
      <w:r>
        <w:rPr>
          <w:rFonts w:hint="eastAsia" w:ascii="宋体" w:hAnsi="宋体" w:eastAsia="宋体" w:cs="宋体"/>
          <w:color w:val="333333"/>
          <w:kern w:val="0"/>
          <w:sz w:val="24"/>
          <w:szCs w:val="24"/>
        </w:rPr>
        <w:t>420</w:t>
      </w:r>
      <w:r>
        <w:rPr>
          <w:rFonts w:ascii="宋体" w:hAnsi="宋体" w:eastAsia="宋体" w:cs="宋体"/>
          <w:color w:val="333333"/>
          <w:kern w:val="0"/>
          <w:sz w:val="24"/>
          <w:szCs w:val="24"/>
        </w:rPr>
        <w:t>万元</w:t>
      </w:r>
      <w:r>
        <w:rPr>
          <w:rFonts w:hint="eastAsia" w:ascii="宋体" w:hAnsi="宋体" w:eastAsia="宋体" w:cs="宋体"/>
          <w:color w:val="333333"/>
          <w:kern w:val="0"/>
          <w:sz w:val="24"/>
          <w:szCs w:val="24"/>
        </w:rPr>
        <w:t>，工程类采购587万元。</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4、</w:t>
      </w:r>
      <w:r>
        <w:rPr>
          <w:rFonts w:hint="eastAsia" w:ascii="宋体" w:hAnsi="宋体" w:eastAsia="宋体" w:cs="宋体"/>
          <w:color w:val="333333"/>
          <w:kern w:val="0"/>
          <w:sz w:val="24"/>
          <w:szCs w:val="24"/>
        </w:rPr>
        <w:t>国有资产占用情况 ：本部门共有固定资产原值2052.61万元，在占有使用固定资产中，房屋4栋，原值1358.97万元；通用设备115个（台、辆等），原值654.10万元；家具、用具、装具及动植物549个（套等），原值39.54万元，分别占固定资产比重为66%、32%、2%。</w:t>
      </w:r>
    </w:p>
    <w:p>
      <w:pPr>
        <w:widowControl/>
        <w:shd w:val="clear" w:color="auto" w:fill="FFFFFF"/>
        <w:spacing w:line="480" w:lineRule="auto"/>
        <w:ind w:firstLine="480"/>
        <w:rPr>
          <w:rFonts w:ascii="宋体" w:hAnsi="宋体" w:eastAsia="宋体" w:cs="宋体"/>
          <w:color w:val="333333"/>
          <w:kern w:val="0"/>
          <w:sz w:val="24"/>
          <w:szCs w:val="24"/>
        </w:rPr>
      </w:pPr>
      <w:r>
        <w:rPr>
          <w:rFonts w:hint="eastAsia" w:ascii="宋体" w:hAnsi="宋体" w:eastAsia="宋体" w:cs="宋体"/>
          <w:color w:val="333333"/>
          <w:kern w:val="0"/>
          <w:sz w:val="24"/>
          <w:szCs w:val="24"/>
        </w:rPr>
        <w:t>占有使用车辆26辆，均为一般公务用车，原值626万元。</w:t>
      </w:r>
    </w:p>
    <w:p>
      <w:pPr>
        <w:widowControl/>
        <w:numPr>
          <w:ilvl w:val="0"/>
          <w:numId w:val="1"/>
        </w:numPr>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重点项目预算的绩效目标情况</w:t>
      </w:r>
      <w:r>
        <w:rPr>
          <w:rFonts w:hint="eastAsia" w:ascii="宋体" w:hAnsi="宋体" w:eastAsia="宋体" w:cs="宋体"/>
          <w:color w:val="333333"/>
          <w:kern w:val="0"/>
          <w:sz w:val="24"/>
          <w:szCs w:val="24"/>
        </w:rPr>
        <w:t>：</w:t>
      </w:r>
      <w:r>
        <w:rPr>
          <w:rFonts w:hint="eastAsia" w:ascii="宋体" w:hAnsi="宋体" w:eastAsia="宋体" w:cs="宋体"/>
          <w:color w:val="333333"/>
          <w:sz w:val="24"/>
          <w:szCs w:val="24"/>
          <w:shd w:val="clear" w:color="auto" w:fill="FFFFFF"/>
        </w:rPr>
        <w:t>2020年</w:t>
      </w:r>
      <w:r>
        <w:rPr>
          <w:rFonts w:hint="eastAsia" w:ascii="宋体" w:hAnsi="宋体" w:eastAsia="宋体" w:cs="宋体"/>
          <w:color w:val="333333"/>
          <w:kern w:val="0"/>
          <w:sz w:val="24"/>
          <w:szCs w:val="24"/>
        </w:rPr>
        <w:t>本部门</w:t>
      </w:r>
      <w:r>
        <w:rPr>
          <w:rFonts w:hint="eastAsia" w:ascii="宋体" w:hAnsi="宋体" w:eastAsia="宋体" w:cs="宋体"/>
          <w:color w:val="333333"/>
          <w:sz w:val="24"/>
          <w:szCs w:val="24"/>
          <w:shd w:val="clear" w:color="auto" w:fill="FFFFFF"/>
        </w:rPr>
        <w:t>无重点项目，根据湘潭县财政局关于加强绩效管理的相关工作的要求，继续加强了对项目资金的绩效管理工作，认真对照财政支出绩效评价指标体系进行自评，围绕项目产出、项目效益等指标进行评价，按要求开展预算绩效管理工作。</w:t>
      </w:r>
    </w:p>
    <w:p>
      <w:pPr>
        <w:widowControl/>
        <w:shd w:val="clear" w:color="auto" w:fill="FFFFFF"/>
        <w:spacing w:line="480" w:lineRule="auto"/>
        <w:ind w:firstLine="480" w:firstLineChars="200"/>
        <w:rPr>
          <w:rFonts w:ascii="宋体" w:hAnsi="宋体" w:eastAsia="宋体" w:cs="宋体"/>
          <w:color w:val="333333"/>
          <w:kern w:val="0"/>
          <w:sz w:val="24"/>
          <w:szCs w:val="24"/>
        </w:rPr>
      </w:pPr>
      <w:r>
        <w:rPr>
          <w:rFonts w:ascii="宋体" w:hAnsi="宋体" w:eastAsia="宋体" w:cs="宋体"/>
          <w:color w:val="333333"/>
          <w:kern w:val="0"/>
          <w:sz w:val="24"/>
          <w:szCs w:val="24"/>
        </w:rPr>
        <w:t>七、名词解释 </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1、机关运行经费：是指各部门的公用经费，包括办公及印刷费、邮电费、差旅费、会议费、福利费、日常维修费、专用设备及信息网络、办公用房水电费、办公用房物业管理费、公务用车运行维护费以及其他费用。 </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2、“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3、基本支出：是指为保障机构正常运转、完成日常工作任务而发生的人员支出和公用支出。</w:t>
      </w:r>
    </w:p>
    <w:p>
      <w:pPr>
        <w:widowControl/>
        <w:shd w:val="clear" w:color="auto" w:fill="FFFFFF"/>
        <w:spacing w:line="480" w:lineRule="auto"/>
        <w:ind w:firstLine="480"/>
        <w:rPr>
          <w:rFonts w:ascii="宋体" w:hAnsi="宋体" w:eastAsia="宋体" w:cs="宋体"/>
          <w:color w:val="333333"/>
          <w:kern w:val="0"/>
          <w:sz w:val="24"/>
          <w:szCs w:val="24"/>
        </w:rPr>
      </w:pPr>
      <w:r>
        <w:rPr>
          <w:rFonts w:ascii="宋体" w:hAnsi="宋体" w:eastAsia="宋体" w:cs="宋体"/>
          <w:color w:val="333333"/>
          <w:kern w:val="0"/>
          <w:sz w:val="24"/>
          <w:szCs w:val="24"/>
        </w:rPr>
        <w:t>4、项目支出：是指在基本支出之外为完成特定行政任务和事业发展目标所发生的支出。 </w:t>
      </w:r>
    </w:p>
    <w:p>
      <w:pPr>
        <w:widowControl/>
        <w:shd w:val="clear" w:color="auto" w:fill="FFFFFF"/>
        <w:outlineLvl w:val="1"/>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1645A3"/>
    <w:multiLevelType w:val="singleLevel"/>
    <w:tmpl w:val="6E1645A3"/>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jNWQ3ZTFjMmJlN2U2ZWI0MmMyNGE1NDQ0ZTdlYjgifQ=="/>
  </w:docVars>
  <w:rsids>
    <w:rsidRoot w:val="00914796"/>
    <w:rsid w:val="00001AEE"/>
    <w:rsid w:val="00091E39"/>
    <w:rsid w:val="000937DA"/>
    <w:rsid w:val="00152BE3"/>
    <w:rsid w:val="001B3630"/>
    <w:rsid w:val="001B4EDD"/>
    <w:rsid w:val="001B6DF6"/>
    <w:rsid w:val="00201034"/>
    <w:rsid w:val="002C0894"/>
    <w:rsid w:val="003C6366"/>
    <w:rsid w:val="003E0746"/>
    <w:rsid w:val="004D3C87"/>
    <w:rsid w:val="005249A4"/>
    <w:rsid w:val="0058776E"/>
    <w:rsid w:val="005B309E"/>
    <w:rsid w:val="0069415E"/>
    <w:rsid w:val="007A717F"/>
    <w:rsid w:val="007B33F0"/>
    <w:rsid w:val="008176B1"/>
    <w:rsid w:val="00834475"/>
    <w:rsid w:val="0085379F"/>
    <w:rsid w:val="008D4AC9"/>
    <w:rsid w:val="00914796"/>
    <w:rsid w:val="009317B7"/>
    <w:rsid w:val="009336D9"/>
    <w:rsid w:val="0093675E"/>
    <w:rsid w:val="009755B7"/>
    <w:rsid w:val="00A31D4E"/>
    <w:rsid w:val="00A3625A"/>
    <w:rsid w:val="00B276CA"/>
    <w:rsid w:val="00B57D83"/>
    <w:rsid w:val="00B62A04"/>
    <w:rsid w:val="00B9420F"/>
    <w:rsid w:val="00BF6B61"/>
    <w:rsid w:val="00C559AB"/>
    <w:rsid w:val="00C76E71"/>
    <w:rsid w:val="00C96CAC"/>
    <w:rsid w:val="00CB5F27"/>
    <w:rsid w:val="00D825D6"/>
    <w:rsid w:val="00E13AE8"/>
    <w:rsid w:val="00E37E7C"/>
    <w:rsid w:val="00FA5851"/>
    <w:rsid w:val="0AFB4013"/>
    <w:rsid w:val="1A3763E4"/>
    <w:rsid w:val="5EE96350"/>
    <w:rsid w:val="754B0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6"/>
    <w:semiHidden/>
    <w:unhideWhenUsed/>
    <w:uiPriority w:val="99"/>
    <w:rPr>
      <w:sz w:val="18"/>
      <w:szCs w:val="18"/>
    </w:rPr>
  </w:style>
  <w:style w:type="paragraph" w:styleId="3">
    <w:name w:val="footer"/>
    <w:basedOn w:val="1"/>
    <w:link w:val="32"/>
    <w:unhideWhenUsed/>
    <w:qFormat/>
    <w:uiPriority w:val="99"/>
    <w:pPr>
      <w:tabs>
        <w:tab w:val="center" w:pos="4153"/>
        <w:tab w:val="right" w:pos="8306"/>
      </w:tabs>
      <w:snapToGrid w:val="0"/>
      <w:jc w:val="left"/>
    </w:pPr>
    <w:rPr>
      <w:sz w:val="18"/>
      <w:szCs w:val="18"/>
    </w:rPr>
  </w:style>
  <w:style w:type="paragraph" w:styleId="4">
    <w:name w:val="header"/>
    <w:basedOn w:val="1"/>
    <w:link w:val="3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rPr>
  </w:style>
  <w:style w:type="character" w:styleId="9">
    <w:name w:val="FollowedHyperlink"/>
    <w:basedOn w:val="7"/>
    <w:semiHidden/>
    <w:unhideWhenUsed/>
    <w:uiPriority w:val="99"/>
    <w:rPr>
      <w:color w:val="333333"/>
      <w:u w:val="none"/>
    </w:rPr>
  </w:style>
  <w:style w:type="character" w:styleId="10">
    <w:name w:val="Emphasis"/>
    <w:basedOn w:val="7"/>
    <w:qFormat/>
    <w:uiPriority w:val="20"/>
  </w:style>
  <w:style w:type="character" w:styleId="11">
    <w:name w:val="HTML Definition"/>
    <w:basedOn w:val="7"/>
    <w:semiHidden/>
    <w:unhideWhenUsed/>
    <w:uiPriority w:val="99"/>
    <w:rPr>
      <w:i/>
    </w:rPr>
  </w:style>
  <w:style w:type="character" w:styleId="12">
    <w:name w:val="Hyperlink"/>
    <w:basedOn w:val="7"/>
    <w:semiHidden/>
    <w:unhideWhenUsed/>
    <w:uiPriority w:val="99"/>
    <w:rPr>
      <w:color w:val="333333"/>
      <w:u w:val="none"/>
    </w:rPr>
  </w:style>
  <w:style w:type="character" w:styleId="13">
    <w:name w:val="HTML Code"/>
    <w:basedOn w:val="7"/>
    <w:semiHidden/>
    <w:unhideWhenUsed/>
    <w:uiPriority w:val="99"/>
    <w:rPr>
      <w:rFonts w:ascii="Consolas" w:hAnsi="Consolas" w:eastAsia="Consolas" w:cs="Consolas"/>
      <w:color w:val="C7254E"/>
      <w:sz w:val="21"/>
      <w:szCs w:val="21"/>
      <w:shd w:val="clear" w:color="auto" w:fill="F9F2F4"/>
    </w:rPr>
  </w:style>
  <w:style w:type="character" w:styleId="14">
    <w:name w:val="HTML Keyboard"/>
    <w:basedOn w:val="7"/>
    <w:semiHidden/>
    <w:unhideWhenUsed/>
    <w:uiPriority w:val="99"/>
    <w:rPr>
      <w:rFonts w:hint="default" w:ascii="Consolas" w:hAnsi="Consolas" w:eastAsia="Consolas" w:cs="Consolas"/>
      <w:color w:val="FFFFFF"/>
      <w:sz w:val="21"/>
      <w:szCs w:val="21"/>
      <w:shd w:val="clear" w:color="auto" w:fill="333333"/>
    </w:rPr>
  </w:style>
  <w:style w:type="character" w:styleId="15">
    <w:name w:val="HTML Sample"/>
    <w:basedOn w:val="7"/>
    <w:semiHidden/>
    <w:unhideWhenUsed/>
    <w:uiPriority w:val="99"/>
    <w:rPr>
      <w:rFonts w:hint="default" w:ascii="Consolas" w:hAnsi="Consolas" w:eastAsia="Consolas" w:cs="Consolas"/>
      <w:sz w:val="21"/>
      <w:szCs w:val="21"/>
    </w:rPr>
  </w:style>
  <w:style w:type="character" w:customStyle="1" w:styleId="16">
    <w:name w:val="批注框文本 Char"/>
    <w:basedOn w:val="7"/>
    <w:link w:val="2"/>
    <w:semiHidden/>
    <w:uiPriority w:val="99"/>
    <w:rPr>
      <w:sz w:val="18"/>
      <w:szCs w:val="18"/>
    </w:rPr>
  </w:style>
  <w:style w:type="character" w:customStyle="1" w:styleId="17">
    <w:name w:val="wf-f-forecast-aqi-5[data-v-158b712f]"/>
    <w:basedOn w:val="7"/>
    <w:uiPriority w:val="0"/>
    <w:rPr>
      <w:color w:val="8A4DAA"/>
    </w:rPr>
  </w:style>
  <w:style w:type="character" w:customStyle="1" w:styleId="18">
    <w:name w:val="wf-f-forecast-aqi-6[data-v-158b712f]"/>
    <w:basedOn w:val="7"/>
    <w:uiPriority w:val="0"/>
    <w:rPr>
      <w:color w:val="BF2762"/>
    </w:rPr>
  </w:style>
  <w:style w:type="character" w:customStyle="1" w:styleId="19">
    <w:name w:val="select2-selection__rendered"/>
    <w:basedOn w:val="7"/>
    <w:uiPriority w:val="0"/>
    <w:rPr>
      <w:sz w:val="18"/>
      <w:szCs w:val="18"/>
    </w:rPr>
  </w:style>
  <w:style w:type="character" w:customStyle="1" w:styleId="20">
    <w:name w:val="time"/>
    <w:basedOn w:val="7"/>
    <w:uiPriority w:val="0"/>
    <w:rPr>
      <w:rFonts w:ascii="Arial" w:hAnsi="Arial" w:cs="Arial"/>
    </w:rPr>
  </w:style>
  <w:style w:type="character" w:customStyle="1" w:styleId="21">
    <w:name w:val="wf-f-forecast-aqi-3[data-v-158b712f]"/>
    <w:basedOn w:val="7"/>
    <w:qFormat/>
    <w:uiPriority w:val="0"/>
    <w:rPr>
      <w:color w:val="E59C3B"/>
    </w:rPr>
  </w:style>
  <w:style w:type="character" w:customStyle="1" w:styleId="22">
    <w:name w:val="wf-f-forecast-aqi-1[data-v-158b712f]"/>
    <w:basedOn w:val="7"/>
    <w:qFormat/>
    <w:uiPriority w:val="0"/>
    <w:rPr>
      <w:color w:val="94CE6F"/>
    </w:rPr>
  </w:style>
  <w:style w:type="character" w:customStyle="1" w:styleId="23">
    <w:name w:val="zjj"/>
    <w:basedOn w:val="7"/>
    <w:qFormat/>
    <w:uiPriority w:val="0"/>
  </w:style>
  <w:style w:type="character" w:customStyle="1" w:styleId="24">
    <w:name w:val="zjj1"/>
    <w:basedOn w:val="7"/>
    <w:uiPriority w:val="0"/>
  </w:style>
  <w:style w:type="character" w:customStyle="1" w:styleId="25">
    <w:name w:val="wf-f-forecast-aqi-2[data-v-158b712f]"/>
    <w:basedOn w:val="7"/>
    <w:qFormat/>
    <w:uiPriority w:val="0"/>
    <w:rPr>
      <w:color w:val="E4C600"/>
    </w:rPr>
  </w:style>
  <w:style w:type="character" w:customStyle="1" w:styleId="26">
    <w:name w:val="wf-f-forecast-aqi-4[data-v-158b712f]"/>
    <w:basedOn w:val="7"/>
    <w:uiPriority w:val="0"/>
    <w:rPr>
      <w:color w:val="C76464"/>
    </w:rPr>
  </w:style>
  <w:style w:type="character" w:customStyle="1" w:styleId="27">
    <w:name w:val="bsharetext"/>
    <w:basedOn w:val="7"/>
    <w:qFormat/>
    <w:uiPriority w:val="0"/>
  </w:style>
  <w:style w:type="character" w:customStyle="1" w:styleId="28">
    <w:name w:val="wx-space"/>
    <w:basedOn w:val="7"/>
    <w:qFormat/>
    <w:uiPriority w:val="0"/>
  </w:style>
  <w:style w:type="character" w:customStyle="1" w:styleId="29">
    <w:name w:val="wx-space1"/>
    <w:basedOn w:val="7"/>
    <w:qFormat/>
    <w:uiPriority w:val="0"/>
  </w:style>
  <w:style w:type="character" w:customStyle="1" w:styleId="30">
    <w:name w:val="hover17"/>
    <w:basedOn w:val="7"/>
    <w:qFormat/>
    <w:uiPriority w:val="0"/>
    <w:rPr>
      <w:color w:val="000000"/>
      <w:shd w:val="clear" w:color="auto" w:fill="FFFFFF"/>
    </w:rPr>
  </w:style>
  <w:style w:type="character" w:customStyle="1" w:styleId="31">
    <w:name w:val="页眉 Char"/>
    <w:basedOn w:val="7"/>
    <w:link w:val="4"/>
    <w:qFormat/>
    <w:uiPriority w:val="99"/>
    <w:rPr>
      <w:rFonts w:asciiTheme="minorHAnsi" w:hAnsiTheme="minorHAnsi" w:eastAsiaTheme="minorEastAsia" w:cstheme="minorBidi"/>
      <w:kern w:val="2"/>
      <w:sz w:val="18"/>
      <w:szCs w:val="18"/>
    </w:rPr>
  </w:style>
  <w:style w:type="character" w:customStyle="1" w:styleId="32">
    <w:name w:val="页脚 Char"/>
    <w:basedOn w:val="7"/>
    <w:link w:val="3"/>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EE1FC4-4825-4419-A4B6-26093E1FD646}">
  <ds:schemaRefs/>
</ds:datastoreItem>
</file>

<file path=docProps/app.xml><?xml version="1.0" encoding="utf-8"?>
<Properties xmlns="http://schemas.openxmlformats.org/officeDocument/2006/extended-properties" xmlns:vt="http://schemas.openxmlformats.org/officeDocument/2006/docPropsVTypes">
  <Template>Normal</Template>
  <Pages>6</Pages>
  <Words>445</Words>
  <Characters>2543</Characters>
  <Lines>21</Lines>
  <Paragraphs>5</Paragraphs>
  <TotalTime>93</TotalTime>
  <ScaleCrop>false</ScaleCrop>
  <LinksUpToDate>false</LinksUpToDate>
  <CharactersWithSpaces>2983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2020-06-02T00:24:00Z</dcterms:created>
  <dc:creator>WDS</dc:creator>
  <cp:lastModifiedBy>Sun. Tao.</cp:lastModifiedBy>
  <dcterms:modified xsi:type="dcterms:W3CDTF">2023-10-26T01:40:13Z</dcterms:modified>
  <cp:revision>168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94AC95F020D4423C9DB32015C8169EB8_12</vt:lpwstr>
  </property>
</Properties>
</file>