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5000" w:type="pct"/>
        <w:tblInd w:w="0" w:type="dxa"/>
        <w:shd w:val="clear" w:color="auto" w:fill="auto"/>
        <w:tblLayout w:type="autofit"/>
        <w:tblCellMar>
          <w:top w:w="0" w:type="dxa"/>
          <w:left w:w="0" w:type="dxa"/>
          <w:bottom w:w="0" w:type="dxa"/>
          <w:right w:w="0" w:type="dxa"/>
        </w:tblCellMar>
      </w:tblPr>
      <w:tblGrid>
        <w:gridCol w:w="461"/>
        <w:gridCol w:w="677"/>
        <w:gridCol w:w="7198"/>
      </w:tblGrid>
      <w:tr>
        <w:tblPrEx>
          <w:shd w:val="clear" w:color="auto" w:fill="auto"/>
          <w:tblCellMar>
            <w:top w:w="0" w:type="dxa"/>
            <w:left w:w="0" w:type="dxa"/>
            <w:bottom w:w="0" w:type="dxa"/>
            <w:right w:w="0" w:type="dxa"/>
          </w:tblCellMar>
        </w:tblPrEx>
        <w:trPr>
          <w:trHeight w:val="450" w:hRule="atLeast"/>
        </w:trPr>
        <w:tc>
          <w:tcPr>
            <w:tcW w:w="5000" w:type="pct"/>
            <w:gridSpan w:val="3"/>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2019年湘潭县科技特派员</w:t>
            </w:r>
          </w:p>
        </w:tc>
      </w:tr>
      <w:tr>
        <w:tblPrEx>
          <w:tblCellMar>
            <w:top w:w="0" w:type="dxa"/>
            <w:left w:w="0" w:type="dxa"/>
            <w:bottom w:w="0" w:type="dxa"/>
            <w:right w:w="0" w:type="dxa"/>
          </w:tblCellMar>
        </w:tblPrEx>
        <w:trPr>
          <w:trHeight w:val="450" w:hRule="atLeast"/>
        </w:trPr>
        <w:tc>
          <w:tcPr>
            <w:tcW w:w="5000" w:type="pct"/>
            <w:gridSpan w:val="3"/>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项目支出绩效评价报告</w:t>
            </w:r>
          </w:p>
        </w:tc>
      </w:tr>
      <w:tr>
        <w:tblPrEx>
          <w:tblCellMar>
            <w:top w:w="0" w:type="dxa"/>
            <w:left w:w="0" w:type="dxa"/>
            <w:bottom w:w="0" w:type="dxa"/>
            <w:right w:w="0" w:type="dxa"/>
          </w:tblCellMar>
        </w:tblPrEx>
        <w:trPr>
          <w:trHeight w:val="270" w:hRule="atLeast"/>
        </w:trPr>
        <w:tc>
          <w:tcPr>
            <w:tcW w:w="268" w:type="pct"/>
            <w:tcBorders>
              <w:top w:val="nil"/>
              <w:left w:val="nil"/>
              <w:bottom w:val="nil"/>
              <w:right w:val="nil"/>
            </w:tcBorders>
            <w:shd w:val="clear" w:color="auto" w:fill="auto"/>
            <w:noWrap/>
            <w:tcMar>
              <w:top w:w="15" w:type="dxa"/>
              <w:left w:w="15" w:type="dxa"/>
              <w:right w:w="15" w:type="dxa"/>
            </w:tcMar>
            <w:vAlign w:val="center"/>
          </w:tcPr>
          <w:p>
            <w:pPr>
              <w:rPr>
                <w:rFonts w:hint="eastAsia" w:ascii="Arial" w:hAnsi="Arial" w:eastAsia="宋体" w:cs="Arial"/>
                <w:i w:val="0"/>
                <w:color w:val="000000"/>
                <w:sz w:val="20"/>
                <w:szCs w:val="20"/>
                <w:u w:val="none"/>
              </w:rPr>
            </w:pPr>
          </w:p>
        </w:tc>
        <w:tc>
          <w:tcPr>
            <w:tcW w:w="398" w:type="pct"/>
            <w:tcBorders>
              <w:top w:val="nil"/>
              <w:left w:val="nil"/>
              <w:bottom w:val="nil"/>
              <w:right w:val="nil"/>
            </w:tcBorders>
            <w:shd w:val="clear" w:color="auto" w:fill="auto"/>
            <w:noWrap/>
            <w:tcMar>
              <w:top w:w="15" w:type="dxa"/>
              <w:left w:w="15" w:type="dxa"/>
              <w:right w:w="15" w:type="dxa"/>
            </w:tcMar>
            <w:vAlign w:val="center"/>
          </w:tcPr>
          <w:p>
            <w:pPr>
              <w:rPr>
                <w:rFonts w:hint="default" w:ascii="Arial" w:hAnsi="Arial" w:eastAsia="宋体" w:cs="Arial"/>
                <w:i w:val="0"/>
                <w:color w:val="000000"/>
                <w:sz w:val="20"/>
                <w:szCs w:val="20"/>
                <w:u w:val="none"/>
              </w:rPr>
            </w:pPr>
          </w:p>
        </w:tc>
        <w:tc>
          <w:tcPr>
            <w:tcW w:w="4333" w:type="pct"/>
            <w:tcBorders>
              <w:top w:val="nil"/>
              <w:left w:val="nil"/>
              <w:bottom w:val="nil"/>
              <w:right w:val="nil"/>
            </w:tcBorders>
            <w:shd w:val="clear" w:color="auto" w:fill="auto"/>
            <w:noWrap/>
            <w:tcMar>
              <w:top w:w="15" w:type="dxa"/>
              <w:left w:w="15" w:type="dxa"/>
              <w:right w:w="15" w:type="dxa"/>
            </w:tcMar>
            <w:vAlign w:val="center"/>
          </w:tcPr>
          <w:p>
            <w:pPr>
              <w:rPr>
                <w:rFonts w:hint="default" w:ascii="Arial" w:hAnsi="Arial" w:eastAsia="宋体" w:cs="Arial"/>
                <w:i w:val="0"/>
                <w:color w:val="000000"/>
                <w:sz w:val="20"/>
                <w:szCs w:val="20"/>
                <w:u w:val="none"/>
              </w:rPr>
            </w:pPr>
          </w:p>
        </w:tc>
      </w:tr>
      <w:tr>
        <w:tblPrEx>
          <w:tblCellMar>
            <w:top w:w="0" w:type="dxa"/>
            <w:left w:w="0" w:type="dxa"/>
            <w:bottom w:w="0" w:type="dxa"/>
            <w:right w:w="0" w:type="dxa"/>
          </w:tblCellMar>
        </w:tblPrEx>
        <w:trPr>
          <w:trHeight w:val="785" w:hRule="atLeast"/>
        </w:trPr>
        <w:tc>
          <w:tcPr>
            <w:tcW w:w="268" w:type="pct"/>
            <w:vMerge w:val="restar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eastAsia="仿宋_GB2312"/>
                <w:sz w:val="24"/>
                <w:lang w:val="zh-CN" w:eastAsia="zh-CN"/>
              </w:rPr>
            </w:pPr>
            <w:r>
              <w:rPr>
                <w:rFonts w:hint="eastAsia" w:ascii="仿宋_GB2312" w:eastAsia="仿宋_GB2312"/>
                <w:sz w:val="24"/>
                <w:lang w:val="en-US" w:eastAsia="zh-CN"/>
              </w:rPr>
              <w:t>部门概况</w:t>
            </w:r>
          </w:p>
        </w:tc>
        <w:tc>
          <w:tcPr>
            <w:tcW w:w="398"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eastAsia="仿宋_GB2312"/>
                <w:sz w:val="24"/>
                <w:lang w:val="zh-CN" w:eastAsia="zh-CN"/>
              </w:rPr>
            </w:pPr>
            <w:r>
              <w:rPr>
                <w:rFonts w:hint="eastAsia" w:ascii="仿宋_GB2312" w:eastAsia="仿宋_GB2312"/>
                <w:sz w:val="24"/>
                <w:lang w:val="en-US" w:eastAsia="zh-CN"/>
              </w:rPr>
              <w:t>专项名称</w:t>
            </w:r>
          </w:p>
        </w:tc>
        <w:tc>
          <w:tcPr>
            <w:tcW w:w="4333"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eastAsia="仿宋_GB2312"/>
                <w:sz w:val="24"/>
                <w:lang w:val="zh-CN" w:eastAsia="zh-CN"/>
              </w:rPr>
            </w:pPr>
            <w:r>
              <w:rPr>
                <w:rFonts w:hint="eastAsia" w:ascii="仿宋_GB2312" w:eastAsia="仿宋_GB2312"/>
                <w:sz w:val="24"/>
                <w:lang w:val="en-US" w:eastAsia="zh-CN"/>
              </w:rPr>
              <w:t>湘潭县科技特派员</w:t>
            </w:r>
          </w:p>
        </w:tc>
      </w:tr>
      <w:tr>
        <w:tblPrEx>
          <w:tblCellMar>
            <w:top w:w="0" w:type="dxa"/>
            <w:left w:w="0" w:type="dxa"/>
            <w:bottom w:w="0" w:type="dxa"/>
            <w:right w:w="0" w:type="dxa"/>
          </w:tblCellMar>
        </w:tblPrEx>
        <w:trPr>
          <w:trHeight w:val="700" w:hRule="atLeast"/>
        </w:trPr>
        <w:tc>
          <w:tcPr>
            <w:tcW w:w="268"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eastAsia="仿宋_GB2312"/>
                <w:sz w:val="24"/>
                <w:lang w:val="zh-CN" w:eastAsia="zh-CN"/>
              </w:rPr>
            </w:pPr>
          </w:p>
        </w:tc>
        <w:tc>
          <w:tcPr>
            <w:tcW w:w="398"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eastAsia="仿宋_GB2312"/>
                <w:sz w:val="24"/>
                <w:lang w:val="zh-CN" w:eastAsia="zh-CN"/>
              </w:rPr>
            </w:pPr>
            <w:r>
              <w:rPr>
                <w:rFonts w:hint="eastAsia" w:ascii="仿宋_GB2312" w:eastAsia="仿宋_GB2312"/>
                <w:sz w:val="24"/>
                <w:lang w:val="en-US" w:eastAsia="zh-CN"/>
              </w:rPr>
              <w:t>年度预算金额</w:t>
            </w:r>
          </w:p>
        </w:tc>
        <w:tc>
          <w:tcPr>
            <w:tcW w:w="4333"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eastAsia="仿宋_GB2312"/>
                <w:sz w:val="24"/>
                <w:lang w:val="zh-CN" w:eastAsia="zh-CN"/>
              </w:rPr>
            </w:pPr>
            <w:r>
              <w:rPr>
                <w:rFonts w:hint="eastAsia" w:ascii="仿宋_GB2312" w:eastAsia="仿宋_GB2312"/>
                <w:sz w:val="24"/>
                <w:lang w:val="en-US" w:eastAsia="zh-CN"/>
              </w:rPr>
              <w:t>140万</w:t>
            </w:r>
          </w:p>
        </w:tc>
      </w:tr>
      <w:tr>
        <w:tblPrEx>
          <w:tblCellMar>
            <w:top w:w="0" w:type="dxa"/>
            <w:left w:w="0" w:type="dxa"/>
            <w:bottom w:w="0" w:type="dxa"/>
            <w:right w:w="0" w:type="dxa"/>
          </w:tblCellMar>
        </w:tblPrEx>
        <w:trPr>
          <w:trHeight w:val="880" w:hRule="atLeast"/>
        </w:trPr>
        <w:tc>
          <w:tcPr>
            <w:tcW w:w="268"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eastAsia="仿宋_GB2312"/>
                <w:sz w:val="24"/>
                <w:lang w:val="zh-CN" w:eastAsia="zh-CN"/>
              </w:rPr>
            </w:pPr>
          </w:p>
        </w:tc>
        <w:tc>
          <w:tcPr>
            <w:tcW w:w="398"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eastAsia="仿宋_GB2312"/>
                <w:sz w:val="24"/>
                <w:lang w:val="zh-CN" w:eastAsia="zh-CN"/>
              </w:rPr>
            </w:pPr>
            <w:r>
              <w:rPr>
                <w:rFonts w:hint="eastAsia" w:ascii="仿宋_GB2312" w:eastAsia="仿宋_GB2312"/>
                <w:sz w:val="24"/>
                <w:lang w:val="en-US" w:eastAsia="zh-CN"/>
              </w:rPr>
              <w:t>项目主管部门</w:t>
            </w:r>
          </w:p>
        </w:tc>
        <w:tc>
          <w:tcPr>
            <w:tcW w:w="4333"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eastAsia="仿宋_GB2312"/>
                <w:sz w:val="24"/>
                <w:lang w:val="zh-CN" w:eastAsia="zh-CN"/>
              </w:rPr>
            </w:pPr>
            <w:r>
              <w:rPr>
                <w:rFonts w:hint="eastAsia" w:ascii="仿宋_GB2312" w:eastAsia="仿宋_GB2312"/>
                <w:sz w:val="24"/>
                <w:lang w:val="en-US" w:eastAsia="zh-CN"/>
              </w:rPr>
              <w:t>湘潭县科技和工业信息化局</w:t>
            </w:r>
          </w:p>
        </w:tc>
      </w:tr>
      <w:tr>
        <w:tblPrEx>
          <w:tblCellMar>
            <w:top w:w="0" w:type="dxa"/>
            <w:left w:w="0" w:type="dxa"/>
            <w:bottom w:w="0" w:type="dxa"/>
            <w:right w:w="0" w:type="dxa"/>
          </w:tblCellMar>
        </w:tblPrEx>
        <w:trPr>
          <w:trHeight w:val="570" w:hRule="atLeast"/>
        </w:trPr>
        <w:tc>
          <w:tcPr>
            <w:tcW w:w="268"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eastAsia="仿宋_GB2312"/>
                <w:sz w:val="24"/>
                <w:lang w:val="zh-CN" w:eastAsia="zh-CN"/>
              </w:rPr>
            </w:pPr>
          </w:p>
        </w:tc>
        <w:tc>
          <w:tcPr>
            <w:tcW w:w="398"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eastAsia="仿宋_GB2312"/>
                <w:sz w:val="24"/>
                <w:lang w:val="zh-CN" w:eastAsia="zh-CN"/>
              </w:rPr>
            </w:pPr>
            <w:r>
              <w:rPr>
                <w:rFonts w:hint="eastAsia" w:ascii="仿宋_GB2312" w:eastAsia="仿宋_GB2312"/>
                <w:sz w:val="24"/>
                <w:lang w:val="en-US" w:eastAsia="zh-CN"/>
              </w:rPr>
              <w:t>评价结果</w:t>
            </w:r>
          </w:p>
        </w:tc>
        <w:tc>
          <w:tcPr>
            <w:tcW w:w="4333"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eastAsia="仿宋_GB2312"/>
                <w:sz w:val="24"/>
                <w:lang w:val="zh-CN" w:eastAsia="zh-CN"/>
              </w:rPr>
            </w:pPr>
            <w:r>
              <w:rPr>
                <w:rFonts w:hint="eastAsia" w:ascii="仿宋_GB2312" w:eastAsia="仿宋_GB2312"/>
                <w:sz w:val="24"/>
                <w:lang w:val="en-US" w:eastAsia="zh-CN"/>
              </w:rPr>
              <w:t>优</w:t>
            </w:r>
          </w:p>
        </w:tc>
      </w:tr>
      <w:tr>
        <w:tblPrEx>
          <w:tblCellMar>
            <w:top w:w="0" w:type="dxa"/>
            <w:left w:w="0" w:type="dxa"/>
            <w:bottom w:w="0" w:type="dxa"/>
            <w:right w:w="0" w:type="dxa"/>
          </w:tblCellMar>
        </w:tblPrEx>
        <w:trPr>
          <w:trHeight w:val="1420" w:hRule="atLeast"/>
        </w:trPr>
        <w:tc>
          <w:tcPr>
            <w:tcW w:w="268"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eastAsia="仿宋_GB2312"/>
                <w:sz w:val="24"/>
                <w:lang w:val="zh-CN" w:eastAsia="zh-CN"/>
              </w:rPr>
            </w:pPr>
          </w:p>
        </w:tc>
        <w:tc>
          <w:tcPr>
            <w:tcW w:w="398"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eastAsia="仿宋_GB2312"/>
                <w:sz w:val="24"/>
                <w:lang w:val="zh-CN" w:eastAsia="zh-CN"/>
              </w:rPr>
            </w:pPr>
            <w:r>
              <w:rPr>
                <w:rFonts w:hint="eastAsia" w:ascii="仿宋_GB2312" w:eastAsia="仿宋_GB2312"/>
                <w:sz w:val="24"/>
                <w:lang w:val="en-US" w:eastAsia="zh-CN"/>
              </w:rPr>
              <w:t>项目立项目的</w:t>
            </w:r>
          </w:p>
        </w:tc>
        <w:tc>
          <w:tcPr>
            <w:tcW w:w="4333" w:type="pc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eastAsia="仿宋_GB2312"/>
                <w:sz w:val="24"/>
                <w:lang w:val="zh-CN" w:eastAsia="zh-CN"/>
              </w:rPr>
            </w:pPr>
            <w:r>
              <w:rPr>
                <w:rFonts w:hint="eastAsia" w:ascii="仿宋_GB2312" w:eastAsia="仿宋_GB2312"/>
                <w:sz w:val="24"/>
                <w:lang w:val="en-US" w:eastAsia="zh-CN"/>
              </w:rPr>
              <w:t>为充分调动科技特派员（含特派专家，以下简称科技特派员）工作积极性，推动特派员与派驻单位良性互动，更好地发挥特派员在帮扶企业发展和促进县域经济发展壮大中的职能作用。</w:t>
            </w:r>
          </w:p>
        </w:tc>
      </w:tr>
      <w:tr>
        <w:tblPrEx>
          <w:tblCellMar>
            <w:top w:w="0" w:type="dxa"/>
            <w:left w:w="0" w:type="dxa"/>
            <w:bottom w:w="0" w:type="dxa"/>
            <w:right w:w="0" w:type="dxa"/>
          </w:tblCellMar>
        </w:tblPrEx>
        <w:trPr>
          <w:trHeight w:val="1495" w:hRule="atLeast"/>
        </w:trPr>
        <w:tc>
          <w:tcPr>
            <w:tcW w:w="268" w:type="pct"/>
            <w:vMerge w:val="restar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eastAsia="仿宋_GB2312"/>
                <w:sz w:val="24"/>
                <w:lang w:val="zh-CN" w:eastAsia="zh-CN"/>
              </w:rPr>
            </w:pPr>
            <w:r>
              <w:rPr>
                <w:rFonts w:hint="eastAsia" w:ascii="仿宋_GB2312" w:eastAsia="仿宋_GB2312"/>
                <w:sz w:val="24"/>
                <w:lang w:val="en-US" w:eastAsia="zh-CN"/>
              </w:rPr>
              <w:t>绩效情况</w:t>
            </w:r>
          </w:p>
        </w:tc>
        <w:tc>
          <w:tcPr>
            <w:tcW w:w="398" w:type="pc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eastAsia="仿宋_GB2312"/>
                <w:sz w:val="24"/>
                <w:lang w:val="zh-CN" w:eastAsia="zh-CN"/>
              </w:rPr>
            </w:pPr>
            <w:r>
              <w:rPr>
                <w:rFonts w:hint="eastAsia" w:ascii="仿宋_GB2312" w:eastAsia="仿宋_GB2312"/>
                <w:sz w:val="24"/>
                <w:lang w:val="en-US" w:eastAsia="zh-CN"/>
              </w:rPr>
              <w:t>项目支出管理和使用基本情况</w:t>
            </w:r>
          </w:p>
        </w:tc>
        <w:tc>
          <w:tcPr>
            <w:tcW w:w="4333" w:type="pc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eastAsia="仿宋_GB2312"/>
                <w:sz w:val="24"/>
                <w:lang w:val="zh-CN" w:eastAsia="zh-CN"/>
              </w:rPr>
            </w:pPr>
            <w:r>
              <w:rPr>
                <w:rFonts w:hint="eastAsia" w:ascii="仿宋_GB2312" w:eastAsia="仿宋_GB2312"/>
                <w:sz w:val="24"/>
                <w:lang w:val="en-US" w:eastAsia="zh-CN"/>
              </w:rPr>
              <w:t>2019年度该项目设立了具体、量化的目标，健全了制度，核算规范，遵循了相关法律法规的规定，项目的立项、申报、批复、决策等符合相关管理办法的程序要求，资金拨付到位、及时，且没有虚列、截留、超标和超预算等违纪违规行为，符合县域经济社会发展和我局年度工作计划的要求。</w:t>
            </w:r>
          </w:p>
        </w:tc>
      </w:tr>
      <w:tr>
        <w:tblPrEx>
          <w:tblCellMar>
            <w:top w:w="0" w:type="dxa"/>
            <w:left w:w="0" w:type="dxa"/>
            <w:bottom w:w="0" w:type="dxa"/>
            <w:right w:w="0" w:type="dxa"/>
          </w:tblCellMar>
        </w:tblPrEx>
        <w:trPr>
          <w:trHeight w:val="1495" w:hRule="atLeast"/>
        </w:trPr>
        <w:tc>
          <w:tcPr>
            <w:tcW w:w="268" w:type="pct"/>
            <w:vMerge w:val="continue"/>
            <w:tcBorders>
              <w:left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eastAsia="仿宋_GB2312"/>
                <w:sz w:val="24"/>
                <w:lang w:val="en-US" w:eastAsia="zh-CN"/>
              </w:rPr>
            </w:pPr>
          </w:p>
        </w:tc>
        <w:tc>
          <w:tcPr>
            <w:tcW w:w="398" w:type="pc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eastAsia="仿宋_GB2312"/>
                <w:sz w:val="24"/>
                <w:lang w:val="en-US" w:eastAsia="zh-CN"/>
              </w:rPr>
            </w:pPr>
            <w:r>
              <w:rPr>
                <w:rFonts w:hint="eastAsia" w:ascii="仿宋_GB2312" w:eastAsia="仿宋_GB2312"/>
                <w:sz w:val="24"/>
                <w:lang w:val="en-US" w:eastAsia="zh-CN"/>
              </w:rPr>
              <w:t>项目绩效目标完成情况</w:t>
            </w:r>
          </w:p>
        </w:tc>
        <w:tc>
          <w:tcPr>
            <w:tcW w:w="4333" w:type="pc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eastAsia="仿宋_GB2312"/>
                <w:sz w:val="24"/>
                <w:lang w:val="en-US" w:eastAsia="zh-CN"/>
              </w:rPr>
            </w:pPr>
            <w:r>
              <w:rPr>
                <w:rFonts w:hint="eastAsia" w:ascii="仿宋_GB2312" w:eastAsia="仿宋_GB2312"/>
                <w:sz w:val="24"/>
                <w:lang w:val="en-US" w:eastAsia="zh-CN"/>
              </w:rPr>
              <w:t>1、调整优化科技特派员队伍</w:t>
            </w:r>
            <w:r>
              <w:rPr>
                <w:rFonts w:hint="eastAsia" w:ascii="仿宋_GB2312" w:eastAsia="仿宋_GB2312"/>
                <w:sz w:val="24"/>
                <w:lang w:val="en-US" w:eastAsia="zh-CN"/>
              </w:rPr>
              <w:br w:type="textWrapping"/>
            </w:r>
            <w:r>
              <w:rPr>
                <w:rFonts w:hint="eastAsia" w:ascii="仿宋_GB2312" w:eastAsia="仿宋_GB2312"/>
                <w:sz w:val="24"/>
                <w:lang w:val="en-US" w:eastAsia="zh-CN"/>
              </w:rPr>
              <w:t>协助县委组织部召开了2019年科技特派员工作会议，对今年的科技特派员进行了较大的调整。全县共选派科技特派员108名。其中：省派科技特派员4名，市派科技特派员25名，县派科技特派员50名，县派科技特派专家29名。6月份，我中心协助组织部对27家科技特派专家单位进行了走访。10月份协助市、县委组织部开展了2019年湘潭市科技特派员“振兴乡村，科技助农”交流研讨活动。</w:t>
            </w:r>
            <w:r>
              <w:rPr>
                <w:rFonts w:hint="eastAsia" w:ascii="仿宋_GB2312" w:eastAsia="仿宋_GB2312"/>
                <w:sz w:val="24"/>
                <w:lang w:val="en-US" w:eastAsia="zh-CN"/>
              </w:rPr>
              <w:br w:type="textWrapping"/>
            </w:r>
            <w:r>
              <w:rPr>
                <w:rFonts w:hint="eastAsia" w:ascii="仿宋_GB2312" w:eastAsia="仿宋_GB2312"/>
                <w:sz w:val="24"/>
                <w:lang w:val="en-US" w:eastAsia="zh-CN"/>
              </w:rPr>
              <w:t>2、积极开展科技专家服务团工作</w:t>
            </w:r>
            <w:r>
              <w:rPr>
                <w:rFonts w:hint="eastAsia" w:ascii="仿宋_GB2312" w:eastAsia="仿宋_GB2312"/>
                <w:sz w:val="24"/>
                <w:lang w:val="en-US" w:eastAsia="zh-CN"/>
              </w:rPr>
              <w:br w:type="textWrapping"/>
            </w:r>
            <w:r>
              <w:rPr>
                <w:rFonts w:hint="eastAsia" w:ascii="仿宋_GB2312" w:eastAsia="仿宋_GB2312"/>
                <w:sz w:val="24"/>
                <w:lang w:val="en-US" w:eastAsia="zh-CN"/>
              </w:rPr>
              <w:t>我中心按省委人才工作领导小组办公室和省科技厅有关科技专家服务团工作开展要求以及《湘潭县万名科技人员服务农业农村发展实施方案》的文件精神，结合我县工作实际，制定了《湘潭县科技专家服务团2019年工作要点》。明确了科技专家服务团的工作目标和任务，搭建了企业与专家之间的桥梁，为湘潭县的农业发展提供了技术引领。10月23日，我中心组织开展了科技专家服务团活动——神糯高粱产业现场观摩会。神糯高粱产业链在我局和科技专家服务团的指导下，初步形成了“种-酿-销-养”生态产业链，为我县农业企业带来了可观的经济效益，为我县种植结构调整指引了新方向。</w:t>
            </w:r>
            <w:r>
              <w:rPr>
                <w:rFonts w:hint="eastAsia" w:ascii="仿宋_GB2312" w:eastAsia="仿宋_GB2312"/>
                <w:sz w:val="24"/>
                <w:lang w:val="en-US" w:eastAsia="zh-CN"/>
              </w:rPr>
              <w:br w:type="textWrapping"/>
            </w:r>
            <w:r>
              <w:rPr>
                <w:rFonts w:hint="eastAsia" w:ascii="仿宋_GB2312" w:eastAsia="仿宋_GB2312"/>
                <w:sz w:val="24"/>
                <w:lang w:val="en-US" w:eastAsia="zh-CN"/>
              </w:rPr>
              <w:t>3、积极组织科技专家巡诊工作。</w:t>
            </w:r>
            <w:r>
              <w:rPr>
                <w:rFonts w:hint="eastAsia" w:ascii="仿宋_GB2312" w:eastAsia="仿宋_GB2312"/>
                <w:sz w:val="24"/>
                <w:lang w:val="en-US" w:eastAsia="zh-CN"/>
              </w:rPr>
              <w:br w:type="textWrapping"/>
            </w:r>
            <w:r>
              <w:rPr>
                <w:rFonts w:hint="eastAsia" w:ascii="仿宋_GB2312" w:eastAsia="仿宋_GB2312"/>
                <w:sz w:val="24"/>
                <w:lang w:val="en-US" w:eastAsia="zh-CN"/>
              </w:rPr>
              <w:t>为深入推进“党建领航工程”，激发各类人才在县域经济社会发展中发挥引领作用，今年我中心组织了两次科技专家巡诊活动。9月份，我中心和中小企业服务中心一起组织了10名专家教授组成巡诊团，赴县内20家企业开展了实地调研和现场观摩，重点解决了被巡诊企业在内部管理、技术瓶颈、品牌建设、文化建设等方面存在的突出问题，为企业发展助力。10月份，我中心又邀请了周清燕、谢辉、赵立国等6名县级农业科技专家、农业科技特派员在花石镇见楼村成功组织了一场科技专家巡诊现场对接会，现场解答农业企业（经营组织）的难题。本次对接会解决技术难题20个，发放培训资料400余份。</w:t>
            </w:r>
          </w:p>
        </w:tc>
      </w:tr>
      <w:tr>
        <w:tblPrEx>
          <w:shd w:val="clear" w:color="auto" w:fill="auto"/>
          <w:tblCellMar>
            <w:top w:w="0" w:type="dxa"/>
            <w:left w:w="0" w:type="dxa"/>
            <w:bottom w:w="0" w:type="dxa"/>
            <w:right w:w="0" w:type="dxa"/>
          </w:tblCellMar>
        </w:tblPrEx>
        <w:trPr>
          <w:trHeight w:val="700" w:hRule="atLeast"/>
        </w:trPr>
        <w:tc>
          <w:tcPr>
            <w:tcW w:w="268" w:type="pct"/>
            <w:vMerge w:val="restar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存在的问题分析及改进措施</w:t>
            </w:r>
          </w:p>
        </w:tc>
        <w:tc>
          <w:tcPr>
            <w:tcW w:w="398"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存在的问题</w:t>
            </w:r>
          </w:p>
        </w:tc>
        <w:tc>
          <w:tcPr>
            <w:tcW w:w="4333"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top"/>
          </w:tcPr>
          <w:p>
            <w:pPr>
              <w:keepNext w:val="0"/>
              <w:keepLines w:val="0"/>
              <w:widowControl/>
              <w:suppressLineNumbers w:val="0"/>
              <w:jc w:val="left"/>
              <w:textAlignment w:val="center"/>
              <w:rPr>
                <w:rFonts w:hint="eastAsia" w:ascii="仿宋_GB2312" w:eastAsia="仿宋_GB2312"/>
                <w:sz w:val="24"/>
                <w:lang w:val="en-US" w:eastAsia="zh-CN"/>
              </w:rPr>
            </w:pPr>
            <w:r>
              <w:rPr>
                <w:rFonts w:hint="eastAsia" w:ascii="仿宋_GB2312" w:eastAsia="仿宋_GB2312"/>
                <w:sz w:val="24"/>
              </w:rPr>
              <w:t>1</w:t>
            </w:r>
            <w:r>
              <w:rPr>
                <w:rFonts w:hint="eastAsia" w:ascii="仿宋_GB2312" w:eastAsia="仿宋_GB2312"/>
                <w:sz w:val="24"/>
                <w:lang w:val="en-US" w:eastAsia="zh-CN"/>
              </w:rPr>
              <w:t>、农业产业化龙头企业不多不大不强，整体科技创新能力不强，没有掌握具有自我知识产权的核心技术和研发出市场竞争</w:t>
            </w:r>
            <w:bookmarkStart w:id="0" w:name="_GoBack"/>
            <w:bookmarkEnd w:id="0"/>
            <w:r>
              <w:rPr>
                <w:rFonts w:hint="eastAsia" w:ascii="仿宋_GB2312" w:eastAsia="仿宋_GB2312"/>
                <w:sz w:val="24"/>
                <w:lang w:val="en-US" w:eastAsia="zh-CN"/>
              </w:rPr>
              <w:t>能力强的农业精深加工产品；</w:t>
            </w:r>
          </w:p>
          <w:p>
            <w:pPr>
              <w:keepNext w:val="0"/>
              <w:keepLines w:val="0"/>
              <w:widowControl/>
              <w:suppressLineNumbers w:val="0"/>
              <w:jc w:val="left"/>
              <w:textAlignment w:val="center"/>
              <w:rPr>
                <w:rFonts w:hint="eastAsia" w:ascii="仿宋_GB2312" w:eastAsia="仿宋_GB2312"/>
                <w:sz w:val="24"/>
                <w:lang w:val="en-US" w:eastAsia="zh-CN"/>
              </w:rPr>
            </w:pPr>
            <w:r>
              <w:rPr>
                <w:rFonts w:hint="eastAsia" w:ascii="仿宋_GB2312" w:eastAsia="仿宋_GB2312"/>
                <w:sz w:val="24"/>
                <w:lang w:val="en-US" w:eastAsia="zh-CN"/>
              </w:rPr>
              <w:t>2、县内出台加快产业整合、集群发展的办法不多、措施不多；</w:t>
            </w:r>
          </w:p>
          <w:p>
            <w:pPr>
              <w:keepNext w:val="0"/>
              <w:keepLines w:val="0"/>
              <w:widowControl/>
              <w:suppressLineNumbers w:val="0"/>
              <w:jc w:val="left"/>
              <w:textAlignment w:val="center"/>
              <w:rPr>
                <w:rFonts w:hint="eastAsia" w:ascii="仿宋_GB2312" w:eastAsia="仿宋_GB2312"/>
                <w:sz w:val="24"/>
                <w:lang w:val="en-US" w:eastAsia="zh-CN"/>
              </w:rPr>
            </w:pPr>
            <w:r>
              <w:rPr>
                <w:rFonts w:hint="eastAsia" w:ascii="仿宋_GB2312" w:eastAsia="仿宋_GB2312"/>
                <w:sz w:val="24"/>
                <w:lang w:val="en-US" w:eastAsia="zh-CN"/>
              </w:rPr>
              <w:t>3、科技创新政策和人才政策有待进一步完善、规整。</w:t>
            </w:r>
          </w:p>
          <w:p>
            <w:pPr>
              <w:jc w:val="lef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640" w:hRule="atLeast"/>
        </w:trPr>
        <w:tc>
          <w:tcPr>
            <w:tcW w:w="268" w:type="pct"/>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8"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改进措施</w:t>
            </w:r>
          </w:p>
        </w:tc>
        <w:tc>
          <w:tcPr>
            <w:tcW w:w="4333"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top"/>
          </w:tcPr>
          <w:p>
            <w:pPr>
              <w:keepNext w:val="0"/>
              <w:keepLines w:val="0"/>
              <w:widowControl/>
              <w:suppressLineNumbers w:val="0"/>
              <w:jc w:val="left"/>
              <w:textAlignment w:val="center"/>
              <w:rPr>
                <w:rFonts w:hint="eastAsia" w:ascii="仿宋_GB2312" w:eastAsia="仿宋_GB2312"/>
                <w:sz w:val="24"/>
                <w:lang w:val="zh-CN" w:eastAsia="zh-CN"/>
              </w:rPr>
            </w:pPr>
            <w:r>
              <w:rPr>
                <w:rFonts w:hint="eastAsia" w:ascii="仿宋_GB2312" w:hAnsi="仿宋" w:eastAsia="仿宋_GB2312" w:cs="宋体"/>
                <w:kern w:val="0"/>
                <w:sz w:val="24"/>
                <w:lang w:val="zh-CN"/>
              </w:rPr>
              <w:t>1、</w:t>
            </w:r>
            <w:r>
              <w:rPr>
                <w:rFonts w:hint="eastAsia" w:ascii="仿宋_GB2312" w:eastAsia="仿宋_GB2312"/>
                <w:sz w:val="24"/>
                <w:lang w:val="zh-CN" w:eastAsia="zh-CN"/>
              </w:rPr>
              <w:t>进一步加强科技人才的引进和培训工作；</w:t>
            </w:r>
          </w:p>
          <w:p>
            <w:pPr>
              <w:keepNext w:val="0"/>
              <w:keepLines w:val="0"/>
              <w:widowControl/>
              <w:suppressLineNumbers w:val="0"/>
              <w:jc w:val="left"/>
              <w:textAlignment w:val="center"/>
              <w:rPr>
                <w:rFonts w:hint="eastAsia" w:ascii="仿宋_GB2312" w:eastAsia="仿宋_GB2312"/>
                <w:sz w:val="24"/>
                <w:lang w:val="zh-CN" w:eastAsia="zh-CN"/>
              </w:rPr>
            </w:pPr>
            <w:r>
              <w:rPr>
                <w:rFonts w:hint="eastAsia" w:ascii="仿宋_GB2312" w:eastAsia="仿宋_GB2312"/>
                <w:sz w:val="24"/>
                <w:lang w:val="zh-CN" w:eastAsia="zh-CN"/>
              </w:rPr>
              <w:t>2、进一步加强科技特派员（专家）创新创业工作；</w:t>
            </w:r>
          </w:p>
          <w:p>
            <w:pPr>
              <w:keepNext w:val="0"/>
              <w:keepLines w:val="0"/>
              <w:widowControl/>
              <w:suppressLineNumbers w:val="0"/>
              <w:jc w:val="left"/>
              <w:textAlignment w:val="center"/>
              <w:rPr>
                <w:rFonts w:hint="eastAsia" w:ascii="仿宋_GB2312" w:eastAsia="仿宋_GB2312"/>
                <w:sz w:val="24"/>
                <w:lang w:val="zh-CN" w:eastAsia="zh-CN"/>
              </w:rPr>
            </w:pPr>
            <w:r>
              <w:rPr>
                <w:rFonts w:hint="eastAsia" w:ascii="仿宋_GB2312" w:eastAsia="仿宋_GB2312"/>
                <w:sz w:val="24"/>
                <w:lang w:val="zh-CN" w:eastAsia="zh-CN"/>
              </w:rPr>
              <w:t>3、进一步加强专家人才巡诊服务制度建设；</w:t>
            </w:r>
          </w:p>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仿宋_GB2312" w:eastAsia="仿宋_GB2312"/>
                <w:sz w:val="24"/>
                <w:lang w:val="en-US" w:eastAsia="zh-CN"/>
              </w:rPr>
              <w:t>4、</w:t>
            </w:r>
            <w:r>
              <w:rPr>
                <w:rFonts w:hint="eastAsia" w:ascii="仿宋_GB2312" w:eastAsia="仿宋_GB2312"/>
                <w:sz w:val="24"/>
                <w:lang w:val="zh-CN" w:eastAsia="zh-CN"/>
              </w:rPr>
              <w:t>进一步加强科技主体培育。</w:t>
            </w:r>
          </w:p>
        </w:tc>
      </w:tr>
      <w:tr>
        <w:tblPrEx>
          <w:tblCellMar>
            <w:top w:w="0" w:type="dxa"/>
            <w:left w:w="0" w:type="dxa"/>
            <w:bottom w:w="0" w:type="dxa"/>
            <w:right w:w="0" w:type="dxa"/>
          </w:tblCellMar>
        </w:tblPrEx>
        <w:trPr>
          <w:trHeight w:val="680" w:hRule="atLeast"/>
        </w:trPr>
        <w:tc>
          <w:tcPr>
            <w:tcW w:w="268" w:type="pct"/>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8" w:type="pc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其他需要说明问题</w:t>
            </w:r>
          </w:p>
        </w:tc>
        <w:tc>
          <w:tcPr>
            <w:tcW w:w="4333"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top"/>
          </w:tcPr>
          <w:p>
            <w:pPr>
              <w:jc w:val="left"/>
              <w:rPr>
                <w:rFonts w:hint="eastAsia" w:ascii="宋体" w:hAnsi="宋体" w:eastAsia="宋体" w:cs="宋体"/>
                <w:i w:val="0"/>
                <w:color w:val="000000"/>
                <w:sz w:val="24"/>
                <w:szCs w:val="24"/>
                <w:u w:val="none"/>
              </w:rPr>
            </w:pPr>
          </w:p>
        </w:tc>
      </w:tr>
    </w:tbl>
    <w:p/>
    <w:p/>
    <w:p/>
    <w:p/>
    <w:p/>
    <w:p/>
    <w:p/>
    <w:p/>
    <w:p/>
    <w:p/>
    <w:p/>
    <w:p/>
    <w:p/>
    <w:p/>
    <w:p/>
    <w:p/>
    <w:p/>
    <w:p/>
    <w:p/>
    <w:tbl>
      <w:tblPr>
        <w:tblStyle w:val="2"/>
        <w:tblW w:w="5000" w:type="pct"/>
        <w:tblInd w:w="0" w:type="dxa"/>
        <w:shd w:val="clear" w:color="auto" w:fill="auto"/>
        <w:tblLayout w:type="autofit"/>
        <w:tblCellMar>
          <w:top w:w="0" w:type="dxa"/>
          <w:left w:w="0" w:type="dxa"/>
          <w:bottom w:w="0" w:type="dxa"/>
          <w:right w:w="0" w:type="dxa"/>
        </w:tblCellMar>
      </w:tblPr>
      <w:tblGrid>
        <w:gridCol w:w="456"/>
        <w:gridCol w:w="392"/>
        <w:gridCol w:w="472"/>
        <w:gridCol w:w="347"/>
        <w:gridCol w:w="482"/>
        <w:gridCol w:w="402"/>
        <w:gridCol w:w="2476"/>
        <w:gridCol w:w="2936"/>
        <w:gridCol w:w="373"/>
      </w:tblGrid>
      <w:tr>
        <w:tblPrEx>
          <w:shd w:val="clear" w:color="auto" w:fill="auto"/>
          <w:tblCellMar>
            <w:top w:w="0" w:type="dxa"/>
            <w:left w:w="0" w:type="dxa"/>
            <w:bottom w:w="0" w:type="dxa"/>
            <w:right w:w="0" w:type="dxa"/>
          </w:tblCellMar>
        </w:tblPrEx>
        <w:trPr>
          <w:trHeight w:val="940" w:hRule="atLeast"/>
        </w:trPr>
        <w:tc>
          <w:tcPr>
            <w:tcW w:w="5000" w:type="pct"/>
            <w:gridSpan w:val="9"/>
            <w:tcBorders>
              <w:top w:val="nil"/>
              <w:left w:val="nil"/>
              <w:bottom w:val="nil"/>
              <w:right w:val="nil"/>
            </w:tcBorders>
            <w:shd w:val="clear" w:color="auto" w:fill="auto"/>
            <w:tcMar>
              <w:top w:w="15" w:type="dxa"/>
              <w:left w:w="15" w:type="dxa"/>
              <w:right w:w="15" w:type="dxa"/>
            </w:tcMar>
            <w:vAlign w:val="center"/>
          </w:tcPr>
          <w:p>
            <w:pPr>
              <w:jc w:val="center"/>
              <w:rPr>
                <w:rFonts w:hint="eastAsia"/>
              </w:rPr>
            </w:pPr>
            <w:r>
              <w:rPr>
                <w:rFonts w:hint="eastAsia"/>
                <w:b/>
                <w:bCs/>
                <w:sz w:val="24"/>
                <w:szCs w:val="24"/>
                <w:lang w:val="en-US" w:eastAsia="zh-CN"/>
              </w:rPr>
              <w:t>2019年湘潭县科技特派员</w:t>
            </w:r>
            <w:r>
              <w:rPr>
                <w:rFonts w:hint="eastAsia"/>
                <w:b/>
                <w:bCs/>
                <w:sz w:val="24"/>
                <w:szCs w:val="24"/>
                <w:lang w:val="en-US" w:eastAsia="zh-CN"/>
              </w:rPr>
              <w:br w:type="textWrapping"/>
            </w:r>
            <w:r>
              <w:rPr>
                <w:rFonts w:hint="eastAsia"/>
                <w:b/>
                <w:bCs/>
                <w:sz w:val="24"/>
                <w:szCs w:val="24"/>
                <w:lang w:val="en-US" w:eastAsia="zh-CN"/>
              </w:rPr>
              <w:t>项目支出绩效评价评分表</w:t>
            </w:r>
          </w:p>
        </w:tc>
      </w:tr>
      <w:tr>
        <w:tblPrEx>
          <w:tblCellMar>
            <w:top w:w="0" w:type="dxa"/>
            <w:left w:w="0" w:type="dxa"/>
            <w:bottom w:w="0" w:type="dxa"/>
            <w:right w:w="0" w:type="dxa"/>
          </w:tblCellMar>
        </w:tblPrEx>
        <w:trPr>
          <w:trHeight w:val="600" w:hRule="atLeast"/>
        </w:trPr>
        <w:tc>
          <w:tcPr>
            <w:tcW w:w="274"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一级指标</w:t>
            </w:r>
          </w:p>
        </w:tc>
        <w:tc>
          <w:tcPr>
            <w:tcW w:w="235"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分值</w:t>
            </w:r>
          </w:p>
        </w:tc>
        <w:tc>
          <w:tcPr>
            <w:tcW w:w="283"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二级指标</w:t>
            </w:r>
          </w:p>
        </w:tc>
        <w:tc>
          <w:tcPr>
            <w:tcW w:w="208"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分值</w:t>
            </w:r>
          </w:p>
        </w:tc>
        <w:tc>
          <w:tcPr>
            <w:tcW w:w="289"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三级指标</w:t>
            </w:r>
          </w:p>
        </w:tc>
        <w:tc>
          <w:tcPr>
            <w:tcW w:w="241"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分值</w:t>
            </w:r>
          </w:p>
        </w:tc>
        <w:tc>
          <w:tcPr>
            <w:tcW w:w="1485"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指标解释</w:t>
            </w:r>
          </w:p>
        </w:tc>
        <w:tc>
          <w:tcPr>
            <w:tcW w:w="1761" w:type="pct"/>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rPr>
                <w:rFonts w:hint="eastAsia"/>
                <w:sz w:val="18"/>
                <w:szCs w:val="18"/>
              </w:rPr>
            </w:pPr>
            <w:r>
              <w:rPr>
                <w:rFonts w:hint="eastAsia"/>
                <w:sz w:val="18"/>
                <w:szCs w:val="18"/>
                <w:lang w:val="en-US" w:eastAsia="zh-CN"/>
              </w:rPr>
              <w:t>评价标准</w:t>
            </w:r>
          </w:p>
        </w:tc>
        <w:tc>
          <w:tcPr>
            <w:tcW w:w="223"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得分</w:t>
            </w:r>
          </w:p>
        </w:tc>
      </w:tr>
      <w:tr>
        <w:tblPrEx>
          <w:tblCellMar>
            <w:top w:w="0" w:type="dxa"/>
            <w:left w:w="0" w:type="dxa"/>
            <w:bottom w:w="0" w:type="dxa"/>
            <w:right w:w="0" w:type="dxa"/>
          </w:tblCellMar>
        </w:tblPrEx>
        <w:trPr>
          <w:trHeight w:val="570" w:hRule="atLeast"/>
        </w:trPr>
        <w:tc>
          <w:tcPr>
            <w:tcW w:w="274"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项目决策</w:t>
            </w:r>
          </w:p>
        </w:tc>
        <w:tc>
          <w:tcPr>
            <w:tcW w:w="23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20</w:t>
            </w:r>
          </w:p>
        </w:tc>
        <w:tc>
          <w:tcPr>
            <w:tcW w:w="283"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635" cy="0"/>
                  <wp:effectExtent l="0" t="0" r="0" b="0"/>
                  <wp:wrapNone/>
                  <wp:docPr id="5" name="Line_1"/>
                  <wp:cNvGraphicFramePr/>
                  <a:graphic xmlns:a="http://schemas.openxmlformats.org/drawingml/2006/main">
                    <a:graphicData uri="http://schemas.openxmlformats.org/drawingml/2006/picture">
                      <pic:pic xmlns:pic="http://schemas.openxmlformats.org/drawingml/2006/picture">
                        <pic:nvPicPr>
                          <pic:cNvPr id="5" name="Line_1"/>
                          <pic:cNvPicPr/>
                        </pic:nvPicPr>
                        <pic:blipFill>
                          <a:blip r:embed="rId4"/>
                          <a:stretch>
                            <a:fillRect/>
                          </a:stretch>
                        </pic:blipFill>
                        <pic:spPr>
                          <a:xfrm>
                            <a:off x="0" y="0"/>
                            <a:ext cx="635" cy="0"/>
                          </a:xfrm>
                          <a:prstGeom prst="rect">
                            <a:avLst/>
                          </a:prstGeom>
                          <a:noFill/>
                          <a:ln>
                            <a:noFill/>
                          </a:ln>
                        </pic:spPr>
                      </pic:pic>
                    </a:graphicData>
                  </a:graphic>
                </wp:anchor>
              </w:drawing>
            </w:r>
            <w:r>
              <w:rPr>
                <w:rFonts w:hint="eastAsia"/>
                <w:sz w:val="18"/>
                <w:szCs w:val="18"/>
                <w:lang w:val="en-US" w:eastAsia="zh-CN"/>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635" cy="0"/>
                  <wp:effectExtent l="0" t="0" r="0" b="0"/>
                  <wp:wrapNone/>
                  <wp:docPr id="6" name="Line_3"/>
                  <wp:cNvGraphicFramePr/>
                  <a:graphic xmlns:a="http://schemas.openxmlformats.org/drawingml/2006/main">
                    <a:graphicData uri="http://schemas.openxmlformats.org/drawingml/2006/picture">
                      <pic:pic xmlns:pic="http://schemas.openxmlformats.org/drawingml/2006/picture">
                        <pic:nvPicPr>
                          <pic:cNvPr id="6" name="Line_3"/>
                          <pic:cNvPicPr/>
                        </pic:nvPicPr>
                        <pic:blipFill>
                          <a:blip r:embed="rId4"/>
                          <a:stretch>
                            <a:fillRect/>
                          </a:stretch>
                        </pic:blipFill>
                        <pic:spPr>
                          <a:xfrm>
                            <a:off x="0" y="0"/>
                            <a:ext cx="635" cy="0"/>
                          </a:xfrm>
                          <a:prstGeom prst="rect">
                            <a:avLst/>
                          </a:prstGeom>
                          <a:noFill/>
                          <a:ln>
                            <a:noFill/>
                          </a:ln>
                        </pic:spPr>
                      </pic:pic>
                    </a:graphicData>
                  </a:graphic>
                </wp:anchor>
              </w:drawing>
            </w:r>
            <w:r>
              <w:rPr>
                <w:rFonts w:hint="eastAsia"/>
                <w:sz w:val="18"/>
                <w:szCs w:val="18"/>
                <w:lang w:val="en-US" w:eastAsia="zh-CN"/>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635" cy="0"/>
                  <wp:effectExtent l="0" t="0" r="0" b="0"/>
                  <wp:wrapNone/>
                  <wp:docPr id="7" name="Line_2"/>
                  <wp:cNvGraphicFramePr/>
                  <a:graphic xmlns:a="http://schemas.openxmlformats.org/drawingml/2006/main">
                    <a:graphicData uri="http://schemas.openxmlformats.org/drawingml/2006/picture">
                      <pic:pic xmlns:pic="http://schemas.openxmlformats.org/drawingml/2006/picture">
                        <pic:nvPicPr>
                          <pic:cNvPr id="7" name="Line_2"/>
                          <pic:cNvPicPr/>
                        </pic:nvPicPr>
                        <pic:blipFill>
                          <a:blip r:embed="rId4"/>
                          <a:stretch>
                            <a:fillRect/>
                          </a:stretch>
                        </pic:blipFill>
                        <pic:spPr>
                          <a:xfrm>
                            <a:off x="0" y="0"/>
                            <a:ext cx="635" cy="0"/>
                          </a:xfrm>
                          <a:prstGeom prst="rect">
                            <a:avLst/>
                          </a:prstGeom>
                          <a:noFill/>
                          <a:ln>
                            <a:noFill/>
                          </a:ln>
                        </pic:spPr>
                      </pic:pic>
                    </a:graphicData>
                  </a:graphic>
                </wp:anchor>
              </w:drawing>
            </w:r>
            <w:r>
              <w:rPr>
                <w:rFonts w:hint="eastAsia"/>
                <w:sz w:val="18"/>
                <w:szCs w:val="18"/>
                <w:lang w:val="en-US" w:eastAsia="zh-CN"/>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635" cy="0"/>
                  <wp:effectExtent l="0" t="0" r="0" b="0"/>
                  <wp:wrapNone/>
                  <wp:docPr id="8" name="Line_5"/>
                  <wp:cNvGraphicFramePr/>
                  <a:graphic xmlns:a="http://schemas.openxmlformats.org/drawingml/2006/main">
                    <a:graphicData uri="http://schemas.openxmlformats.org/drawingml/2006/picture">
                      <pic:pic xmlns:pic="http://schemas.openxmlformats.org/drawingml/2006/picture">
                        <pic:nvPicPr>
                          <pic:cNvPr id="8" name="Line_5"/>
                          <pic:cNvPicPr/>
                        </pic:nvPicPr>
                        <pic:blipFill>
                          <a:blip r:embed="rId4"/>
                          <a:stretch>
                            <a:fillRect/>
                          </a:stretch>
                        </pic:blipFill>
                        <pic:spPr>
                          <a:xfrm>
                            <a:off x="0" y="0"/>
                            <a:ext cx="635" cy="0"/>
                          </a:xfrm>
                          <a:prstGeom prst="rect">
                            <a:avLst/>
                          </a:prstGeom>
                          <a:noFill/>
                          <a:ln>
                            <a:noFill/>
                          </a:ln>
                        </pic:spPr>
                      </pic:pic>
                    </a:graphicData>
                  </a:graphic>
                </wp:anchor>
              </w:drawing>
            </w:r>
            <w:r>
              <w:rPr>
                <w:rFonts w:hint="eastAsia"/>
                <w:sz w:val="18"/>
                <w:szCs w:val="18"/>
                <w:lang w:val="en-US" w:eastAsia="zh-CN"/>
              </w:rPr>
              <w:t>项目目标</w:t>
            </w:r>
          </w:p>
        </w:tc>
        <w:tc>
          <w:tcPr>
            <w:tcW w:w="208"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4</w:t>
            </w: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目标内容</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4</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目标是否明确、细化、量化</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目标明确（1分），目标细化（1分），目标量化（2分）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4</w:t>
            </w:r>
          </w:p>
        </w:tc>
      </w:tr>
      <w:tr>
        <w:tblPrEx>
          <w:tblCellMar>
            <w:top w:w="0" w:type="dxa"/>
            <w:left w:w="0" w:type="dxa"/>
            <w:bottom w:w="0" w:type="dxa"/>
            <w:right w:w="0" w:type="dxa"/>
          </w:tblCellMar>
        </w:tblPrEx>
        <w:trPr>
          <w:trHeight w:val="96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决策过程</w:t>
            </w:r>
          </w:p>
        </w:tc>
        <w:tc>
          <w:tcPr>
            <w:tcW w:w="208"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决策依据</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3</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项目是否符合经济社会发展规划和部门年度工作计划；是否根据需要制定中长期实施规划</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项目符合经济社会发展规划和部门年度工作计划（2分），根据需要制定中长期实施规划（1分）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3</w:t>
            </w:r>
          </w:p>
        </w:tc>
      </w:tr>
      <w:tr>
        <w:tblPrEx>
          <w:tblCellMar>
            <w:top w:w="0" w:type="dxa"/>
            <w:left w:w="0" w:type="dxa"/>
            <w:bottom w:w="0" w:type="dxa"/>
            <w:right w:w="0" w:type="dxa"/>
          </w:tblCellMar>
        </w:tblPrEx>
        <w:trPr>
          <w:trHeight w:val="100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决策程序</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5</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项目是否符合申报条件；申报、批复程序是否符合相关管理办法；项目调整是否履行相应手续</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项目符合申报条件（2分），申报、批复程序符合相关管理办法（2分），项目实施调整履行相应手续（1分）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5</w:t>
            </w:r>
          </w:p>
        </w:tc>
      </w:tr>
      <w:tr>
        <w:tblPrEx>
          <w:tblCellMar>
            <w:top w:w="0" w:type="dxa"/>
            <w:left w:w="0" w:type="dxa"/>
            <w:bottom w:w="0" w:type="dxa"/>
            <w:right w:w="0" w:type="dxa"/>
          </w:tblCellMar>
        </w:tblPrEx>
        <w:trPr>
          <w:trHeight w:val="122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资金分配</w:t>
            </w:r>
          </w:p>
        </w:tc>
        <w:tc>
          <w:tcPr>
            <w:tcW w:w="208"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分配办法</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2</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是否根据需要制定相关资金管理办法，并在管理办法中明确资金分配办法；资金分配因素是否全面、合理</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办法健全、规范（1分），因素选择全面、合理（1分）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2</w:t>
            </w:r>
          </w:p>
        </w:tc>
      </w:tr>
      <w:tr>
        <w:tblPrEx>
          <w:tblCellMar>
            <w:top w:w="0" w:type="dxa"/>
            <w:left w:w="0" w:type="dxa"/>
            <w:bottom w:w="0" w:type="dxa"/>
            <w:right w:w="0" w:type="dxa"/>
          </w:tblCellMar>
        </w:tblPrEx>
        <w:trPr>
          <w:trHeight w:val="76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分配结果</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6</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资金分配是否符合相关管理办法；分配结果是否合理</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项目符合相关分配办法（2分），资金分配合理（4分）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6</w:t>
            </w:r>
          </w:p>
        </w:tc>
      </w:tr>
      <w:tr>
        <w:tblPrEx>
          <w:tblCellMar>
            <w:top w:w="0" w:type="dxa"/>
            <w:left w:w="0" w:type="dxa"/>
            <w:bottom w:w="0" w:type="dxa"/>
            <w:right w:w="0" w:type="dxa"/>
          </w:tblCellMar>
        </w:tblPrEx>
        <w:trPr>
          <w:trHeight w:val="615" w:hRule="atLeast"/>
        </w:trPr>
        <w:tc>
          <w:tcPr>
            <w:tcW w:w="274"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项目管理</w:t>
            </w:r>
          </w:p>
        </w:tc>
        <w:tc>
          <w:tcPr>
            <w:tcW w:w="23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25</w:t>
            </w:r>
          </w:p>
        </w:tc>
        <w:tc>
          <w:tcPr>
            <w:tcW w:w="28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资金到位</w:t>
            </w:r>
          </w:p>
        </w:tc>
        <w:tc>
          <w:tcPr>
            <w:tcW w:w="208"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5</w:t>
            </w: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到位率</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3</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实际到位/计划到位×100%</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根据项目实际到位资金占计划的比重计算得分（3分）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3</w:t>
            </w:r>
          </w:p>
        </w:tc>
      </w:tr>
      <w:tr>
        <w:tblPrEx>
          <w:tblCellMar>
            <w:top w:w="0" w:type="dxa"/>
            <w:left w:w="0" w:type="dxa"/>
            <w:bottom w:w="0" w:type="dxa"/>
            <w:right w:w="0" w:type="dxa"/>
          </w:tblCellMar>
        </w:tblPrEx>
        <w:trPr>
          <w:trHeight w:val="945"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到位时效</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2</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资金是否及时到位；若未及时到位，是否影响项目进度</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及时到位（2分），未及时到位但未影响项目进度（1.5分），未及时到位并影响项目进度（0-1分）。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2</w:t>
            </w:r>
          </w:p>
        </w:tc>
      </w:tr>
      <w:tr>
        <w:tblPrEx>
          <w:tblCellMar>
            <w:top w:w="0" w:type="dxa"/>
            <w:left w:w="0" w:type="dxa"/>
            <w:bottom w:w="0" w:type="dxa"/>
            <w:right w:w="0" w:type="dxa"/>
          </w:tblCellMar>
        </w:tblPrEx>
        <w:trPr>
          <w:trHeight w:val="124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资金管理</w:t>
            </w:r>
          </w:p>
        </w:tc>
        <w:tc>
          <w:tcPr>
            <w:tcW w:w="208"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10</w:t>
            </w: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资金使用</w:t>
            </w:r>
          </w:p>
        </w:tc>
        <w:tc>
          <w:tcPr>
            <w:tcW w:w="241"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7</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是否存在支出依据不合规、虚列项目支出的情况；是否存在截留、挤占、挪用项目资金情况；是否存在超标准开支情况</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虚列（套取）扣4-7分，支出依据不合规扣1分，截留、挤占、挪用扣3-6分，超标准开支扣2-5分</w:t>
            </w:r>
          </w:p>
        </w:tc>
        <w:tc>
          <w:tcPr>
            <w:tcW w:w="223"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7</w:t>
            </w:r>
          </w:p>
        </w:tc>
      </w:tr>
      <w:tr>
        <w:tblPrEx>
          <w:tblCellMar>
            <w:top w:w="0" w:type="dxa"/>
            <w:left w:w="0" w:type="dxa"/>
            <w:bottom w:w="0" w:type="dxa"/>
            <w:right w:w="0" w:type="dxa"/>
          </w:tblCellMar>
        </w:tblPrEx>
        <w:trPr>
          <w:trHeight w:val="96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财务管理</w:t>
            </w:r>
          </w:p>
        </w:tc>
        <w:tc>
          <w:tcPr>
            <w:tcW w:w="241"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3</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资金管理、费用支出等制度是否健全，是否严格执行；会计核算是否规范</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财务制度健全（1分），严格执行制度（1分），会计核算规范（1分）。</w:t>
            </w:r>
          </w:p>
        </w:tc>
        <w:tc>
          <w:tcPr>
            <w:tcW w:w="223"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3</w:t>
            </w:r>
          </w:p>
        </w:tc>
      </w:tr>
      <w:tr>
        <w:tblPrEx>
          <w:tblCellMar>
            <w:top w:w="0" w:type="dxa"/>
            <w:left w:w="0" w:type="dxa"/>
            <w:bottom w:w="0" w:type="dxa"/>
            <w:right w:w="0" w:type="dxa"/>
          </w:tblCellMar>
        </w:tblPrEx>
        <w:trPr>
          <w:trHeight w:val="56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组织实施</w:t>
            </w:r>
          </w:p>
        </w:tc>
        <w:tc>
          <w:tcPr>
            <w:tcW w:w="208"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10</w:t>
            </w:r>
          </w:p>
        </w:tc>
        <w:tc>
          <w:tcPr>
            <w:tcW w:w="289"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组织机构</w:t>
            </w:r>
          </w:p>
        </w:tc>
        <w:tc>
          <w:tcPr>
            <w:tcW w:w="241"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1</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机构是否健全、分工是否明确</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机构健全、分工明确（1分）</w:t>
            </w:r>
          </w:p>
        </w:tc>
        <w:tc>
          <w:tcPr>
            <w:tcW w:w="223"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1</w:t>
            </w:r>
          </w:p>
        </w:tc>
      </w:tr>
      <w:tr>
        <w:tblPrEx>
          <w:tblCellMar>
            <w:top w:w="0" w:type="dxa"/>
            <w:left w:w="0" w:type="dxa"/>
            <w:bottom w:w="0" w:type="dxa"/>
            <w:right w:w="0" w:type="dxa"/>
          </w:tblCellMar>
        </w:tblPrEx>
        <w:trPr>
          <w:trHeight w:val="66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管理制度</w:t>
            </w:r>
          </w:p>
        </w:tc>
        <w:tc>
          <w:tcPr>
            <w:tcW w:w="241"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9</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是否建立健全项目管理制度；是否严格执行相关项目管理制度</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建立健全项目管理制度（2分）；严格执行相关项目管理制度（7分）</w:t>
            </w:r>
          </w:p>
        </w:tc>
        <w:tc>
          <w:tcPr>
            <w:tcW w:w="223"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9</w:t>
            </w:r>
          </w:p>
        </w:tc>
      </w:tr>
      <w:tr>
        <w:tblPrEx>
          <w:tblCellMar>
            <w:top w:w="0" w:type="dxa"/>
            <w:left w:w="0" w:type="dxa"/>
            <w:bottom w:w="0" w:type="dxa"/>
            <w:right w:w="0" w:type="dxa"/>
          </w:tblCellMar>
        </w:tblPrEx>
        <w:trPr>
          <w:trHeight w:val="765" w:hRule="atLeast"/>
        </w:trPr>
        <w:tc>
          <w:tcPr>
            <w:tcW w:w="274"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项目绩效</w:t>
            </w:r>
          </w:p>
        </w:tc>
        <w:tc>
          <w:tcPr>
            <w:tcW w:w="23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55</w:t>
            </w:r>
          </w:p>
        </w:tc>
        <w:tc>
          <w:tcPr>
            <w:tcW w:w="28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项目产出</w:t>
            </w:r>
          </w:p>
        </w:tc>
        <w:tc>
          <w:tcPr>
            <w:tcW w:w="208"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15</w:t>
            </w: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产出数量</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 xml:space="preserve">5 </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项目产出数量是否达到绩效目标</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对照绩效目标评价产出数量（5分）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 xml:space="preserve">5 </w:t>
            </w:r>
          </w:p>
        </w:tc>
      </w:tr>
      <w:tr>
        <w:tblPrEx>
          <w:tblCellMar>
            <w:top w:w="0" w:type="dxa"/>
            <w:left w:w="0" w:type="dxa"/>
            <w:bottom w:w="0" w:type="dxa"/>
            <w:right w:w="0" w:type="dxa"/>
          </w:tblCellMar>
        </w:tblPrEx>
        <w:trPr>
          <w:trHeight w:val="54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产出质量</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 xml:space="preserve">4 </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项目产出质量是否达到绩效目标</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对照绩效目标评价产出质量（4分）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 xml:space="preserve">4 </w:t>
            </w:r>
          </w:p>
        </w:tc>
      </w:tr>
      <w:tr>
        <w:tblPrEx>
          <w:tblCellMar>
            <w:top w:w="0" w:type="dxa"/>
            <w:left w:w="0" w:type="dxa"/>
            <w:bottom w:w="0" w:type="dxa"/>
            <w:right w:w="0" w:type="dxa"/>
          </w:tblCellMar>
        </w:tblPrEx>
        <w:trPr>
          <w:trHeight w:val="54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产出时效</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3</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项目产出时效是否达到绩效目标</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对照绩效目标评价产出时效（3分）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3</w:t>
            </w:r>
          </w:p>
        </w:tc>
      </w:tr>
      <w:tr>
        <w:tblPrEx>
          <w:tblCellMar>
            <w:top w:w="0" w:type="dxa"/>
            <w:left w:w="0" w:type="dxa"/>
            <w:bottom w:w="0" w:type="dxa"/>
            <w:right w:w="0" w:type="dxa"/>
          </w:tblCellMar>
        </w:tblPrEx>
        <w:trPr>
          <w:trHeight w:val="54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产出成本</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3</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项目产出成本是否按绩效目标控制</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对照绩效目标评价产出成本（3分）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3</w:t>
            </w:r>
          </w:p>
        </w:tc>
      </w:tr>
      <w:tr>
        <w:tblPrEx>
          <w:tblCellMar>
            <w:top w:w="0" w:type="dxa"/>
            <w:left w:w="0" w:type="dxa"/>
            <w:bottom w:w="0" w:type="dxa"/>
            <w:right w:w="0" w:type="dxa"/>
          </w:tblCellMar>
        </w:tblPrEx>
        <w:trPr>
          <w:trHeight w:val="54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项目效果</w:t>
            </w:r>
          </w:p>
        </w:tc>
        <w:tc>
          <w:tcPr>
            <w:tcW w:w="208"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40</w:t>
            </w: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经济效益</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项目实施是否产生直接或间接经济效益</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对照绩效目标评价经济效益（8分）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r>
      <w:tr>
        <w:tblPrEx>
          <w:tblCellMar>
            <w:top w:w="0" w:type="dxa"/>
            <w:left w:w="0" w:type="dxa"/>
            <w:bottom w:w="0" w:type="dxa"/>
            <w:right w:w="0" w:type="dxa"/>
          </w:tblCellMar>
        </w:tblPrEx>
        <w:trPr>
          <w:trHeight w:val="48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社会效益</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项目实施是否产生社会综合效益</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对照绩效目标评价社会效益（8分）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r>
      <w:tr>
        <w:tblPrEx>
          <w:tblCellMar>
            <w:top w:w="0" w:type="dxa"/>
            <w:left w:w="0" w:type="dxa"/>
            <w:bottom w:w="0" w:type="dxa"/>
            <w:right w:w="0" w:type="dxa"/>
          </w:tblCellMar>
        </w:tblPrEx>
        <w:trPr>
          <w:trHeight w:val="57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环境效益</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项目实施是否对环境产生积极或消极影响</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对照绩效目标评价环境效益（8分）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r>
      <w:tr>
        <w:tblPrEx>
          <w:tblCellMar>
            <w:top w:w="0" w:type="dxa"/>
            <w:left w:w="0" w:type="dxa"/>
            <w:bottom w:w="0" w:type="dxa"/>
            <w:right w:w="0" w:type="dxa"/>
          </w:tblCellMar>
        </w:tblPrEx>
        <w:trPr>
          <w:trHeight w:val="615"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可持续影响</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项目实施对人、自然、资源是否带来可持续影响</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对照绩效目标评价可持续影响（8分）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r>
      <w:tr>
        <w:tblPrEx>
          <w:tblCellMar>
            <w:top w:w="0" w:type="dxa"/>
            <w:left w:w="0" w:type="dxa"/>
            <w:bottom w:w="0" w:type="dxa"/>
            <w:right w:w="0" w:type="dxa"/>
          </w:tblCellMar>
        </w:tblPrEx>
        <w:trPr>
          <w:trHeight w:val="54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服务对象满意度</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项目预期服务对象对项目实施的满意程度</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对照绩效目标评价服务对象满意度（8分）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r>
      <w:tr>
        <w:tblPrEx>
          <w:tblCellMar>
            <w:top w:w="0" w:type="dxa"/>
            <w:left w:w="0" w:type="dxa"/>
            <w:bottom w:w="0" w:type="dxa"/>
            <w:right w:w="0" w:type="dxa"/>
          </w:tblCellMar>
        </w:tblPrEx>
        <w:trPr>
          <w:trHeight w:val="390" w:hRule="atLeast"/>
        </w:trPr>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总分</w:t>
            </w:r>
          </w:p>
        </w:tc>
        <w:tc>
          <w:tcPr>
            <w:tcW w:w="23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100</w:t>
            </w:r>
          </w:p>
        </w:tc>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100</w:t>
            </w: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100</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100</w:t>
            </w:r>
          </w:p>
        </w:tc>
      </w:tr>
    </w:tbl>
    <w:p>
      <w:pPr>
        <w:rPr>
          <w:sz w:val="18"/>
          <w:szCs w:val="1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jNjlkZWFmNzVhOWUzODg5ZDVlNjNlYmQxNzFhMzIifQ=="/>
  </w:docVars>
  <w:rsids>
    <w:rsidRoot w:val="259120EE"/>
    <w:rsid w:val="199473BC"/>
    <w:rsid w:val="1E0B0C8B"/>
    <w:rsid w:val="259120EE"/>
    <w:rsid w:val="37BA2B6C"/>
    <w:rsid w:val="3CCB07B9"/>
    <w:rsid w:val="3F0313B5"/>
    <w:rsid w:val="50C25F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2020-10-29T03:35:00Z</dcterms:created>
  <dc:creator>Administrator</dc:creator>
  <cp:lastModifiedBy>李利</cp:lastModifiedBy>
  <dcterms:modified xsi:type="dcterms:W3CDTF">2023-10-26T01:24:10Z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6A6F4A90195D4B829130E5AD3BB55201_12</vt:lpwstr>
  </property>
</Properties>
</file>