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cs="Times New Roman"/>
          <w:sz w:val="56"/>
          <w:szCs w:val="56"/>
        </w:rPr>
      </w:pPr>
    </w:p>
    <w:p>
      <w:pPr>
        <w:pStyle w:val="11"/>
        <w:jc w:val="center"/>
        <w:rPr>
          <w:rFonts w:cs="Times New Roman"/>
          <w:sz w:val="56"/>
          <w:szCs w:val="56"/>
        </w:rPr>
      </w:pPr>
    </w:p>
    <w:p>
      <w:pPr>
        <w:pStyle w:val="11"/>
        <w:jc w:val="center"/>
        <w:rPr>
          <w:sz w:val="84"/>
          <w:szCs w:val="84"/>
        </w:rPr>
      </w:pPr>
    </w:p>
    <w:p>
      <w:pPr>
        <w:pStyle w:val="11"/>
        <w:jc w:val="center"/>
        <w:rPr>
          <w:rFonts w:hint="eastAsia" w:ascii="宋体" w:hAnsi="宋体" w:eastAsia="宋体" w:cs="宋体"/>
          <w:sz w:val="72"/>
          <w:szCs w:val="72"/>
        </w:rPr>
      </w:pPr>
      <w:r>
        <w:rPr>
          <w:rFonts w:hint="eastAsia" w:ascii="宋体" w:hAnsi="宋体" w:eastAsia="宋体" w:cs="宋体"/>
          <w:sz w:val="72"/>
          <w:szCs w:val="72"/>
        </w:rPr>
        <w:t>2020年度</w:t>
      </w:r>
    </w:p>
    <w:p>
      <w:pPr>
        <w:pStyle w:val="11"/>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杨嘉桥镇人民政府</w:t>
      </w:r>
    </w:p>
    <w:p>
      <w:pPr>
        <w:pStyle w:val="11"/>
        <w:jc w:val="center"/>
        <w:rPr>
          <w:rFonts w:hint="eastAsia" w:ascii="宋体" w:hAnsi="宋体" w:eastAsia="宋体" w:cs="宋体"/>
          <w:sz w:val="72"/>
          <w:szCs w:val="72"/>
        </w:rPr>
      </w:pPr>
      <w:r>
        <w:rPr>
          <w:rFonts w:hint="eastAsia" w:ascii="宋体" w:hAnsi="宋体" w:eastAsia="宋体" w:cs="宋体"/>
          <w:sz w:val="72"/>
          <w:szCs w:val="72"/>
        </w:rPr>
        <w:t>部门决算</w:t>
      </w:r>
    </w:p>
    <w:p>
      <w:pPr>
        <w:pStyle w:val="11"/>
        <w:jc w:val="center"/>
        <w:rPr>
          <w:rFonts w:hint="eastAsia" w:ascii="宋体" w:hAnsi="宋体" w:eastAsia="宋体" w:cs="宋体"/>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hint="eastAsia"/>
          <w:sz w:val="32"/>
          <w:szCs w:val="32"/>
          <w:lang w:val="en-US" w:eastAsia="zh-CN"/>
        </w:rPr>
      </w:pPr>
      <w:r>
        <w:rPr>
          <w:rFonts w:hint="eastAsia"/>
          <w:sz w:val="32"/>
          <w:szCs w:val="32"/>
          <w:lang w:val="en-US" w:eastAsia="zh-CN"/>
        </w:rPr>
        <w:t xml:space="preserve"> </w:t>
      </w:r>
    </w:p>
    <w:p>
      <w:pPr>
        <w:pStyle w:val="11"/>
        <w:jc w:val="center"/>
        <w:rPr>
          <w:rFonts w:hint="eastAsia"/>
          <w:sz w:val="32"/>
          <w:szCs w:val="32"/>
          <w:lang w:val="en-US" w:eastAsia="zh-CN"/>
        </w:rPr>
      </w:pPr>
    </w:p>
    <w:p>
      <w:pPr>
        <w:pStyle w:val="11"/>
        <w:jc w:val="center"/>
        <w:rPr>
          <w:rFonts w:cs="Times New Roman"/>
          <w:sz w:val="32"/>
          <w:szCs w:val="32"/>
        </w:rPr>
      </w:pPr>
    </w:p>
    <w:p>
      <w:pPr>
        <w:pStyle w:val="11"/>
        <w:spacing w:line="540" w:lineRule="exact"/>
        <w:jc w:val="both"/>
        <w:rPr>
          <w:rFonts w:cs="Times New Roman"/>
          <w:sz w:val="56"/>
          <w:szCs w:val="56"/>
        </w:rPr>
      </w:pPr>
    </w:p>
    <w:p>
      <w:pPr>
        <w:pStyle w:val="11"/>
        <w:spacing w:line="540" w:lineRule="exact"/>
        <w:jc w:val="both"/>
        <w:rPr>
          <w:rFonts w:cs="Times New Roman"/>
          <w:sz w:val="56"/>
          <w:szCs w:val="56"/>
        </w:rPr>
      </w:pPr>
    </w:p>
    <w:p>
      <w:pPr>
        <w:pStyle w:val="11"/>
        <w:spacing w:line="500" w:lineRule="exact"/>
        <w:jc w:val="both"/>
        <w:rPr>
          <w:rFonts w:cs="Times New Roman"/>
          <w:b/>
          <w:bCs/>
          <w:sz w:val="36"/>
          <w:szCs w:val="36"/>
        </w:rPr>
      </w:pPr>
    </w:p>
    <w:p>
      <w:pPr>
        <w:pStyle w:val="11"/>
        <w:spacing w:line="500" w:lineRule="exact"/>
        <w:jc w:val="both"/>
        <w:rPr>
          <w:rFonts w:cs="Times New Roman"/>
          <w:b/>
          <w:bCs/>
          <w:sz w:val="36"/>
          <w:szCs w:val="36"/>
        </w:rPr>
      </w:pPr>
    </w:p>
    <w:p>
      <w:pPr>
        <w:pStyle w:val="11"/>
        <w:spacing w:line="500" w:lineRule="exact"/>
        <w:jc w:val="center"/>
        <w:rPr>
          <w:rFonts w:cs="Times New Roman"/>
          <w:b/>
          <w:bCs/>
          <w:sz w:val="36"/>
          <w:szCs w:val="36"/>
        </w:rPr>
      </w:pPr>
      <w:r>
        <w:rPr>
          <w:rFonts w:hint="eastAsia"/>
          <w:b/>
          <w:bCs/>
          <w:sz w:val="32"/>
          <w:szCs w:val="32"/>
        </w:rPr>
        <w:t>目录</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32"/>
          <w:szCs w:val="32"/>
        </w:rPr>
      </w:pPr>
      <w:r>
        <w:rPr>
          <w:rFonts w:hint="eastAsia"/>
          <w:b/>
          <w:bCs/>
          <w:sz w:val="32"/>
          <w:szCs w:val="32"/>
        </w:rPr>
        <w:t>第一部分</w:t>
      </w:r>
      <w:r>
        <w:rPr>
          <w:rFonts w:hint="eastAsia"/>
          <w:b/>
          <w:bCs/>
          <w:sz w:val="32"/>
          <w:szCs w:val="32"/>
          <w:lang w:eastAsia="zh-CN"/>
        </w:rPr>
        <w:t>杨嘉桥镇人民政府</w:t>
      </w:r>
      <w:r>
        <w:rPr>
          <w:rFonts w:hint="eastAsia"/>
          <w:b/>
          <w:bCs/>
          <w:sz w:val="32"/>
          <w:szCs w:val="32"/>
        </w:rPr>
        <w:t>概况</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ascii="宋体" w:hAnsi="宋体" w:eastAsia="宋体" w:cs="Times New Roman"/>
          <w:sz w:val="32"/>
          <w:szCs w:val="32"/>
        </w:rPr>
      </w:pPr>
      <w:r>
        <w:rPr>
          <w:rFonts w:hint="eastAsia" w:ascii="宋体" w:hAnsi="宋体" w:eastAsia="宋体" w:cs="宋体"/>
          <w:sz w:val="32"/>
          <w:szCs w:val="32"/>
        </w:rPr>
        <w:t>一、部门职责</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ascii="宋体" w:hAnsi="宋体" w:eastAsia="宋体" w:cs="Times New Roman"/>
          <w:sz w:val="32"/>
          <w:szCs w:val="32"/>
        </w:rPr>
      </w:pPr>
      <w:r>
        <w:rPr>
          <w:rFonts w:hint="eastAsia" w:ascii="宋体" w:hAnsi="宋体" w:eastAsia="宋体" w:cs="宋体"/>
          <w:sz w:val="32"/>
          <w:szCs w:val="32"/>
        </w:rPr>
        <w:t>二、机构设置</w:t>
      </w:r>
    </w:p>
    <w:p>
      <w:pPr>
        <w:pStyle w:val="11"/>
        <w:keepNext w:val="0"/>
        <w:keepLines w:val="0"/>
        <w:pageBreakBefore w:val="0"/>
        <w:widowControl w:val="0"/>
        <w:kinsoku/>
        <w:wordWrap/>
        <w:overflowPunct/>
        <w:topLinePunct w:val="0"/>
        <w:bidi w:val="0"/>
        <w:snapToGrid/>
        <w:spacing w:line="460" w:lineRule="exact"/>
        <w:textAlignment w:val="auto"/>
        <w:rPr>
          <w:rFonts w:hint="eastAsia"/>
          <w:b/>
          <w:bCs/>
          <w:sz w:val="32"/>
          <w:szCs w:val="32"/>
        </w:rPr>
      </w:pPr>
      <w:r>
        <w:rPr>
          <w:rFonts w:hint="eastAsia"/>
          <w:b/>
          <w:bCs/>
          <w:sz w:val="32"/>
          <w:szCs w:val="32"/>
          <w:lang w:eastAsia="zh-CN"/>
        </w:rPr>
        <w:t>第二部分2020年度部门决算表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一、收入支出决算总表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二、收入决算表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三、支出决算表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四、财政拨款收入支出决算总表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五、一般公共预算财政拨款支出决算表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六、一般公共预算财政拨款基本支出决算表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七、一般公共预算财政拨款“三公”经费支出决算表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八、政府性基金预算财政拨款收入支出决算表</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九、国有资本经营预算财政拨款支出决算表</w:t>
      </w:r>
    </w:p>
    <w:p>
      <w:pPr>
        <w:pStyle w:val="11"/>
        <w:keepNext w:val="0"/>
        <w:keepLines w:val="0"/>
        <w:pageBreakBefore w:val="0"/>
        <w:widowControl w:val="0"/>
        <w:kinsoku/>
        <w:wordWrap/>
        <w:overflowPunct/>
        <w:topLinePunct w:val="0"/>
        <w:bidi w:val="0"/>
        <w:snapToGrid/>
        <w:spacing w:line="460" w:lineRule="exact"/>
        <w:textAlignment w:val="auto"/>
        <w:rPr>
          <w:rFonts w:hint="eastAsia"/>
          <w:b/>
          <w:bCs/>
          <w:sz w:val="32"/>
          <w:szCs w:val="32"/>
          <w:lang w:eastAsia="zh-CN"/>
        </w:rPr>
      </w:pPr>
      <w:r>
        <w:rPr>
          <w:rFonts w:hint="eastAsia"/>
          <w:b/>
          <w:bCs/>
          <w:sz w:val="32"/>
          <w:szCs w:val="32"/>
          <w:lang w:eastAsia="zh-CN"/>
        </w:rPr>
        <w:t>第三部分2020年度部门决算情况说明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一、收入支出决算总体情况说明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二、收入决算情况说明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三、支出决算情况说明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四、财政拨款收入支出决算总体情况说明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五、一般公共预算财政拨款支出决算情况说明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六、一般公共预算财政拨款基本支出决算情况说明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七、一般公共预算财政拨款三公经费支出决算情况说明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八、政府性基金预算收入支出决算情况</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九、关于机关运行经费支出说明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十、一般性支出情况</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十一、关于政府采购支出说明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十二、关于国有资产占用情况说明</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eastAsia="zh-CN"/>
        </w:rPr>
        <w:t>十三、</w:t>
      </w:r>
      <w:r>
        <w:rPr>
          <w:rFonts w:hint="eastAsia" w:ascii="宋体" w:hAnsi="宋体" w:eastAsia="宋体" w:cs="宋体"/>
          <w:sz w:val="32"/>
          <w:szCs w:val="32"/>
          <w:lang w:val="en-US" w:eastAsia="zh-CN"/>
        </w:rPr>
        <w:t>国有资本经营预算财政拨款支出决算情况</w:t>
      </w:r>
    </w:p>
    <w:p>
      <w:pPr>
        <w:pStyle w:val="11"/>
        <w:keepNext w:val="0"/>
        <w:keepLines w:val="0"/>
        <w:pageBreakBefore w:val="0"/>
        <w:widowControl w:val="0"/>
        <w:kinsoku/>
        <w:wordWrap/>
        <w:overflowPunct/>
        <w:topLinePunct w:val="0"/>
        <w:bidi w:val="0"/>
        <w:snapToGrid/>
        <w:spacing w:line="460" w:lineRule="exact"/>
        <w:ind w:firstLine="800" w:firstLineChars="250"/>
        <w:textAlignment w:val="auto"/>
        <w:rPr>
          <w:rFonts w:hint="eastAsia" w:ascii="宋体" w:hAnsi="宋体" w:eastAsia="宋体" w:cs="宋体"/>
          <w:sz w:val="32"/>
          <w:szCs w:val="32"/>
        </w:rPr>
      </w:pPr>
      <w:r>
        <w:rPr>
          <w:rFonts w:hint="eastAsia" w:ascii="宋体" w:hAnsi="宋体" w:eastAsia="宋体" w:cs="宋体"/>
          <w:sz w:val="32"/>
          <w:szCs w:val="32"/>
        </w:rPr>
        <w:t>十</w:t>
      </w:r>
      <w:r>
        <w:rPr>
          <w:rFonts w:hint="eastAsia" w:ascii="宋体" w:hAnsi="宋体" w:eastAsia="宋体" w:cs="宋体"/>
          <w:sz w:val="32"/>
          <w:szCs w:val="32"/>
          <w:lang w:eastAsia="zh-CN"/>
        </w:rPr>
        <w:t>四</w:t>
      </w:r>
      <w:r>
        <w:rPr>
          <w:rFonts w:hint="eastAsia" w:ascii="宋体" w:hAnsi="宋体" w:eastAsia="宋体" w:cs="宋体"/>
          <w:sz w:val="32"/>
          <w:szCs w:val="32"/>
        </w:rPr>
        <w:t>、关于2020年度预算绩效情况的说明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eastAsia="黑体" w:cs="黑体"/>
          <w:b/>
          <w:bCs/>
          <w:color w:val="000000"/>
          <w:kern w:val="0"/>
          <w:sz w:val="24"/>
          <w:szCs w:val="24"/>
          <w:lang w:val="en-US" w:eastAsia="zh-CN" w:bidi="ar-SA"/>
        </w:rPr>
      </w:pPr>
      <w:r>
        <w:rPr>
          <w:rFonts w:hint="eastAsia" w:ascii="黑体" w:hAnsi="Calibri" w:eastAsia="黑体" w:cs="黑体"/>
          <w:b/>
          <w:bCs/>
          <w:color w:val="000000"/>
          <w:kern w:val="0"/>
          <w:sz w:val="32"/>
          <w:szCs w:val="32"/>
          <w:lang w:val="en-US" w:eastAsia="zh-CN" w:bidi="ar-SA"/>
        </w:rPr>
        <w:t>第四部分名词解释</w:t>
      </w:r>
      <w:r>
        <w:rPr>
          <w:rFonts w:hint="eastAsia" w:ascii="黑体" w:eastAsia="黑体" w:cs="黑体"/>
          <w:b/>
          <w:bCs/>
          <w:color w:val="000000"/>
          <w:kern w:val="0"/>
          <w:sz w:val="24"/>
          <w:szCs w:val="24"/>
          <w:lang w:val="en-US" w:eastAsia="zh-CN" w:bidi="ar-SA"/>
        </w:rPr>
        <w:t xml:space="preserve">           </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hAnsi="Calibri" w:eastAsia="黑体" w:cs="黑体"/>
          <w:b/>
          <w:bCs/>
          <w:color w:val="000000"/>
          <w:kern w:val="0"/>
          <w:sz w:val="24"/>
          <w:szCs w:val="24"/>
          <w:lang w:val="en-US" w:eastAsia="zh-CN" w:bidi="ar-SA"/>
        </w:rPr>
      </w:pPr>
      <w:r>
        <w:rPr>
          <w:rFonts w:hint="eastAsia" w:ascii="黑体" w:eastAsia="黑体" w:cs="黑体"/>
          <w:b/>
          <w:bCs/>
          <w:color w:val="000000"/>
          <w:kern w:val="0"/>
          <w:sz w:val="24"/>
          <w:szCs w:val="24"/>
          <w:lang w:val="en-US" w:eastAsia="zh-CN" w:bidi="ar-SA"/>
        </w:rPr>
        <w:t xml:space="preserve"> </w:t>
      </w:r>
      <w:r>
        <w:rPr>
          <w:rFonts w:hint="eastAsia" w:ascii="黑体" w:hAnsi="Calibri" w:eastAsia="黑体" w:cs="黑体"/>
          <w:b/>
          <w:bCs/>
          <w:color w:val="000000"/>
          <w:kern w:val="0"/>
          <w:sz w:val="32"/>
          <w:szCs w:val="32"/>
          <w:lang w:val="en-US" w:eastAsia="zh-CN" w:bidi="ar-SA"/>
        </w:rPr>
        <w:t>第五部分附件</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杨嘉桥镇人民政府</w:t>
      </w:r>
    </w:p>
    <w:p>
      <w:pPr>
        <w:pStyle w:val="11"/>
        <w:jc w:val="center"/>
        <w:rPr>
          <w:rFonts w:cs="Times New Roman"/>
          <w:sz w:val="84"/>
          <w:szCs w:val="84"/>
        </w:rPr>
      </w:pPr>
      <w:r>
        <w:rPr>
          <w:rFonts w:hint="eastAsia" w:ascii="宋体" w:hAnsi="宋体" w:eastAsia="宋体" w:cs="宋体"/>
          <w:sz w:val="72"/>
          <w:szCs w:val="72"/>
        </w:rPr>
        <w:t>单位概况</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12"/>
        <w:ind w:left="72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（一）执行上级国家行政机关的决定、命令和国家制定的法律、法规，接受同级党委的领导，执行本级人民代表大会的各项决议，并报告执行决议、决定和命令的情况。</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（二）制定并落实本行政区域的经济计划和措施，促进产业结构调整及其他经济保持平衡协调发展，全面提高人民群众的生活水平和生活质量。</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（三）承担国有资产、集体资产管理、监督及增值保值责任。认真执行国家的法律和政策，履行经济合同。</w:t>
      </w:r>
    </w:p>
    <w:p>
      <w:pPr>
        <w:widowControl/>
        <w:ind w:firstLine="320" w:firstLineChars="1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　（四）开展社会主义民主和法制的宣传教育，制定社会治安综合治理工作规划并组织实施，加强社区管理工作，调解民间纠纷，打击违法犯罪，维护社会稳定。</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（五）制定社会各项事业发展计划，组织实施义务教育和其他各类教育，加强计划生育工作，推进社会保障、社会福利事业和养老保险工作。</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（六）加强镇级财政的监督和管理，按计划组织、管理财政收入和支出，执行国家有关财经法规和政策，保证国家财政收入的完成。做好统计工作。</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（七）指导、支持、帮助村民委员会的组织制度建设和业务建设，促进村民委员民主自治。</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（八）制定和组织实施镇村建设规划。加强公用、市政设施、水利建设和管理以及房屋土地管理和环境综合整治工作，保护和改善生活环境和生态环境。</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（九）协助和支持设置在本行政区域内不隶属于镇的国家机关和企事业单位工作，监督其遵守和执行国家的法律、法规和政策。</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（十）承办本级党委、人大和上级交办的其它事项。</w:t>
      </w:r>
    </w:p>
    <w:p>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二、机构设置及决算单位构成</w:t>
      </w:r>
    </w:p>
    <w:p>
      <w:pPr>
        <w:widowControl/>
        <w:spacing w:line="600" w:lineRule="exact"/>
        <w:rPr>
          <w:rFonts w:hint="default"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内设机构设置。杨嘉桥镇人民政府单位内设机构包括：2020年本镇共有机构数11个，其中行政单位5个，事业单位6个，核定行政编55个，事业编74个，实有人数138人，其中政府42人、财政所10人、经济发展办公室5人、社会事务办4人、社会治安和应急管理办4人、自然资源和生态环境办5人、农业综合服务中心24人、社会事务综合服务中心21人、政务服务中心9人、退役军人服务站2人、综合执法大队12人。</w:t>
      </w:r>
    </w:p>
    <w:p>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决算单位构成。杨嘉桥镇人民政府单位2020年部门决算汇总公开单位构成包括：杨嘉桥镇人民政府单位本级以及财政所、经济发展办公室、社会事务办、社会治安和应急管理办、自然资源和生态环境办、农业综合服务中心、社会事务综合服务中心、政务服务中心、退役军人服务站、综合执法大队。</w:t>
      </w:r>
    </w:p>
    <w:p>
      <w:pPr>
        <w:jc w:val="both"/>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 w:linePitch="312" w:charSpace="0"/>
        </w:sectPr>
      </w:pPr>
    </w:p>
    <w:tbl>
      <w:tblPr>
        <w:tblStyle w:val="7"/>
        <w:tblW w:w="14081" w:type="dxa"/>
        <w:tblInd w:w="-106" w:type="dxa"/>
        <w:tblLayout w:type="fixed"/>
        <w:tblCellMar>
          <w:top w:w="0" w:type="dxa"/>
          <w:left w:w="108" w:type="dxa"/>
          <w:bottom w:w="0" w:type="dxa"/>
          <w:right w:w="108" w:type="dxa"/>
        </w:tblCellMar>
      </w:tblPr>
      <w:tblGrid>
        <w:gridCol w:w="14081"/>
      </w:tblGrid>
      <w:tr>
        <w:tblPrEx>
          <w:tblCellMar>
            <w:top w:w="0" w:type="dxa"/>
            <w:left w:w="108" w:type="dxa"/>
            <w:bottom w:w="0" w:type="dxa"/>
            <w:right w:w="108" w:type="dxa"/>
          </w:tblCellMar>
        </w:tblPrEx>
        <w:trPr>
          <w:trHeight w:val="1020" w:hRule="atLeast"/>
        </w:trPr>
        <w:tc>
          <w:tcPr>
            <w:tcW w:w="14081" w:type="dxa"/>
            <w:tcBorders>
              <w:top w:val="nil"/>
              <w:left w:val="nil"/>
              <w:bottom w:val="nil"/>
              <w:right w:val="nil"/>
            </w:tcBorders>
            <w:vAlign w:val="center"/>
          </w:tcPr>
          <w:tbl>
            <w:tblPr>
              <w:tblStyle w:val="7"/>
              <w:tblW w:w="13859" w:type="dxa"/>
              <w:tblInd w:w="0" w:type="dxa"/>
              <w:shd w:val="clear" w:color="auto" w:fill="auto"/>
              <w:tblLayout w:type="fixed"/>
              <w:tblCellMar>
                <w:top w:w="0" w:type="dxa"/>
                <w:left w:w="108" w:type="dxa"/>
                <w:bottom w:w="0" w:type="dxa"/>
                <w:right w:w="108" w:type="dxa"/>
              </w:tblCellMar>
            </w:tblPr>
            <w:tblGrid>
              <w:gridCol w:w="4033"/>
              <w:gridCol w:w="149"/>
              <w:gridCol w:w="120"/>
              <w:gridCol w:w="1469"/>
              <w:gridCol w:w="1462"/>
              <w:gridCol w:w="132"/>
              <w:gridCol w:w="3940"/>
              <w:gridCol w:w="1"/>
              <w:gridCol w:w="734"/>
              <w:gridCol w:w="1"/>
              <w:gridCol w:w="1816"/>
              <w:gridCol w:w="2"/>
            </w:tblGrid>
            <w:tr>
              <w:tblPrEx>
                <w:shd w:val="clear" w:color="auto" w:fill="auto"/>
                <w:tblCellMar>
                  <w:top w:w="0" w:type="dxa"/>
                  <w:left w:w="108" w:type="dxa"/>
                  <w:bottom w:w="0" w:type="dxa"/>
                  <w:right w:w="108" w:type="dxa"/>
                </w:tblCellMar>
              </w:tblPrEx>
              <w:trPr>
                <w:gridAfter w:val="1"/>
                <w:wAfter w:w="2" w:type="dxa"/>
                <w:trHeight w:val="384" w:hRule="atLeast"/>
              </w:trPr>
              <w:tc>
                <w:tcPr>
                  <w:tcW w:w="13857" w:type="dxa"/>
                  <w:gridSpan w:val="11"/>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tblPrEx>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69"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69"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73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494" w:type="dxa"/>
                  <w:gridSpan w:val="6"/>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89" w:type="dxa"/>
                  <w:gridSpan w:val="2"/>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35" w:type="dxa"/>
                  <w:gridSpan w:val="2"/>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2,855.62</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2,604.46</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161.78</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88.25</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313.85</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1,689.50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r>
            <w:tr>
              <w:tblPrEx>
                <w:shd w:val="clear" w:color="auto" w:fill="auto"/>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5,161.83</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5,161.83</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94" w:type="dxa"/>
                  <w:gridSpan w:val="2"/>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819" w:type="dxa"/>
                  <w:gridSpan w:val="3"/>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89" w:type="dxa"/>
                  <w:gridSpan w:val="2"/>
                  <w:tcBorders>
                    <w:top w:val="nil"/>
                    <w:left w:val="nil"/>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5,161.83</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5,161.83</w:t>
                  </w:r>
                </w:p>
              </w:tc>
            </w:tr>
            <w:tr>
              <w:tblPrEx>
                <w:tblCellMar>
                  <w:top w:w="0" w:type="dxa"/>
                  <w:left w:w="108" w:type="dxa"/>
                  <w:bottom w:w="0" w:type="dxa"/>
                  <w:right w:w="108" w:type="dxa"/>
                </w:tblCellMar>
              </w:tblPrEx>
              <w:trPr>
                <w:gridAfter w:val="1"/>
                <w:wAfter w:w="2" w:type="dxa"/>
                <w:trHeight w:val="308" w:hRule="atLeast"/>
              </w:trPr>
              <w:tc>
                <w:tcPr>
                  <w:tcW w:w="13857"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注：本表反映部门本年度的总收支和年末结转结余情况。本套报表金额单位转换时可能存在尾数误差。</w:t>
                  </w:r>
                </w:p>
              </w:tc>
            </w:tr>
          </w:tbl>
          <w:p>
            <w:pPr>
              <w:widowControl/>
              <w:jc w:val="left"/>
              <w:rPr>
                <w:rFonts w:ascii="宋体" w:cs="Times New Roman"/>
                <w:kern w:val="0"/>
                <w:sz w:val="24"/>
                <w:szCs w:val="24"/>
              </w:rPr>
            </w:pPr>
          </w:p>
        </w:tc>
      </w:tr>
    </w:tbl>
    <w:p>
      <w:pPr>
        <w:jc w:val="both"/>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pPr>
        <w:widowControl/>
        <w:jc w:val="left"/>
        <w:rPr>
          <w:rFonts w:ascii="Times New Roman" w:hAnsi="Times New Roman" w:eastAsia="黑体" w:cs="Times New Roman"/>
          <w:kern w:val="0"/>
          <w:sz w:val="32"/>
          <w:szCs w:val="32"/>
        </w:rPr>
      </w:pPr>
    </w:p>
    <w:tbl>
      <w:tblPr>
        <w:tblStyle w:val="7"/>
        <w:tblW w:w="15614" w:type="dxa"/>
        <w:tblInd w:w="0" w:type="dxa"/>
        <w:shd w:val="clear" w:color="auto" w:fill="auto"/>
        <w:tblLayout w:type="fixed"/>
        <w:tblCellMar>
          <w:top w:w="0" w:type="dxa"/>
          <w:left w:w="108" w:type="dxa"/>
          <w:bottom w:w="0" w:type="dxa"/>
          <w:right w:w="108" w:type="dxa"/>
        </w:tblCellMar>
      </w:tblPr>
      <w:tblGrid>
        <w:gridCol w:w="3013"/>
        <w:gridCol w:w="222"/>
        <w:gridCol w:w="222"/>
        <w:gridCol w:w="4618"/>
        <w:gridCol w:w="1208"/>
        <w:gridCol w:w="1162"/>
        <w:gridCol w:w="1250"/>
        <w:gridCol w:w="896"/>
        <w:gridCol w:w="890"/>
        <w:gridCol w:w="1046"/>
        <w:gridCol w:w="1087"/>
      </w:tblGrid>
      <w:tr>
        <w:tblPrEx>
          <w:shd w:val="clear" w:color="auto" w:fill="auto"/>
          <w:tblCellMar>
            <w:top w:w="0" w:type="dxa"/>
            <w:left w:w="108" w:type="dxa"/>
            <w:bottom w:w="0" w:type="dxa"/>
            <w:right w:w="108" w:type="dxa"/>
          </w:tblCellMar>
        </w:tblPrEx>
        <w:trPr>
          <w:trHeight w:val="384" w:hRule="atLeast"/>
        </w:trPr>
        <w:tc>
          <w:tcPr>
            <w:tcW w:w="15614" w:type="dxa"/>
            <w:gridSpan w:val="11"/>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CellMar>
            <w:top w:w="0" w:type="dxa"/>
            <w:left w:w="108" w:type="dxa"/>
            <w:bottom w:w="0" w:type="dxa"/>
            <w:right w:w="108" w:type="dxa"/>
          </w:tblCellMar>
        </w:tblPrEx>
        <w:trPr>
          <w:trHeight w:val="264" w:hRule="atLeast"/>
        </w:trPr>
        <w:tc>
          <w:tcPr>
            <w:tcW w:w="301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0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16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89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89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04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087"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CellMar>
            <w:top w:w="0" w:type="dxa"/>
            <w:left w:w="108" w:type="dxa"/>
            <w:bottom w:w="0" w:type="dxa"/>
            <w:right w:w="108" w:type="dxa"/>
          </w:tblCellMar>
        </w:tblPrEx>
        <w:trPr>
          <w:trHeight w:val="264" w:hRule="atLeast"/>
        </w:trPr>
        <w:tc>
          <w:tcPr>
            <w:tcW w:w="3013"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08"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16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3919" w:type="dxa"/>
            <w:gridSpan w:val="4"/>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80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08"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16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25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896"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89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046"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087"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CellMar>
            <w:top w:w="0" w:type="dxa"/>
            <w:left w:w="108" w:type="dxa"/>
            <w:bottom w:w="0" w:type="dxa"/>
            <w:right w:w="108" w:type="dxa"/>
          </w:tblCellMar>
        </w:tblPrEx>
        <w:trPr>
          <w:trHeight w:val="308" w:hRule="atLeast"/>
        </w:trPr>
        <w:tc>
          <w:tcPr>
            <w:tcW w:w="3457"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18"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0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6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5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6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5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8"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6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9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4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075"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CellMar>
            <w:top w:w="0" w:type="dxa"/>
            <w:left w:w="108" w:type="dxa"/>
            <w:bottom w:w="0" w:type="dxa"/>
            <w:right w:w="108" w:type="dxa"/>
          </w:tblCellMar>
        </w:tblPrEx>
        <w:trPr>
          <w:trHeight w:val="308" w:hRule="atLeast"/>
        </w:trPr>
        <w:tc>
          <w:tcPr>
            <w:tcW w:w="8075"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5,161.83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2,557.37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2,604.46</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2,855.62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1,599.49</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1,256.13</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2,696.5</w:t>
            </w:r>
            <w:r>
              <w:rPr>
                <w:rFonts w:hint="eastAsia" w:ascii="宋体" w:hAnsi="宋体" w:cs="宋体"/>
                <w:i w:val="0"/>
                <w:iCs w:val="0"/>
                <w:color w:val="000000"/>
                <w:kern w:val="0"/>
                <w:sz w:val="22"/>
                <w:szCs w:val="22"/>
                <w:u w:val="none"/>
                <w:lang w:val="en-US" w:eastAsia="zh-CN" w:bidi="ar"/>
              </w:rPr>
              <w:t>8</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1,494.40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1,202.18</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2,593.19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1,443.60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1,149.59</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52.59</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auto"/>
                <w:kern w:val="0"/>
                <w:sz w:val="22"/>
                <w:szCs w:val="22"/>
                <w:u w:val="none"/>
                <w:lang w:val="en-US" w:eastAsia="zh-CN" w:bidi="ar"/>
              </w:rPr>
              <w:t>75.85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w:t>
            </w:r>
            <w:r>
              <w:rPr>
                <w:rFonts w:hint="eastAsia" w:ascii="宋体" w:hAnsi="宋体" w:cs="宋体"/>
                <w:i w:val="0"/>
                <w:iCs w:val="0"/>
                <w:color w:val="000000"/>
                <w:kern w:val="0"/>
                <w:sz w:val="22"/>
                <w:szCs w:val="22"/>
                <w:u w:val="none"/>
                <w:lang w:val="en-US" w:eastAsia="zh-CN" w:bidi="ar"/>
              </w:rPr>
              <w:t>9</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w:t>
            </w:r>
            <w:r>
              <w:rPr>
                <w:rFonts w:hint="eastAsia" w:ascii="宋体" w:hAnsi="宋体" w:cs="宋体"/>
                <w:i w:val="0"/>
                <w:iCs w:val="0"/>
                <w:color w:val="000000"/>
                <w:kern w:val="0"/>
                <w:sz w:val="22"/>
                <w:szCs w:val="22"/>
                <w:u w:val="none"/>
                <w:lang w:val="en-US" w:eastAsia="zh-CN" w:bidi="ar"/>
              </w:rPr>
              <w:t>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w:t>
            </w:r>
            <w:r>
              <w:rPr>
                <w:rFonts w:hint="eastAsia" w:ascii="宋体" w:hAnsi="宋体" w:cs="宋体"/>
                <w:i w:val="0"/>
                <w:iCs w:val="0"/>
                <w:color w:val="000000"/>
                <w:kern w:val="0"/>
                <w:sz w:val="22"/>
                <w:szCs w:val="22"/>
                <w:u w:val="none"/>
                <w:lang w:val="en-US" w:eastAsia="zh-CN" w:bidi="ar"/>
              </w:rPr>
              <w:t>9</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83.1</w:t>
            </w:r>
            <w:r>
              <w:rPr>
                <w:rFonts w:hint="eastAsia" w:ascii="宋体" w:hAnsi="宋体" w:cs="宋体"/>
                <w:i w:val="0"/>
                <w:iCs w:val="0"/>
                <w:color w:val="000000"/>
                <w:kern w:val="0"/>
                <w:sz w:val="22"/>
                <w:szCs w:val="22"/>
                <w:u w:val="none"/>
                <w:lang w:val="en-US" w:eastAsia="zh-CN" w:bidi="ar"/>
              </w:rPr>
              <w:t>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w:t>
            </w:r>
            <w:r>
              <w:rPr>
                <w:rFonts w:hint="eastAsia" w:ascii="宋体" w:hAnsi="宋体" w:cs="宋体"/>
                <w:i w:val="0"/>
                <w:iCs w:val="0"/>
                <w:color w:val="000000"/>
                <w:kern w:val="0"/>
                <w:sz w:val="22"/>
                <w:szCs w:val="22"/>
                <w:u w:val="none"/>
                <w:lang w:val="en-US" w:eastAsia="zh-CN" w:bidi="ar"/>
              </w:rPr>
              <w:t>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27.26</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83.1</w:t>
            </w:r>
            <w:r>
              <w:rPr>
                <w:rFonts w:hint="eastAsia" w:ascii="宋体" w:hAnsi="宋体" w:cs="宋体"/>
                <w:i w:val="0"/>
                <w:iCs w:val="0"/>
                <w:color w:val="000000"/>
                <w:kern w:val="0"/>
                <w:sz w:val="22"/>
                <w:szCs w:val="22"/>
                <w:u w:val="none"/>
                <w:lang w:val="en-US" w:eastAsia="zh-CN" w:bidi="ar"/>
              </w:rPr>
              <w:t>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w:t>
            </w:r>
            <w:r>
              <w:rPr>
                <w:rFonts w:hint="eastAsia" w:ascii="宋体" w:hAnsi="宋体" w:cs="宋体"/>
                <w:i w:val="0"/>
                <w:iCs w:val="0"/>
                <w:color w:val="000000"/>
                <w:kern w:val="0"/>
                <w:sz w:val="22"/>
                <w:szCs w:val="22"/>
                <w:u w:val="none"/>
                <w:lang w:val="en-US" w:eastAsia="zh-CN" w:bidi="ar"/>
              </w:rPr>
              <w:t>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27.26</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文化和旅游</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161.78</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138.33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23.45</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149.33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23.45</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149.33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23.45</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88.25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60.29</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54.95</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54.95</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其他行政事业单位医疗支出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313.85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w:t>
            </w:r>
            <w:r>
              <w:rPr>
                <w:rFonts w:hint="eastAsia" w:ascii="宋体" w:hAnsi="宋体" w:cs="宋体"/>
                <w:i w:val="0"/>
                <w:iCs w:val="0"/>
                <w:color w:val="000000"/>
                <w:kern w:val="0"/>
                <w:sz w:val="22"/>
                <w:szCs w:val="22"/>
                <w:u w:val="none"/>
                <w:lang w:val="en-US" w:eastAsia="zh-CN" w:bidi="ar"/>
              </w:rPr>
              <w:t>1</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106.9</w:t>
            </w:r>
            <w:r>
              <w:rPr>
                <w:rFonts w:hint="eastAsia" w:ascii="宋体" w:hAnsi="宋体" w:cs="宋体"/>
                <w:i w:val="0"/>
                <w:iCs w:val="0"/>
                <w:color w:val="000000"/>
                <w:kern w:val="0"/>
                <w:sz w:val="22"/>
                <w:szCs w:val="22"/>
                <w:u w:val="none"/>
                <w:lang w:val="en-US" w:eastAsia="zh-CN" w:bidi="ar"/>
              </w:rPr>
              <w:t>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146.24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114.7</w:t>
            </w:r>
            <w:r>
              <w:rPr>
                <w:rFonts w:hint="eastAsia" w:ascii="宋体" w:hAnsi="宋体" w:cs="宋体"/>
                <w:i w:val="0"/>
                <w:iCs w:val="0"/>
                <w:color w:val="auto"/>
                <w:kern w:val="0"/>
                <w:sz w:val="22"/>
                <w:szCs w:val="22"/>
                <w:u w:val="none"/>
                <w:lang w:val="en-US" w:eastAsia="zh-CN" w:bidi="ar"/>
              </w:rPr>
              <w:t>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31.4</w:t>
            </w:r>
            <w:r>
              <w:rPr>
                <w:rFonts w:hint="eastAsia" w:ascii="宋体" w:hAnsi="宋体" w:cs="宋体"/>
                <w:i w:val="0"/>
                <w:iCs w:val="0"/>
                <w:color w:val="auto"/>
                <w:kern w:val="0"/>
                <w:sz w:val="22"/>
                <w:szCs w:val="22"/>
                <w:u w:val="none"/>
                <w:lang w:val="en-US" w:eastAsia="zh-CN" w:bidi="ar"/>
              </w:rPr>
              <w:t>9</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84.95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53.19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29.80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23.3</w:t>
            </w:r>
            <w:r>
              <w:rPr>
                <w:rFonts w:hint="eastAsia" w:ascii="宋体" w:hAnsi="宋体" w:cs="宋体"/>
                <w:i w:val="0"/>
                <w:iCs w:val="0"/>
                <w:color w:val="auto"/>
                <w:kern w:val="0"/>
                <w:sz w:val="22"/>
                <w:szCs w:val="22"/>
                <w:u w:val="none"/>
                <w:lang w:val="en-US" w:eastAsia="zh-CN" w:bidi="ar"/>
              </w:rPr>
              <w:t>9</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167.61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75.45</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167.61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75.45</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1,689.50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555.13</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1,134.37</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663.73</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663.46</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2130106</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196.19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0.27</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195.92</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465.70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465.70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45.90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45.90</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159.52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159.46</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159.52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159.46</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扶贫</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其他扶贫支出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594.66</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374.66</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386.6</w:t>
            </w:r>
            <w:r>
              <w:rPr>
                <w:rFonts w:hint="eastAsia" w:ascii="宋体" w:hAnsi="宋体" w:cs="宋体"/>
                <w:i w:val="0"/>
                <w:iCs w:val="0"/>
                <w:color w:val="000000"/>
                <w:kern w:val="0"/>
                <w:sz w:val="22"/>
                <w:szCs w:val="22"/>
                <w:u w:val="none"/>
                <w:lang w:val="en-US" w:eastAsia="zh-CN" w:bidi="ar"/>
              </w:rPr>
              <w:t>1</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172.6</w:t>
            </w:r>
            <w:r>
              <w:rPr>
                <w:rFonts w:hint="eastAsia" w:ascii="宋体" w:hAnsi="宋体" w:cs="宋体"/>
                <w:i w:val="0"/>
                <w:iCs w:val="0"/>
                <w:color w:val="000000"/>
                <w:kern w:val="0"/>
                <w:sz w:val="22"/>
                <w:szCs w:val="22"/>
                <w:u w:val="none"/>
                <w:lang w:val="en-US" w:eastAsia="zh-CN" w:bidi="ar"/>
              </w:rPr>
              <w:t>1</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5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461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20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16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2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15.54</w:t>
            </w:r>
          </w:p>
        </w:tc>
        <w:tc>
          <w:tcPr>
            <w:tcW w:w="89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4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14"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kern w:val="0"/>
          <w:sz w:val="32"/>
          <w:szCs w:val="32"/>
        </w:rPr>
      </w:pPr>
    </w:p>
    <w:p>
      <w:pPr>
        <w:widowControl/>
        <w:rPr>
          <w:rFonts w:ascii="Times New Roman" w:hAnsi="Times New Roman" w:eastAsia="方正小标宋_GBK" w:cs="Times New Roman"/>
          <w:color w:val="000000"/>
          <w:kern w:val="0"/>
          <w:sz w:val="36"/>
          <w:szCs w:val="36"/>
        </w:rPr>
      </w:pPr>
    </w:p>
    <w:tbl>
      <w:tblPr>
        <w:tblStyle w:val="7"/>
        <w:tblW w:w="15608" w:type="dxa"/>
        <w:tblInd w:w="0" w:type="dxa"/>
        <w:shd w:val="clear" w:color="auto" w:fill="auto"/>
        <w:tblLayout w:type="fixed"/>
        <w:tblCellMar>
          <w:top w:w="0" w:type="dxa"/>
          <w:left w:w="108" w:type="dxa"/>
          <w:bottom w:w="0" w:type="dxa"/>
          <w:right w:w="108" w:type="dxa"/>
        </w:tblCellMar>
      </w:tblPr>
      <w:tblGrid>
        <w:gridCol w:w="3016"/>
        <w:gridCol w:w="222"/>
        <w:gridCol w:w="222"/>
        <w:gridCol w:w="4616"/>
        <w:gridCol w:w="1283"/>
        <w:gridCol w:w="1255"/>
        <w:gridCol w:w="1124"/>
        <w:gridCol w:w="1030"/>
        <w:gridCol w:w="1442"/>
        <w:gridCol w:w="1398"/>
      </w:tblGrid>
      <w:tr>
        <w:tblPrEx>
          <w:shd w:val="clear" w:color="auto" w:fill="auto"/>
          <w:tblCellMar>
            <w:top w:w="0" w:type="dxa"/>
            <w:left w:w="108" w:type="dxa"/>
            <w:bottom w:w="0" w:type="dxa"/>
            <w:right w:w="108" w:type="dxa"/>
          </w:tblCellMar>
        </w:tblPrEx>
        <w:trPr>
          <w:trHeight w:val="384" w:hRule="atLeast"/>
        </w:trPr>
        <w:tc>
          <w:tcPr>
            <w:tcW w:w="15608" w:type="dxa"/>
            <w:gridSpan w:val="10"/>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CellMar>
            <w:top w:w="0" w:type="dxa"/>
            <w:left w:w="108" w:type="dxa"/>
            <w:bottom w:w="0" w:type="dxa"/>
            <w:right w:w="108" w:type="dxa"/>
          </w:tblCellMar>
        </w:tblPrEx>
        <w:trPr>
          <w:trHeight w:val="264" w:hRule="atLeast"/>
        </w:trPr>
        <w:tc>
          <w:tcPr>
            <w:tcW w:w="301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8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5"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124"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030"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44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398" w:type="dxa"/>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CellMar>
            <w:top w:w="0" w:type="dxa"/>
            <w:left w:w="108" w:type="dxa"/>
            <w:bottom w:w="0" w:type="dxa"/>
            <w:right w:w="108" w:type="dxa"/>
          </w:tblCellMar>
        </w:tblPrEx>
        <w:trPr>
          <w:trHeight w:val="264" w:hRule="atLeast"/>
        </w:trPr>
        <w:tc>
          <w:tcPr>
            <w:tcW w:w="3016"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616"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83"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1255" w:type="dxa"/>
            <w:tcBorders>
              <w:top w:val="nil"/>
              <w:left w:val="nil"/>
              <w:bottom w:val="nil"/>
              <w:right w:val="nil"/>
            </w:tcBorders>
            <w:shd w:val="clear" w:color="auto" w:fill="auto"/>
            <w:vAlign w:val="bottom"/>
          </w:tcPr>
          <w:p>
            <w:pPr>
              <w:rPr>
                <w:rFonts w:hint="default" w:ascii="Arial" w:hAnsi="Arial" w:cs="Arial"/>
                <w:i w:val="0"/>
                <w:iCs w:val="0"/>
                <w:color w:val="000000"/>
                <w:sz w:val="20"/>
                <w:szCs w:val="20"/>
                <w:u w:val="none"/>
              </w:rPr>
            </w:pPr>
          </w:p>
        </w:tc>
        <w:tc>
          <w:tcPr>
            <w:tcW w:w="4994" w:type="dxa"/>
            <w:gridSpan w:val="4"/>
            <w:tcBorders>
              <w:top w:val="nil"/>
              <w:left w:val="nil"/>
              <w:bottom w:val="nil"/>
              <w:right w:val="nil"/>
            </w:tcBorders>
            <w:shd w:val="clear" w:color="auto" w:fill="auto"/>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80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83"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25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24"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03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44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398"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CellMar>
            <w:top w:w="0" w:type="dxa"/>
            <w:left w:w="108" w:type="dxa"/>
            <w:bottom w:w="0" w:type="dxa"/>
            <w:right w:w="108" w:type="dxa"/>
          </w:tblCellMar>
        </w:tblPrEx>
        <w:trPr>
          <w:trHeight w:val="308" w:hRule="atLeast"/>
        </w:trPr>
        <w:tc>
          <w:tcPr>
            <w:tcW w:w="3460"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16"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6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6"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6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6" w:type="dxa"/>
            <w:vMerge w:val="continue"/>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4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076"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8076"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5,161.83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5,161.83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2,855.62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2,855.62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2,696.5</w:t>
            </w:r>
            <w:r>
              <w:rPr>
                <w:rFonts w:hint="eastAsia" w:ascii="宋体" w:hAnsi="宋体" w:cs="宋体"/>
                <w:i w:val="0"/>
                <w:iCs w:val="0"/>
                <w:color w:val="000000"/>
                <w:kern w:val="0"/>
                <w:sz w:val="22"/>
                <w:szCs w:val="22"/>
                <w:u w:val="none"/>
                <w:lang w:val="en-US" w:eastAsia="zh-CN" w:bidi="ar"/>
              </w:rPr>
              <w:t>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2,696.5</w:t>
            </w:r>
            <w:r>
              <w:rPr>
                <w:rFonts w:hint="eastAsia" w:ascii="宋体" w:hAnsi="宋体" w:cs="宋体"/>
                <w:i w:val="0"/>
                <w:iCs w:val="0"/>
                <w:color w:val="000000"/>
                <w:kern w:val="0"/>
                <w:sz w:val="22"/>
                <w:szCs w:val="22"/>
                <w:u w:val="none"/>
                <w:lang w:val="en-US" w:eastAsia="zh-CN" w:bidi="ar"/>
              </w:rPr>
              <w:t>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2,593.19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2,593.19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83.1</w:t>
            </w:r>
            <w:r>
              <w:rPr>
                <w:rFonts w:hint="eastAsia" w:ascii="宋体" w:hAnsi="宋体" w:cs="宋体"/>
                <w:i w:val="0"/>
                <w:iCs w:val="0"/>
                <w:color w:val="000000"/>
                <w:kern w:val="0"/>
                <w:sz w:val="22"/>
                <w:szCs w:val="22"/>
                <w:u w:val="none"/>
                <w:lang w:val="en-US" w:eastAsia="zh-CN" w:bidi="ar"/>
              </w:rPr>
              <w:t>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83.1</w:t>
            </w:r>
            <w:r>
              <w:rPr>
                <w:rFonts w:hint="eastAsia" w:ascii="宋体" w:hAnsi="宋体" w:cs="宋体"/>
                <w:i w:val="0"/>
                <w:iCs w:val="0"/>
                <w:color w:val="000000"/>
                <w:kern w:val="0"/>
                <w:sz w:val="22"/>
                <w:szCs w:val="22"/>
                <w:u w:val="none"/>
                <w:lang w:val="en-US" w:eastAsia="zh-CN" w:bidi="ar"/>
              </w:rPr>
              <w:t>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83.1</w:t>
            </w:r>
            <w:r>
              <w:rPr>
                <w:rFonts w:hint="eastAsia" w:ascii="宋体" w:hAnsi="宋体" w:cs="宋体"/>
                <w:i w:val="0"/>
                <w:iCs w:val="0"/>
                <w:color w:val="000000"/>
                <w:kern w:val="0"/>
                <w:sz w:val="22"/>
                <w:szCs w:val="22"/>
                <w:u w:val="none"/>
                <w:lang w:val="en-US" w:eastAsia="zh-CN" w:bidi="ar"/>
              </w:rPr>
              <w:t>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83.1</w:t>
            </w:r>
            <w:r>
              <w:rPr>
                <w:rFonts w:hint="eastAsia" w:ascii="宋体" w:hAnsi="宋体" w:cs="宋体"/>
                <w:i w:val="0"/>
                <w:iCs w:val="0"/>
                <w:color w:val="000000"/>
                <w:kern w:val="0"/>
                <w:sz w:val="22"/>
                <w:szCs w:val="22"/>
                <w:u w:val="none"/>
                <w:lang w:val="en-US" w:eastAsia="zh-CN" w:bidi="ar"/>
              </w:rPr>
              <w:t>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文化和旅游</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7.84</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161.78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161.78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149.33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149.33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149.33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149.33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88.25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88.25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其他行政事业单位医疗支出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313.85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313.85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146.24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146.24</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53.19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53.19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167.61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167.61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167.61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167.61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1,689.50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1,689.50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663.73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663.73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196.19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196.19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465.70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465.70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45.90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45.90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45.90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45.90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159.52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159.52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159.52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159.52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扶贫</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其他扶贫支出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594.66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594.66</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386.6</w:t>
            </w:r>
            <w:r>
              <w:rPr>
                <w:rFonts w:hint="eastAsia" w:ascii="宋体" w:hAnsi="宋体" w:cs="宋体"/>
                <w:i w:val="0"/>
                <w:iCs w:val="0"/>
                <w:color w:val="000000"/>
                <w:kern w:val="0"/>
                <w:sz w:val="22"/>
                <w:szCs w:val="22"/>
                <w:u w:val="none"/>
                <w:lang w:val="en-US" w:eastAsia="zh-CN" w:bidi="ar"/>
              </w:rPr>
              <w:t>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386.6</w:t>
            </w:r>
            <w:r>
              <w:rPr>
                <w:rFonts w:hint="eastAsia" w:ascii="宋体" w:hAnsi="宋体" w:cs="宋体"/>
                <w:i w:val="0"/>
                <w:iCs w:val="0"/>
                <w:color w:val="000000"/>
                <w:kern w:val="0"/>
                <w:sz w:val="22"/>
                <w:szCs w:val="22"/>
                <w:u w:val="none"/>
                <w:lang w:val="en-US" w:eastAsia="zh-CN" w:bidi="ar"/>
              </w:rPr>
              <w:t>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28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4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98"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08" w:type="dxa"/>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7"/>
        <w:tblW w:w="15614" w:type="dxa"/>
        <w:tblInd w:w="0" w:type="dxa"/>
        <w:shd w:val="clear" w:color="auto" w:fill="auto"/>
        <w:tblLayout w:type="fixed"/>
        <w:tblCellMar>
          <w:top w:w="0" w:type="dxa"/>
          <w:left w:w="108" w:type="dxa"/>
          <w:bottom w:w="0" w:type="dxa"/>
          <w:right w:w="108" w:type="dxa"/>
        </w:tblCellMar>
      </w:tblPr>
      <w:tblGrid>
        <w:gridCol w:w="3400"/>
        <w:gridCol w:w="534"/>
        <w:gridCol w:w="1499"/>
        <w:gridCol w:w="3857"/>
        <w:gridCol w:w="534"/>
        <w:gridCol w:w="1365"/>
        <w:gridCol w:w="1427"/>
        <w:gridCol w:w="1421"/>
        <w:gridCol w:w="1577"/>
      </w:tblGrid>
      <w:tr>
        <w:tblPrEx>
          <w:shd w:val="clear" w:color="auto" w:fill="auto"/>
          <w:tblCellMar>
            <w:top w:w="0" w:type="dxa"/>
            <w:left w:w="108" w:type="dxa"/>
            <w:bottom w:w="0" w:type="dxa"/>
            <w:right w:w="108" w:type="dxa"/>
          </w:tblCellMar>
        </w:tblPrEx>
        <w:trPr>
          <w:trHeight w:val="384" w:hRule="atLeast"/>
        </w:trPr>
        <w:tc>
          <w:tcPr>
            <w:tcW w:w="15614" w:type="dxa"/>
            <w:gridSpan w:val="9"/>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bookmarkStart w:id="0" w:name="RANGE_A1_I22"/>
            <w:bookmarkEnd w:id="0"/>
            <w:bookmarkStart w:id="1" w:name="RANGE_A1_F16"/>
            <w:r>
              <w:rPr>
                <w:rFonts w:hint="eastAsia" w:ascii="宋体" w:hAnsi="宋体" w:eastAsia="宋体" w:cs="宋体"/>
                <w:i w:val="0"/>
                <w:iCs w:val="0"/>
                <w:color w:val="000000"/>
                <w:kern w:val="0"/>
                <w:sz w:val="30"/>
                <w:szCs w:val="30"/>
                <w:u w:val="none"/>
                <w:lang w:val="en-US" w:eastAsia="zh-CN" w:bidi="ar"/>
              </w:rPr>
              <w:t>财政拨款收入支出决算总表</w:t>
            </w:r>
          </w:p>
        </w:tc>
      </w:tr>
      <w:tr>
        <w:tblPrEx>
          <w:tblCellMar>
            <w:top w:w="0" w:type="dxa"/>
            <w:left w:w="108" w:type="dxa"/>
            <w:bottom w:w="0" w:type="dxa"/>
            <w:right w:w="108" w:type="dxa"/>
          </w:tblCellMar>
        </w:tblPrEx>
        <w:trPr>
          <w:trHeight w:val="264" w:hRule="atLeast"/>
        </w:trPr>
        <w:tc>
          <w:tcPr>
            <w:tcW w:w="34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2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2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577"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tblCellMar>
            <w:top w:w="0" w:type="dxa"/>
            <w:left w:w="108" w:type="dxa"/>
            <w:bottom w:w="0" w:type="dxa"/>
            <w:right w:w="108" w:type="dxa"/>
          </w:tblCellMar>
        </w:tblPrEx>
        <w:trPr>
          <w:trHeight w:val="264" w:hRule="atLeast"/>
        </w:trPr>
        <w:tc>
          <w:tcPr>
            <w:tcW w:w="3400"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425" w:type="dxa"/>
            <w:gridSpan w:val="3"/>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5433"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10181"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CellMar>
            <w:top w:w="0" w:type="dxa"/>
            <w:left w:w="108" w:type="dxa"/>
            <w:bottom w:w="0" w:type="dxa"/>
            <w:right w:w="108" w:type="dxa"/>
          </w:tblCellMar>
        </w:tblPrEx>
        <w:trPr>
          <w:trHeight w:val="292" w:hRule="atLeast"/>
        </w:trPr>
        <w:tc>
          <w:tcPr>
            <w:tcW w:w="3400"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49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85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365"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2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42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57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CellMar>
            <w:top w:w="0" w:type="dxa"/>
            <w:left w:w="108" w:type="dxa"/>
            <w:bottom w:w="0" w:type="dxa"/>
            <w:right w:w="108" w:type="dxa"/>
          </w:tblCellMar>
        </w:tblPrEx>
        <w:trPr>
          <w:trHeight w:val="615" w:hRule="atLeast"/>
        </w:trPr>
        <w:tc>
          <w:tcPr>
            <w:tcW w:w="340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9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85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365"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7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1,599.49</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1,599.49</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138.33</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138.33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w:t>
            </w:r>
            <w:r>
              <w:rPr>
                <w:rFonts w:hint="eastAsia" w:ascii="宋体" w:hAnsi="宋体" w:cs="宋体"/>
                <w:i w:val="0"/>
                <w:iCs w:val="0"/>
                <w:color w:val="000000"/>
                <w:kern w:val="0"/>
                <w:sz w:val="22"/>
                <w:szCs w:val="22"/>
                <w:u w:val="none"/>
                <w:lang w:val="en-US" w:eastAsia="zh-CN" w:bidi="ar"/>
              </w:rPr>
              <w:t>1</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w:t>
            </w:r>
            <w:r>
              <w:rPr>
                <w:rFonts w:hint="eastAsia" w:ascii="宋体" w:hAnsi="宋体" w:cs="宋体"/>
                <w:i w:val="0"/>
                <w:iCs w:val="0"/>
                <w:color w:val="000000"/>
                <w:kern w:val="0"/>
                <w:sz w:val="22"/>
                <w:szCs w:val="22"/>
                <w:u w:val="none"/>
                <w:lang w:val="en-US" w:eastAsia="zh-CN" w:bidi="ar"/>
              </w:rPr>
              <w:t>1</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555.13</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555.13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bCs/>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99"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36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36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36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8"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2,557.37</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4037" w:type="dxa"/>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577" w:type="dxa"/>
            <w:tcBorders>
              <w:top w:val="nil"/>
              <w:left w:val="nil"/>
              <w:bottom w:val="nil"/>
              <w:right w:val="nil"/>
            </w:tcBorders>
            <w:shd w:val="clear" w:color="auto" w:fill="FFFFFF"/>
            <w:vAlign w:val="center"/>
          </w:tcPr>
          <w:p>
            <w:pPr>
              <w:jc w:val="left"/>
              <w:rPr>
                <w:rFonts w:hint="eastAsia" w:ascii="宋体" w:hAnsi="宋体" w:eastAsia="宋体" w:cs="宋体"/>
                <w:i w:val="0"/>
                <w:iCs w:val="0"/>
                <w:color w:val="000000"/>
                <w:sz w:val="20"/>
                <w:szCs w:val="20"/>
                <w:u w:val="none"/>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bookmarkEnd w:id="1"/>
    <w:tbl>
      <w:tblPr>
        <w:tblStyle w:val="7"/>
        <w:tblW w:w="15614" w:type="dxa"/>
        <w:tblInd w:w="0" w:type="dxa"/>
        <w:shd w:val="clear" w:color="auto" w:fill="auto"/>
        <w:tblLayout w:type="fixed"/>
        <w:tblCellMar>
          <w:top w:w="0" w:type="dxa"/>
          <w:left w:w="108" w:type="dxa"/>
          <w:bottom w:w="0" w:type="dxa"/>
          <w:right w:w="108" w:type="dxa"/>
        </w:tblCellMar>
      </w:tblPr>
      <w:tblGrid>
        <w:gridCol w:w="3498"/>
        <w:gridCol w:w="256"/>
        <w:gridCol w:w="259"/>
        <w:gridCol w:w="5352"/>
        <w:gridCol w:w="1980"/>
        <w:gridCol w:w="1980"/>
        <w:gridCol w:w="2289"/>
      </w:tblGrid>
      <w:tr>
        <w:tblPrEx>
          <w:shd w:val="clear" w:color="auto" w:fill="auto"/>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5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89"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535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89"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936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249"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CellMar>
            <w:top w:w="0" w:type="dxa"/>
            <w:left w:w="108" w:type="dxa"/>
            <w:bottom w:w="0" w:type="dxa"/>
            <w:right w:w="108" w:type="dxa"/>
          </w:tblCellMar>
        </w:tblPrEx>
        <w:trPr>
          <w:trHeight w:val="308" w:hRule="atLeast"/>
        </w:trPr>
        <w:tc>
          <w:tcPr>
            <w:tcW w:w="4013"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5352"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98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98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28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CellMar>
            <w:top w:w="0" w:type="dxa"/>
            <w:left w:w="108" w:type="dxa"/>
            <w:bottom w:w="0" w:type="dxa"/>
            <w:right w:w="108" w:type="dxa"/>
          </w:tblCellMar>
        </w:tblPrEx>
        <w:trPr>
          <w:trHeight w:val="277"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52"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28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5352"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28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365"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9365"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2,557.37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2,557.37</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1,599.49</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1,599.49</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1,494.40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1,494.40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1,443.60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1,443.60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w:t>
            </w:r>
            <w:r>
              <w:rPr>
                <w:rFonts w:hint="eastAsia" w:ascii="宋体" w:hAnsi="宋体" w:cs="宋体"/>
                <w:i w:val="0"/>
                <w:iCs w:val="0"/>
                <w:color w:val="000000"/>
                <w:kern w:val="0"/>
                <w:sz w:val="22"/>
                <w:szCs w:val="22"/>
                <w:u w:val="none"/>
                <w:lang w:val="en-US" w:eastAsia="zh-CN" w:bidi="ar"/>
              </w:rPr>
              <w:t>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w:t>
            </w:r>
            <w:r>
              <w:rPr>
                <w:rFonts w:hint="eastAsia" w:ascii="宋体" w:hAnsi="宋体" w:cs="宋体"/>
                <w:i w:val="0"/>
                <w:iCs w:val="0"/>
                <w:color w:val="000000"/>
                <w:kern w:val="0"/>
                <w:sz w:val="22"/>
                <w:szCs w:val="22"/>
                <w:u w:val="none"/>
                <w:lang w:val="en-US" w:eastAsia="zh-CN" w:bidi="ar"/>
              </w:rPr>
              <w:t>3</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w:t>
            </w:r>
            <w:r>
              <w:rPr>
                <w:rFonts w:hint="eastAsia" w:ascii="宋体" w:hAnsi="宋体" w:cs="宋体"/>
                <w:i w:val="0"/>
                <w:iCs w:val="0"/>
                <w:color w:val="000000"/>
                <w:kern w:val="0"/>
                <w:sz w:val="22"/>
                <w:szCs w:val="22"/>
                <w:u w:val="none"/>
                <w:lang w:val="en-US" w:eastAsia="zh-CN" w:bidi="ar"/>
              </w:rPr>
              <w:t>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w:t>
            </w:r>
            <w:r>
              <w:rPr>
                <w:rFonts w:hint="eastAsia" w:ascii="宋体" w:hAnsi="宋体" w:cs="宋体"/>
                <w:i w:val="0"/>
                <w:iCs w:val="0"/>
                <w:color w:val="000000"/>
                <w:kern w:val="0"/>
                <w:sz w:val="22"/>
                <w:szCs w:val="22"/>
                <w:u w:val="none"/>
                <w:lang w:val="en-US" w:eastAsia="zh-CN" w:bidi="ar"/>
              </w:rPr>
              <w:t>3</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文化和旅游</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138.33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138.33</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125.88</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w:t>
            </w:r>
            <w:r>
              <w:rPr>
                <w:rFonts w:hint="eastAsia" w:ascii="宋体" w:hAnsi="宋体" w:cs="宋体"/>
                <w:i w:val="0"/>
                <w:iCs w:val="0"/>
                <w:color w:val="000000"/>
                <w:kern w:val="0"/>
                <w:sz w:val="22"/>
                <w:szCs w:val="22"/>
                <w:u w:val="none"/>
                <w:lang w:val="en-US" w:eastAsia="zh-CN" w:bidi="ar"/>
              </w:rPr>
              <w:t>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w:t>
            </w:r>
            <w:r>
              <w:rPr>
                <w:rFonts w:hint="eastAsia" w:ascii="宋体" w:hAnsi="宋体" w:cs="宋体"/>
                <w:i w:val="0"/>
                <w:iCs w:val="0"/>
                <w:color w:val="000000"/>
                <w:kern w:val="0"/>
                <w:sz w:val="22"/>
                <w:szCs w:val="22"/>
                <w:u w:val="none"/>
                <w:lang w:val="en-US" w:eastAsia="zh-CN" w:bidi="ar"/>
              </w:rPr>
              <w:t>1</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114.75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114.75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84.95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84.95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555.13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555.13</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0.27</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0.27</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374.66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374.66</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172.6</w:t>
            </w:r>
            <w:r>
              <w:rPr>
                <w:rFonts w:hint="eastAsia" w:ascii="宋体" w:hAnsi="宋体" w:cs="宋体"/>
                <w:i w:val="0"/>
                <w:iCs w:val="0"/>
                <w:color w:val="000000"/>
                <w:kern w:val="0"/>
                <w:sz w:val="22"/>
                <w:szCs w:val="22"/>
                <w:u w:val="none"/>
                <w:lang w:val="en-US" w:eastAsia="zh-CN" w:bidi="ar"/>
              </w:rPr>
              <w:t>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172.6</w:t>
            </w:r>
            <w:r>
              <w:rPr>
                <w:rFonts w:hint="eastAsia" w:ascii="宋体" w:hAnsi="宋体" w:cs="宋体"/>
                <w:i w:val="0"/>
                <w:iCs w:val="0"/>
                <w:color w:val="000000"/>
                <w:kern w:val="0"/>
                <w:sz w:val="22"/>
                <w:szCs w:val="22"/>
                <w:u w:val="none"/>
                <w:lang w:val="en-US" w:eastAsia="zh-CN" w:bidi="ar"/>
              </w:rPr>
              <w:t>1</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180.02</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535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29.45</w:t>
            </w:r>
          </w:p>
        </w:tc>
        <w:tc>
          <w:tcPr>
            <w:tcW w:w="228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14" w:type="dxa"/>
            <w:gridSpan w:val="7"/>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tbl>
      <w:tblPr>
        <w:tblStyle w:val="7"/>
        <w:tblW w:w="15614" w:type="dxa"/>
        <w:tblInd w:w="0" w:type="dxa"/>
        <w:shd w:val="clear" w:color="auto" w:fill="auto"/>
        <w:tblLayout w:type="fixed"/>
        <w:tblCellMar>
          <w:top w:w="0" w:type="dxa"/>
          <w:left w:w="108" w:type="dxa"/>
          <w:bottom w:w="0" w:type="dxa"/>
          <w:right w:w="108" w:type="dxa"/>
        </w:tblCellMar>
      </w:tblPr>
      <w:tblGrid>
        <w:gridCol w:w="1099"/>
        <w:gridCol w:w="2856"/>
        <w:gridCol w:w="1392"/>
        <w:gridCol w:w="1200"/>
        <w:gridCol w:w="2220"/>
        <w:gridCol w:w="1056"/>
        <w:gridCol w:w="1200"/>
        <w:gridCol w:w="3320"/>
        <w:gridCol w:w="1271"/>
      </w:tblGrid>
      <w:tr>
        <w:tblPrEx>
          <w:shd w:val="clear" w:color="auto" w:fill="auto"/>
          <w:tblCellMar>
            <w:top w:w="0" w:type="dxa"/>
            <w:left w:w="108" w:type="dxa"/>
            <w:bottom w:w="0" w:type="dxa"/>
            <w:right w:w="108" w:type="dxa"/>
          </w:tblCellMar>
        </w:tblPrEx>
        <w:trPr>
          <w:trHeight w:val="384" w:hRule="atLeast"/>
        </w:trPr>
        <w:tc>
          <w:tcPr>
            <w:tcW w:w="14343" w:type="dxa"/>
            <w:gridSpan w:val="8"/>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一般公共预算财政拨款基本支出决算表</w:t>
            </w:r>
          </w:p>
        </w:tc>
        <w:tc>
          <w:tcPr>
            <w:tcW w:w="127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64" w:hRule="atLeast"/>
        </w:trPr>
        <w:tc>
          <w:tcPr>
            <w:tcW w:w="109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8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39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tblPrEx>
          <w:tblCellMar>
            <w:top w:w="0" w:type="dxa"/>
            <w:left w:w="108" w:type="dxa"/>
            <w:bottom w:w="0" w:type="dxa"/>
            <w:right w:w="108" w:type="dxa"/>
          </w:tblCellMar>
        </w:tblPrEx>
        <w:trPr>
          <w:trHeight w:val="264" w:hRule="atLeast"/>
        </w:trPr>
        <w:tc>
          <w:tcPr>
            <w:tcW w:w="3955" w:type="dxa"/>
            <w:gridSpan w:val="2"/>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139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5347"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267"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CellMar>
            <w:top w:w="0" w:type="dxa"/>
            <w:left w:w="108" w:type="dxa"/>
            <w:bottom w:w="0" w:type="dxa"/>
            <w:right w:w="108" w:type="dxa"/>
          </w:tblCellMar>
        </w:tblPrEx>
        <w:trPr>
          <w:trHeight w:val="308" w:hRule="atLeast"/>
        </w:trPr>
        <w:tc>
          <w:tcPr>
            <w:tcW w:w="1099"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85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92"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2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5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3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7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12" w:hRule="atLeast"/>
        </w:trPr>
        <w:tc>
          <w:tcPr>
            <w:tcW w:w="1099"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85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392"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2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05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3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27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1,585.51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589.52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610.52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79.14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195.05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67.47</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242.95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127.49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15.87</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40.13</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64.53</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13.27</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129.67</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r>
              <w:rPr>
                <w:rFonts w:hint="eastAsia" w:ascii="宋体" w:hAnsi="宋体" w:cs="宋体"/>
                <w:i w:val="0"/>
                <w:iCs w:val="0"/>
                <w:color w:val="000000"/>
                <w:kern w:val="0"/>
                <w:sz w:val="22"/>
                <w:szCs w:val="22"/>
                <w:u w:val="none"/>
                <w:lang w:val="en-US" w:eastAsia="zh-CN" w:bidi="ar"/>
              </w:rPr>
              <w:t>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382.3</w:t>
            </w:r>
            <w:r>
              <w:rPr>
                <w:rFonts w:hint="eastAsia" w:ascii="宋体" w:hAnsi="宋体" w:cs="宋体"/>
                <w:i w:val="0"/>
                <w:iCs w:val="0"/>
                <w:color w:val="000000"/>
                <w:kern w:val="0"/>
                <w:sz w:val="22"/>
                <w:szCs w:val="22"/>
                <w:u w:val="none"/>
                <w:lang w:val="en-US" w:eastAsia="zh-CN" w:bidi="ar"/>
              </w:rPr>
              <w:t>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7.68</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292.36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42.66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374.6</w:t>
            </w:r>
            <w:r>
              <w:rPr>
                <w:rFonts w:hint="eastAsia" w:ascii="宋体" w:hAnsi="宋体" w:cs="宋体"/>
                <w:i w:val="0"/>
                <w:iCs w:val="0"/>
                <w:color w:val="000000"/>
                <w:kern w:val="0"/>
                <w:sz w:val="22"/>
                <w:szCs w:val="22"/>
                <w:u w:val="none"/>
                <w:lang w:val="en-US" w:eastAsia="zh-CN" w:bidi="ar"/>
              </w:rPr>
              <w:t>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6.43</w:t>
            </w:r>
          </w:p>
        </w:tc>
        <w:tc>
          <w:tcPr>
            <w:tcW w:w="120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856"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392"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8.82</w:t>
            </w:r>
          </w:p>
        </w:tc>
        <w:tc>
          <w:tcPr>
            <w:tcW w:w="120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955" w:type="dxa"/>
            <w:gridSpan w:val="2"/>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1967.85</w:t>
            </w:r>
          </w:p>
        </w:tc>
        <w:tc>
          <w:tcPr>
            <w:tcW w:w="8996" w:type="dxa"/>
            <w:gridSpan w:val="5"/>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589.52</w:t>
            </w:r>
          </w:p>
        </w:tc>
      </w:tr>
      <w:tr>
        <w:tblPrEx>
          <w:tblCellMar>
            <w:top w:w="0" w:type="dxa"/>
            <w:left w:w="108" w:type="dxa"/>
            <w:bottom w:w="0" w:type="dxa"/>
            <w:right w:w="108" w:type="dxa"/>
          </w:tblCellMar>
        </w:tblPrEx>
        <w:trPr>
          <w:trHeight w:val="308" w:hRule="atLeast"/>
        </w:trPr>
        <w:tc>
          <w:tcPr>
            <w:tcW w:w="15614" w:type="dxa"/>
            <w:gridSpan w:val="9"/>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tbl>
      <w:tblPr>
        <w:tblStyle w:val="7"/>
        <w:tblW w:w="15611" w:type="dxa"/>
        <w:tblInd w:w="0" w:type="dxa"/>
        <w:shd w:val="clear" w:color="auto" w:fill="auto"/>
        <w:tblLayout w:type="fixed"/>
        <w:tblCellMar>
          <w:top w:w="0" w:type="dxa"/>
          <w:left w:w="108" w:type="dxa"/>
          <w:bottom w:w="0" w:type="dxa"/>
          <w:right w:w="108" w:type="dxa"/>
        </w:tblCellMar>
      </w:tblPr>
      <w:tblGrid>
        <w:gridCol w:w="1745"/>
        <w:gridCol w:w="1823"/>
        <w:gridCol w:w="1149"/>
        <w:gridCol w:w="1149"/>
        <w:gridCol w:w="1158"/>
        <w:gridCol w:w="1186"/>
        <w:gridCol w:w="1149"/>
        <w:gridCol w:w="1149"/>
        <w:gridCol w:w="1149"/>
        <w:gridCol w:w="1183"/>
        <w:gridCol w:w="1150"/>
        <w:gridCol w:w="1621"/>
      </w:tblGrid>
      <w:tr>
        <w:tblPrEx>
          <w:shd w:val="clear" w:color="auto" w:fill="auto"/>
          <w:tblCellMar>
            <w:top w:w="0" w:type="dxa"/>
            <w:left w:w="108" w:type="dxa"/>
            <w:bottom w:w="0" w:type="dxa"/>
            <w:right w:w="108" w:type="dxa"/>
          </w:tblCellMar>
        </w:tblPrEx>
        <w:trPr>
          <w:trHeight w:val="564" w:hRule="atLeast"/>
        </w:trPr>
        <w:tc>
          <w:tcPr>
            <w:tcW w:w="15611" w:type="dxa"/>
            <w:gridSpan w:val="12"/>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tblPrEx>
          <w:tblCellMar>
            <w:top w:w="0" w:type="dxa"/>
            <w:left w:w="108" w:type="dxa"/>
            <w:bottom w:w="0" w:type="dxa"/>
            <w:right w:w="108" w:type="dxa"/>
          </w:tblCellMar>
        </w:tblPrEx>
        <w:trPr>
          <w:trHeight w:val="264" w:hRule="atLeast"/>
        </w:trPr>
        <w:tc>
          <w:tcPr>
            <w:tcW w:w="174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82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58"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8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5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CellMar>
            <w:top w:w="0" w:type="dxa"/>
            <w:left w:w="108" w:type="dxa"/>
            <w:bottom w:w="0" w:type="dxa"/>
            <w:right w:w="108" w:type="dxa"/>
          </w:tblCellMar>
        </w:tblPrEx>
        <w:trPr>
          <w:trHeight w:val="264" w:hRule="atLeast"/>
        </w:trPr>
        <w:tc>
          <w:tcPr>
            <w:tcW w:w="12840" w:type="dxa"/>
            <w:gridSpan w:val="10"/>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115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8210"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401"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08" w:hRule="atLeast"/>
        </w:trPr>
        <w:tc>
          <w:tcPr>
            <w:tcW w:w="1745"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23"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56" w:type="dxa"/>
            <w:gridSpan w:val="3"/>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18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14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4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82" w:type="dxa"/>
            <w:gridSpan w:val="3"/>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62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tblCellMar>
            <w:top w:w="0" w:type="dxa"/>
            <w:left w:w="108" w:type="dxa"/>
            <w:bottom w:w="0" w:type="dxa"/>
            <w:right w:w="108" w:type="dxa"/>
          </w:tblCellMar>
        </w:tblPrEx>
        <w:trPr>
          <w:trHeight w:val="615" w:hRule="atLeast"/>
        </w:trPr>
        <w:tc>
          <w:tcPr>
            <w:tcW w:w="1745"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823"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18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62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2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CellMar>
            <w:top w:w="0" w:type="dxa"/>
            <w:left w:w="108" w:type="dxa"/>
            <w:bottom w:w="0" w:type="dxa"/>
            <w:right w:w="108" w:type="dxa"/>
          </w:tblCellMar>
        </w:tblPrEx>
        <w:trPr>
          <w:trHeight w:val="308"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24.12</w:t>
            </w:r>
          </w:p>
        </w:tc>
        <w:tc>
          <w:tcPr>
            <w:tcW w:w="182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24.12</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16.29</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16.29</w:t>
            </w:r>
          </w:p>
        </w:tc>
      </w:tr>
      <w:tr>
        <w:tblPrEx>
          <w:tblCellMar>
            <w:top w:w="0" w:type="dxa"/>
            <w:left w:w="108" w:type="dxa"/>
            <w:bottom w:w="0" w:type="dxa"/>
            <w:right w:w="108" w:type="dxa"/>
          </w:tblCellMar>
        </w:tblPrEx>
        <w:trPr>
          <w:trHeight w:val="615" w:hRule="atLeast"/>
        </w:trPr>
        <w:tc>
          <w:tcPr>
            <w:tcW w:w="15611" w:type="dxa"/>
            <w:gridSpan w:val="12"/>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widowControl/>
        <w:jc w:val="left"/>
        <w:rPr>
          <w:rFonts w:ascii="黑体" w:hAnsi="黑体" w:eastAsia="黑体" w:cs="Times New Roman"/>
        </w:rPr>
      </w:pPr>
    </w:p>
    <w:tbl>
      <w:tblPr>
        <w:tblStyle w:val="7"/>
        <w:tblW w:w="15518" w:type="dxa"/>
        <w:tblInd w:w="96" w:type="dxa"/>
        <w:shd w:val="clear" w:color="auto" w:fill="auto"/>
        <w:tblLayout w:type="fixed"/>
        <w:tblCellMar>
          <w:top w:w="0" w:type="dxa"/>
          <w:left w:w="108" w:type="dxa"/>
          <w:bottom w:w="0" w:type="dxa"/>
          <w:right w:w="108" w:type="dxa"/>
        </w:tblCellMar>
      </w:tblPr>
      <w:tblGrid>
        <w:gridCol w:w="3763"/>
        <w:gridCol w:w="680"/>
        <w:gridCol w:w="332"/>
        <w:gridCol w:w="2163"/>
        <w:gridCol w:w="1197"/>
        <w:gridCol w:w="1197"/>
        <w:gridCol w:w="1197"/>
        <w:gridCol w:w="1197"/>
        <w:gridCol w:w="1197"/>
        <w:gridCol w:w="2595"/>
      </w:tblGrid>
      <w:tr>
        <w:tblPrEx>
          <w:shd w:val="clear" w:color="auto" w:fill="auto"/>
          <w:tblCellMar>
            <w:top w:w="0" w:type="dxa"/>
            <w:left w:w="108" w:type="dxa"/>
            <w:bottom w:w="0" w:type="dxa"/>
            <w:right w:w="108" w:type="dxa"/>
          </w:tblCellMar>
        </w:tblPrEx>
        <w:trPr>
          <w:trHeight w:val="384" w:hRule="atLeast"/>
        </w:trPr>
        <w:tc>
          <w:tcPr>
            <w:tcW w:w="15518" w:type="dxa"/>
            <w:gridSpan w:val="10"/>
            <w:tcBorders>
              <w:top w:val="nil"/>
              <w:left w:val="nil"/>
              <w:bottom w:val="nil"/>
              <w:right w:val="nil"/>
            </w:tcBorders>
            <w:shd w:val="clear" w:color="auto" w:fill="FFFFFF"/>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tblCellMar>
            <w:top w:w="0" w:type="dxa"/>
            <w:left w:w="108" w:type="dxa"/>
            <w:bottom w:w="0" w:type="dxa"/>
            <w:right w:w="108" w:type="dxa"/>
          </w:tblCellMar>
        </w:tblPrEx>
        <w:trPr>
          <w:trHeight w:val="264" w:hRule="atLeast"/>
        </w:trPr>
        <w:tc>
          <w:tcPr>
            <w:tcW w:w="376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6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16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tblCellMar>
            <w:top w:w="0" w:type="dxa"/>
            <w:left w:w="108" w:type="dxa"/>
            <w:bottom w:w="0" w:type="dxa"/>
            <w:right w:w="108" w:type="dxa"/>
          </w:tblCellMar>
        </w:tblPrEx>
        <w:trPr>
          <w:trHeight w:val="264" w:hRule="atLeast"/>
        </w:trPr>
        <w:tc>
          <w:tcPr>
            <w:tcW w:w="3763"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680"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3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163"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6938"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197"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197"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3591"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2595"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CellMar>
            <w:top w:w="0" w:type="dxa"/>
            <w:left w:w="108" w:type="dxa"/>
            <w:bottom w:w="0" w:type="dxa"/>
            <w:right w:w="108" w:type="dxa"/>
          </w:tblCellMar>
        </w:tblPrEx>
        <w:trPr>
          <w:trHeight w:val="308" w:hRule="atLeast"/>
        </w:trPr>
        <w:tc>
          <w:tcPr>
            <w:tcW w:w="4775"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163"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163"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163"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938"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6938"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本表无数据</w:t>
            </w: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5518" w:type="dxa"/>
            <w:gridSpan w:val="10"/>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tbl>
      <w:tblPr>
        <w:tblStyle w:val="7"/>
        <w:tblW w:w="15614" w:type="dxa"/>
        <w:tblInd w:w="0" w:type="dxa"/>
        <w:shd w:val="clear" w:color="auto" w:fill="auto"/>
        <w:tblLayout w:type="fixed"/>
        <w:tblCellMar>
          <w:top w:w="0" w:type="dxa"/>
          <w:left w:w="108" w:type="dxa"/>
          <w:bottom w:w="0" w:type="dxa"/>
          <w:right w:w="108" w:type="dxa"/>
        </w:tblCellMar>
      </w:tblPr>
      <w:tblGrid>
        <w:gridCol w:w="5609"/>
        <w:gridCol w:w="412"/>
        <w:gridCol w:w="415"/>
        <w:gridCol w:w="2036"/>
        <w:gridCol w:w="2011"/>
        <w:gridCol w:w="2011"/>
        <w:gridCol w:w="3120"/>
      </w:tblGrid>
      <w:tr>
        <w:tblPrEx>
          <w:shd w:val="clear" w:color="auto" w:fill="auto"/>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auto"/>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tblPrEx>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1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412"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847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142"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CellMar>
            <w:top w:w="0" w:type="dxa"/>
            <w:left w:w="108" w:type="dxa"/>
            <w:bottom w:w="0" w:type="dxa"/>
            <w:right w:w="108" w:type="dxa"/>
          </w:tblCellMar>
        </w:tblPrEx>
        <w:trPr>
          <w:trHeight w:val="308" w:hRule="atLeast"/>
        </w:trPr>
        <w:tc>
          <w:tcPr>
            <w:tcW w:w="6436"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03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1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1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eastAsia="zh-CN"/>
              </w:rPr>
              <w:t>本表无数据</w:t>
            </w: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5614"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hint="eastAsia" w:ascii="宋体" w:hAnsi="宋体" w:eastAsia="宋体" w:cs="宋体"/>
          <w:sz w:val="72"/>
          <w:szCs w:val="72"/>
        </w:rPr>
      </w:pPr>
    </w:p>
    <w:p>
      <w:pPr>
        <w:pStyle w:val="11"/>
        <w:ind w:firstLine="3240" w:firstLineChars="450"/>
        <w:rPr>
          <w:rFonts w:hint="eastAsia" w:ascii="宋体" w:hAnsi="宋体" w:eastAsia="宋体" w:cs="宋体"/>
          <w:sz w:val="72"/>
          <w:szCs w:val="72"/>
        </w:rPr>
      </w:pPr>
      <w:r>
        <w:rPr>
          <w:rFonts w:hint="eastAsia" w:ascii="宋体" w:hAnsi="宋体" w:eastAsia="宋体" w:cs="宋体"/>
          <w:sz w:val="72"/>
          <w:szCs w:val="72"/>
        </w:rPr>
        <w:t>第三部分</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2020</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5161.83</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695.23</w:t>
      </w:r>
      <w:r>
        <w:rPr>
          <w:rFonts w:hint="eastAsia" w:ascii="宋体" w:hAnsi="宋体" w:eastAsia="宋体" w:cs="宋体"/>
          <w:color w:val="auto"/>
          <w:sz w:val="32"/>
          <w:szCs w:val="32"/>
        </w:rPr>
        <w:t>万元，减少</w:t>
      </w:r>
      <w:r>
        <w:rPr>
          <w:rFonts w:hint="eastAsia" w:ascii="宋体" w:hAnsi="宋体" w:eastAsia="宋体" w:cs="宋体"/>
          <w:color w:val="auto"/>
          <w:sz w:val="32"/>
          <w:szCs w:val="32"/>
          <w:lang w:val="en-US" w:eastAsia="zh-CN"/>
        </w:rPr>
        <w:t>11.87</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val="en-US" w:eastAsia="zh-CN"/>
        </w:rPr>
        <w:t>严格控制各项非生产性开支</w:t>
      </w:r>
      <w:r>
        <w:rPr>
          <w:rFonts w:hint="eastAsia" w:ascii="宋体" w:hAnsi="宋体" w:eastAsia="宋体" w:cs="宋体"/>
          <w:color w:val="auto"/>
          <w:sz w:val="32"/>
          <w:szCs w:val="32"/>
          <w:lang w:eastAsia="zh-CN"/>
        </w:rPr>
        <w:t>。</w:t>
      </w:r>
    </w:p>
    <w:p>
      <w:pPr>
        <w:pStyle w:val="11"/>
        <w:rPr>
          <w:rFonts w:hAnsi="黑体" w:cs="Times New Roman"/>
          <w:b/>
          <w:bCs/>
          <w:sz w:val="32"/>
          <w:szCs w:val="32"/>
        </w:rPr>
      </w:pPr>
      <w:r>
        <w:rPr>
          <w:rFonts w:hint="eastAsia" w:hAnsi="黑体"/>
          <w:b/>
          <w:bCs/>
          <w:sz w:val="32"/>
          <w:szCs w:val="32"/>
        </w:rPr>
        <w:t>二、收入决算情况说明</w:t>
      </w:r>
    </w:p>
    <w:p>
      <w:pPr>
        <w:pStyle w:val="11"/>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5161.83</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2557.37</w:t>
      </w:r>
      <w:r>
        <w:rPr>
          <w:rFonts w:hint="eastAsia" w:ascii="宋体" w:hAnsi="宋体" w:eastAsia="宋体" w:cs="宋体"/>
          <w:sz w:val="32"/>
          <w:szCs w:val="32"/>
        </w:rPr>
        <w:t>万元，占</w:t>
      </w:r>
      <w:r>
        <w:rPr>
          <w:rFonts w:hint="eastAsia" w:ascii="宋体" w:hAnsi="宋体" w:eastAsia="宋体" w:cs="宋体"/>
          <w:sz w:val="32"/>
          <w:szCs w:val="32"/>
          <w:lang w:val="en-US" w:eastAsia="zh-CN"/>
        </w:rPr>
        <w:t>49.54</w:t>
      </w:r>
      <w:r>
        <w:rPr>
          <w:rFonts w:ascii="宋体" w:hAnsi="宋体" w:eastAsia="宋体" w:cs="宋体"/>
          <w:sz w:val="32"/>
          <w:szCs w:val="32"/>
        </w:rPr>
        <w:t>%</w:t>
      </w:r>
      <w:r>
        <w:rPr>
          <w:rFonts w:hint="eastAsia" w:ascii="宋体" w:hAnsi="宋体" w:eastAsia="宋体" w:cs="宋体"/>
          <w:sz w:val="32"/>
          <w:szCs w:val="32"/>
        </w:rPr>
        <w:t>；上级补助收入2604.46万元，占</w:t>
      </w:r>
      <w:r>
        <w:rPr>
          <w:rFonts w:hint="eastAsia" w:ascii="宋体" w:hAnsi="宋体" w:eastAsia="宋体" w:cs="宋体"/>
          <w:sz w:val="32"/>
          <w:szCs w:val="32"/>
          <w:lang w:val="en-US" w:eastAsia="zh-CN"/>
        </w:rPr>
        <w:t>50.46</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5161.83</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5161.83</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rPr>
          <w:rFonts w:hint="eastAsia" w:ascii="宋体" w:hAnsi="宋体" w:eastAsia="宋体" w:cs="Times New Roman"/>
          <w:color w:val="FF0000"/>
          <w:sz w:val="32"/>
          <w:szCs w:val="32"/>
          <w:lang w:eastAsia="zh-CN"/>
        </w:rPr>
      </w:pPr>
      <w:r>
        <w:rPr>
          <w:rFonts w:ascii="宋体" w:hAnsi="宋体" w:eastAsia="宋体" w:cs="宋体"/>
          <w:sz w:val="32"/>
          <w:szCs w:val="32"/>
        </w:rPr>
        <w:t xml:space="preserve">    2020</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2557.37</w:t>
      </w:r>
      <w:r>
        <w:rPr>
          <w:rFonts w:hint="eastAsia" w:ascii="宋体" w:hAnsi="宋体" w:eastAsia="宋体" w:cs="宋体"/>
          <w:sz w:val="32"/>
          <w:szCs w:val="32"/>
        </w:rPr>
        <w:t>万元，与上年相比</w:t>
      </w:r>
      <w:r>
        <w:rPr>
          <w:rFonts w:hint="eastAsia" w:ascii="宋体" w:hAnsi="宋体" w:eastAsia="宋体" w:cs="宋体"/>
          <w:color w:val="auto"/>
          <w:sz w:val="32"/>
          <w:szCs w:val="32"/>
        </w:rPr>
        <w:t>，减少</w:t>
      </w:r>
      <w:r>
        <w:rPr>
          <w:rFonts w:hint="eastAsia" w:ascii="宋体" w:hAnsi="宋体" w:eastAsia="宋体" w:cs="宋体"/>
          <w:color w:val="auto"/>
          <w:sz w:val="32"/>
          <w:szCs w:val="32"/>
          <w:lang w:val="en-US" w:eastAsia="zh-CN"/>
        </w:rPr>
        <w:t>430.36</w:t>
      </w:r>
      <w:r>
        <w:rPr>
          <w:rFonts w:hint="eastAsia" w:ascii="宋体" w:hAnsi="宋体" w:eastAsia="宋体" w:cs="宋体"/>
          <w:color w:val="auto"/>
          <w:sz w:val="32"/>
          <w:szCs w:val="32"/>
        </w:rPr>
        <w:t>万元</w:t>
      </w:r>
      <w:r>
        <w:rPr>
          <w:rFonts w:ascii="宋体" w:hAnsi="宋体" w:eastAsia="宋体" w:cs="宋体"/>
          <w:color w:val="auto"/>
          <w:sz w:val="32"/>
          <w:szCs w:val="32"/>
        </w:rPr>
        <w:t>,</w:t>
      </w:r>
      <w:r>
        <w:rPr>
          <w:rFonts w:hint="eastAsia" w:ascii="宋体" w:hAnsi="宋体" w:eastAsia="宋体" w:cs="宋体"/>
          <w:color w:val="auto"/>
          <w:sz w:val="32"/>
          <w:szCs w:val="32"/>
        </w:rPr>
        <w:t>减少</w:t>
      </w:r>
      <w:r>
        <w:rPr>
          <w:rFonts w:hint="eastAsia" w:ascii="宋体" w:hAnsi="宋体" w:eastAsia="宋体" w:cs="宋体"/>
          <w:color w:val="auto"/>
          <w:sz w:val="32"/>
          <w:szCs w:val="32"/>
          <w:lang w:val="en-US" w:eastAsia="zh-CN"/>
        </w:rPr>
        <w:t>14.40</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val="en-US" w:eastAsia="zh-CN"/>
        </w:rPr>
        <w:t>严格控制各项非生产性开支</w:t>
      </w:r>
      <w:r>
        <w:rPr>
          <w:rFonts w:hint="eastAsia" w:ascii="宋体" w:hAnsi="宋体" w:eastAsia="宋体" w:cs="宋体"/>
          <w:color w:val="auto"/>
          <w:sz w:val="32"/>
          <w:szCs w:val="32"/>
          <w:lang w:eastAsia="zh-CN"/>
        </w:rPr>
        <w:t>。</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1"/>
        <w:ind w:firstLine="640" w:firstLineChars="200"/>
        <w:rPr>
          <w:rFonts w:hint="eastAsia"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年度财政拨款支出2557.37万元，占本年支出合计的</w:t>
      </w:r>
      <w:r>
        <w:rPr>
          <w:rFonts w:hint="eastAsia" w:ascii="宋体" w:hAnsi="宋体" w:eastAsia="宋体" w:cs="宋体"/>
          <w:sz w:val="32"/>
          <w:szCs w:val="32"/>
          <w:lang w:val="en-US" w:eastAsia="zh-CN"/>
        </w:rPr>
        <w:t>49.54</w:t>
      </w:r>
      <w:r>
        <w:rPr>
          <w:rFonts w:ascii="宋体" w:hAnsi="宋体" w:eastAsia="宋体" w:cs="宋体"/>
          <w:sz w:val="32"/>
          <w:szCs w:val="32"/>
        </w:rPr>
        <w:t>%</w:t>
      </w:r>
      <w:r>
        <w:rPr>
          <w:rFonts w:hint="eastAsia" w:ascii="宋体" w:hAnsi="宋体" w:eastAsia="宋体" w:cs="宋体"/>
          <w:sz w:val="32"/>
          <w:szCs w:val="32"/>
        </w:rPr>
        <w:t>，与上年相比，财政拨款支出减少</w:t>
      </w:r>
      <w:r>
        <w:rPr>
          <w:rFonts w:hint="eastAsia" w:ascii="宋体" w:hAnsi="宋体" w:eastAsia="宋体" w:cs="宋体"/>
          <w:sz w:val="32"/>
          <w:szCs w:val="32"/>
          <w:lang w:val="en-US" w:eastAsia="zh-CN"/>
        </w:rPr>
        <w:t>535.31</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17.31</w:t>
      </w:r>
      <w:r>
        <w:rPr>
          <w:rFonts w:ascii="宋体" w:hAnsi="宋体" w:eastAsia="宋体" w:cs="宋体"/>
          <w:sz w:val="32"/>
          <w:szCs w:val="32"/>
        </w:rPr>
        <w:t>%</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严格控制各项非生产性开支。</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1"/>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年度财政拨款支出2557.37万元，主要用于以下方面：一般公共服务支出1599.4</w:t>
      </w:r>
      <w:r>
        <w:rPr>
          <w:rFonts w:hint="eastAsia" w:ascii="宋体" w:hAnsi="宋体" w:eastAsia="宋体" w:cs="宋体"/>
          <w:sz w:val="32"/>
          <w:szCs w:val="32"/>
          <w:lang w:val="en-US" w:eastAsia="zh-CN"/>
        </w:rPr>
        <w:t>9</w:t>
      </w:r>
      <w:r>
        <w:rPr>
          <w:rFonts w:hint="eastAsia" w:ascii="宋体" w:hAnsi="宋体" w:eastAsia="宋体" w:cs="宋体"/>
          <w:sz w:val="32"/>
          <w:szCs w:val="32"/>
        </w:rPr>
        <w:t>万元，占</w:t>
      </w:r>
      <w:r>
        <w:rPr>
          <w:rFonts w:hint="eastAsia" w:ascii="宋体" w:hAnsi="宋体" w:eastAsia="宋体" w:cs="宋体"/>
          <w:sz w:val="32"/>
          <w:szCs w:val="32"/>
          <w:lang w:val="en-US" w:eastAsia="zh-CN"/>
        </w:rPr>
        <w:t>62.54</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文化旅游体育与传媒支出</w:t>
      </w:r>
      <w:r>
        <w:rPr>
          <w:rFonts w:hint="eastAsia" w:ascii="宋体" w:hAnsi="宋体" w:eastAsia="宋体" w:cs="宋体"/>
          <w:sz w:val="32"/>
          <w:szCs w:val="32"/>
          <w:lang w:val="en-US" w:eastAsia="zh-CN"/>
        </w:rPr>
        <w:t>0.1万元，占0.01%；</w:t>
      </w:r>
      <w:r>
        <w:rPr>
          <w:rFonts w:hint="eastAsia" w:ascii="宋体" w:hAnsi="宋体" w:eastAsia="宋体" w:cs="宋体"/>
          <w:sz w:val="32"/>
          <w:szCs w:val="32"/>
        </w:rPr>
        <w:t>社会保障和就业支出138.3</w:t>
      </w:r>
      <w:r>
        <w:rPr>
          <w:rFonts w:hint="eastAsia" w:ascii="宋体" w:hAnsi="宋体" w:eastAsia="宋体" w:cs="宋体"/>
          <w:sz w:val="32"/>
          <w:szCs w:val="32"/>
          <w:lang w:val="en-US" w:eastAsia="zh-CN"/>
        </w:rPr>
        <w:t>3</w:t>
      </w:r>
      <w:r>
        <w:rPr>
          <w:rFonts w:hint="eastAsia" w:ascii="宋体" w:hAnsi="宋体" w:eastAsia="宋体" w:cs="宋体"/>
          <w:sz w:val="32"/>
          <w:szCs w:val="32"/>
        </w:rPr>
        <w:t>万元，占</w:t>
      </w:r>
      <w:r>
        <w:rPr>
          <w:rFonts w:hint="eastAsia" w:ascii="宋体" w:hAnsi="宋体" w:eastAsia="宋体" w:cs="宋体"/>
          <w:sz w:val="32"/>
          <w:szCs w:val="32"/>
          <w:lang w:val="en-US" w:eastAsia="zh-CN"/>
        </w:rPr>
        <w:t>5.41</w:t>
      </w:r>
      <w:r>
        <w:rPr>
          <w:rFonts w:ascii="宋体" w:hAnsi="宋体" w:eastAsia="宋体" w:cs="宋体"/>
          <w:sz w:val="32"/>
          <w:szCs w:val="32"/>
        </w:rPr>
        <w:t>%</w:t>
      </w:r>
      <w:r>
        <w:rPr>
          <w:rFonts w:ascii="宋体" w:hAnsi="宋体" w:eastAsia="宋体" w:cs="宋体"/>
          <w:color w:val="auto"/>
          <w:sz w:val="32"/>
          <w:szCs w:val="32"/>
        </w:rPr>
        <w:t>;</w:t>
      </w:r>
      <w:r>
        <w:rPr>
          <w:rFonts w:hint="eastAsia" w:ascii="宋体" w:hAnsi="宋体" w:eastAsia="宋体" w:cs="宋体"/>
          <w:sz w:val="32"/>
          <w:szCs w:val="32"/>
        </w:rPr>
        <w:t>卫生健康支出</w:t>
      </w:r>
      <w:r>
        <w:rPr>
          <w:rFonts w:hint="eastAsia" w:ascii="宋体" w:hAnsi="宋体" w:eastAsia="宋体" w:cs="宋体"/>
          <w:sz w:val="32"/>
          <w:szCs w:val="32"/>
          <w:lang w:val="en-US" w:eastAsia="zh-CN"/>
        </w:rPr>
        <w:t>27.96</w:t>
      </w:r>
      <w:r>
        <w:rPr>
          <w:rFonts w:hint="eastAsia" w:ascii="宋体" w:hAnsi="宋体" w:eastAsia="宋体" w:cs="宋体"/>
          <w:sz w:val="32"/>
          <w:szCs w:val="32"/>
        </w:rPr>
        <w:t>万元，占</w:t>
      </w:r>
      <w:r>
        <w:rPr>
          <w:rFonts w:hint="eastAsia" w:ascii="宋体" w:hAnsi="宋体" w:eastAsia="宋体" w:cs="宋体"/>
          <w:sz w:val="32"/>
          <w:szCs w:val="32"/>
          <w:lang w:val="en-US" w:eastAsia="zh-CN"/>
        </w:rPr>
        <w:t>1.09</w:t>
      </w:r>
      <w:r>
        <w:rPr>
          <w:rFonts w:ascii="宋体" w:hAnsi="宋体" w:eastAsia="宋体" w:cs="宋体"/>
          <w:sz w:val="32"/>
          <w:szCs w:val="32"/>
        </w:rPr>
        <w:t>%;</w:t>
      </w:r>
      <w:r>
        <w:rPr>
          <w:rFonts w:hint="eastAsia" w:ascii="宋体" w:hAnsi="宋体" w:eastAsia="宋体" w:cs="宋体"/>
          <w:sz w:val="32"/>
          <w:szCs w:val="32"/>
        </w:rPr>
        <w:t>城乡社区支出206.9</w:t>
      </w:r>
      <w:r>
        <w:rPr>
          <w:rFonts w:hint="eastAsia" w:ascii="宋体" w:hAnsi="宋体" w:eastAsia="宋体" w:cs="宋体"/>
          <w:sz w:val="32"/>
          <w:szCs w:val="32"/>
          <w:lang w:val="en-US" w:eastAsia="zh-CN"/>
        </w:rPr>
        <w:t>1</w:t>
      </w:r>
      <w:r>
        <w:rPr>
          <w:rFonts w:hint="eastAsia" w:ascii="宋体" w:hAnsi="宋体" w:eastAsia="宋体" w:cs="宋体"/>
          <w:sz w:val="32"/>
          <w:szCs w:val="32"/>
        </w:rPr>
        <w:t>万元，占</w:t>
      </w:r>
      <w:r>
        <w:rPr>
          <w:rFonts w:hint="eastAsia" w:ascii="宋体" w:hAnsi="宋体" w:eastAsia="宋体" w:cs="宋体"/>
          <w:sz w:val="32"/>
          <w:szCs w:val="32"/>
          <w:lang w:val="en-US" w:eastAsia="zh-CN"/>
        </w:rPr>
        <w:t>8.09</w:t>
      </w:r>
      <w:r>
        <w:rPr>
          <w:rFonts w:ascii="宋体" w:hAnsi="宋体" w:eastAsia="宋体" w:cs="宋体"/>
          <w:sz w:val="32"/>
          <w:szCs w:val="32"/>
        </w:rPr>
        <w:t>%;</w:t>
      </w:r>
      <w:r>
        <w:rPr>
          <w:rFonts w:hint="eastAsia" w:ascii="宋体" w:hAnsi="宋体" w:eastAsia="宋体" w:cs="宋体"/>
          <w:sz w:val="32"/>
          <w:szCs w:val="32"/>
        </w:rPr>
        <w:t>农林水支出555.13万元，占</w:t>
      </w:r>
      <w:r>
        <w:rPr>
          <w:rFonts w:hint="eastAsia" w:ascii="宋体" w:hAnsi="宋体" w:eastAsia="宋体" w:cs="宋体"/>
          <w:sz w:val="32"/>
          <w:szCs w:val="32"/>
          <w:lang w:val="en-US" w:eastAsia="zh-CN"/>
        </w:rPr>
        <w:t>21.71</w:t>
      </w:r>
      <w:r>
        <w:rPr>
          <w:rFonts w:ascii="宋体" w:hAnsi="宋体" w:eastAsia="宋体" w:cs="宋体"/>
          <w:sz w:val="32"/>
          <w:szCs w:val="32"/>
        </w:rPr>
        <w:t>%;</w:t>
      </w:r>
      <w:r>
        <w:rPr>
          <w:rFonts w:hint="eastAsia" w:ascii="宋体" w:hAnsi="宋体" w:eastAsia="宋体" w:cs="宋体"/>
          <w:sz w:val="32"/>
          <w:szCs w:val="32"/>
        </w:rPr>
        <w:t>灾害防治及应急管理支出29.45万元，占</w:t>
      </w:r>
      <w:r>
        <w:rPr>
          <w:rFonts w:hint="eastAsia" w:ascii="宋体" w:hAnsi="宋体" w:eastAsia="宋体" w:cs="宋体"/>
          <w:sz w:val="32"/>
          <w:szCs w:val="32"/>
          <w:lang w:val="en-US" w:eastAsia="zh-CN"/>
        </w:rPr>
        <w:t>1.15</w:t>
      </w:r>
      <w:r>
        <w:rPr>
          <w:rFonts w:ascii="宋体" w:hAnsi="宋体" w:eastAsia="宋体" w:cs="宋体"/>
          <w:sz w:val="32"/>
          <w:szCs w:val="32"/>
        </w:rPr>
        <w:t>%</w:t>
      </w:r>
      <w:r>
        <w:rPr>
          <w:rFonts w:hint="eastAsia" w:ascii="宋体" w:hAnsi="宋体" w:eastAsia="宋体" w:cs="宋体"/>
          <w:sz w:val="32"/>
          <w:szCs w:val="32"/>
          <w:lang w:val="en-US" w:eastAsia="zh-CN"/>
        </w:rPr>
        <w:t>.</w:t>
      </w:r>
    </w:p>
    <w:p>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年度财政拨款支出年初预算数为2557.37万元，支出决算数为2557.37万元，完成年初预算的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政府办公厅（室）及相关机构事务（款）</w:t>
      </w:r>
      <w:r>
        <w:rPr>
          <w:rFonts w:hint="eastAsia" w:ascii="宋体" w:hAnsi="宋体" w:eastAsia="宋体" w:cs="宋体"/>
          <w:sz w:val="32"/>
          <w:szCs w:val="32"/>
          <w:lang w:val="en-US" w:eastAsia="zh-CN"/>
        </w:rPr>
        <w:t xml:space="preserve"> 行政运行（项）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1443.6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1443.6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政府办公厅（室）及相关机构事务（款）</w:t>
      </w:r>
      <w:r>
        <w:rPr>
          <w:rFonts w:hint="eastAsia" w:ascii="宋体" w:hAnsi="宋体" w:eastAsia="宋体" w:cs="宋体"/>
          <w:sz w:val="32"/>
          <w:szCs w:val="32"/>
          <w:lang w:val="en-US" w:eastAsia="zh-CN"/>
        </w:rPr>
        <w:t xml:space="preserve"> 其他政府办公厅(室)及相关机构事务支出（项）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50.8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50.8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发展与改革事务（款）</w:t>
      </w:r>
      <w:r>
        <w:rPr>
          <w:rFonts w:hint="eastAsia" w:ascii="宋体" w:hAnsi="宋体" w:eastAsia="宋体" w:cs="宋体"/>
          <w:sz w:val="32"/>
          <w:szCs w:val="32"/>
          <w:lang w:val="en-US" w:eastAsia="zh-CN"/>
        </w:rPr>
        <w:t xml:space="preserve"> 其他发展与改革事务支出（项）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49.16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49.16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、一般公共服务</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财政事务（款）</w:t>
      </w:r>
      <w:r>
        <w:rPr>
          <w:rFonts w:hint="eastAsia" w:ascii="宋体" w:hAnsi="宋体" w:eastAsia="宋体" w:cs="宋体"/>
          <w:sz w:val="32"/>
          <w:szCs w:val="32"/>
          <w:lang w:val="en-US" w:eastAsia="zh-CN"/>
        </w:rPr>
        <w:t xml:space="preserve"> 行政运行（项）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55.93</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55.92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rPr>
        <w:t>、</w:t>
      </w:r>
      <w:r>
        <w:rPr>
          <w:rFonts w:hint="eastAsia" w:ascii="宋体" w:hAnsi="宋体" w:eastAsia="宋体" w:cs="宋体"/>
          <w:color w:val="auto"/>
          <w:sz w:val="32"/>
          <w:szCs w:val="32"/>
        </w:rPr>
        <w:t>文化旅游体育与传媒</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文化和旅游（款）</w:t>
      </w:r>
      <w:r>
        <w:rPr>
          <w:rFonts w:hint="eastAsia" w:ascii="宋体" w:hAnsi="宋体" w:eastAsia="宋体" w:cs="宋体"/>
          <w:sz w:val="32"/>
          <w:szCs w:val="32"/>
          <w:lang w:val="en-US" w:eastAsia="zh-CN"/>
        </w:rPr>
        <w:t xml:space="preserve"> 其他文化和旅游支出（项）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0.1</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、社会保障和就业</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人力资源和社会保障管理事务</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 xml:space="preserve"> 其他人力资源和社会保障管理事务支出（项）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125.88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125.88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、社会保障和就业</w:t>
      </w:r>
      <w:r>
        <w:rPr>
          <w:rFonts w:hint="eastAsia" w:ascii="宋体" w:hAnsi="宋体" w:eastAsia="宋体" w:cs="宋体"/>
          <w:sz w:val="32"/>
          <w:szCs w:val="32"/>
          <w:lang w:eastAsia="zh-CN"/>
        </w:rPr>
        <w:t>（类）</w:t>
      </w:r>
      <w:r>
        <w:rPr>
          <w:rFonts w:hint="eastAsia" w:ascii="宋体" w:hAnsi="宋体" w:eastAsia="宋体" w:cs="宋体"/>
          <w:sz w:val="32"/>
          <w:szCs w:val="32"/>
          <w:lang w:val="en-US" w:eastAsia="zh-CN"/>
        </w:rPr>
        <w:t xml:space="preserve"> 退役军人管理事务</w:t>
      </w:r>
      <w:r>
        <w:rPr>
          <w:rFonts w:hint="eastAsia" w:ascii="宋体" w:hAnsi="宋体" w:eastAsia="宋体" w:cs="宋体"/>
          <w:sz w:val="32"/>
          <w:szCs w:val="32"/>
          <w:lang w:eastAsia="zh-CN"/>
        </w:rPr>
        <w:t>（款）</w:t>
      </w:r>
      <w:r>
        <w:rPr>
          <w:rFonts w:hint="eastAsia" w:ascii="宋体" w:hAnsi="宋体" w:eastAsia="宋体" w:cs="宋体"/>
          <w:sz w:val="32"/>
          <w:szCs w:val="32"/>
          <w:lang w:val="en-US" w:eastAsia="zh-CN"/>
        </w:rPr>
        <w:t xml:space="preserve"> 其他退役军人事务管理支出（项）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12.45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12.45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numPr>
          <w:ilvl w:val="0"/>
          <w:numId w:val="0"/>
        </w:numPr>
        <w:ind w:firstLine="640" w:firstLineChars="200"/>
        <w:rPr>
          <w:rFonts w:hint="eastAsia" w:ascii="宋体" w:hAnsi="宋体" w:eastAsia="宋体" w:cs="宋体"/>
          <w:color w:val="auto"/>
          <w:sz w:val="32"/>
          <w:szCs w:val="32"/>
          <w:lang w:eastAsia="zh-CN"/>
        </w:rPr>
      </w:pPr>
      <w:r>
        <w:rPr>
          <w:rFonts w:hint="eastAsia" w:ascii="宋体" w:hAnsi="宋体" w:eastAsia="宋体" w:cs="宋体"/>
          <w:color w:val="auto"/>
          <w:sz w:val="32"/>
          <w:szCs w:val="32"/>
          <w:lang w:val="en-US" w:eastAsia="zh-CN"/>
        </w:rPr>
        <w:t>8、</w:t>
      </w:r>
      <w:r>
        <w:rPr>
          <w:rFonts w:hint="eastAsia" w:ascii="宋体" w:hAnsi="宋体" w:eastAsia="宋体" w:cs="宋体"/>
          <w:color w:val="auto"/>
          <w:sz w:val="32"/>
          <w:szCs w:val="32"/>
        </w:rPr>
        <w:t>卫生健康</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卫生健康管理事务（款） 其他卫生健康管理事务支出（项）</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27.96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27.96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9</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城乡社区支出（类）</w:t>
      </w:r>
      <w:r>
        <w:rPr>
          <w:rFonts w:hint="eastAsia" w:ascii="宋体" w:hAnsi="宋体" w:eastAsia="宋体" w:cs="宋体"/>
          <w:color w:val="auto"/>
          <w:sz w:val="32"/>
          <w:szCs w:val="32"/>
          <w:lang w:val="en-US" w:eastAsia="zh-CN"/>
        </w:rPr>
        <w:t xml:space="preserve"> 城乡社区管理事务（款） 城管执法（项）</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84.95</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84.95</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城乡社区支出（类）</w:t>
      </w:r>
      <w:r>
        <w:rPr>
          <w:rFonts w:hint="eastAsia" w:ascii="宋体" w:hAnsi="宋体" w:eastAsia="宋体" w:cs="宋体"/>
          <w:color w:val="auto"/>
          <w:sz w:val="32"/>
          <w:szCs w:val="32"/>
          <w:lang w:val="en-US" w:eastAsia="zh-CN"/>
        </w:rPr>
        <w:t xml:space="preserve"> 城乡社区管理事务（款） 其他城乡社区管理事务支出（项）</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29.8</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29.8</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11</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城乡社区支出（类）</w:t>
      </w:r>
      <w:r>
        <w:rPr>
          <w:rFonts w:hint="eastAsia" w:ascii="宋体" w:hAnsi="宋体" w:eastAsia="宋体" w:cs="宋体"/>
          <w:color w:val="auto"/>
          <w:sz w:val="32"/>
          <w:szCs w:val="32"/>
          <w:lang w:val="en-US" w:eastAsia="zh-CN"/>
        </w:rPr>
        <w:t xml:space="preserve"> 城乡社区环境卫生（款） 城乡社区环境卫生（项）</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92.16</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92.16</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12</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农业农村（款） 病虫害控制（项） </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0.27</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0.27</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13</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林业和草原（款） 技术推广与转化（项） </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0.12</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0.12</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14</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水利（款） 水利行业业务管理（项） </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0.06</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0.06</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15</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农村综合改革（款） 对村民委员会和村党支部的补助（项） </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202.05</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202.05</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16</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农村综合改革（款） 其他农村综合改革支出（项） </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172.61</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172.61</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17</w:t>
      </w:r>
      <w:r>
        <w:rPr>
          <w:rFonts w:hint="eastAsia" w:ascii="宋体" w:hAnsi="宋体" w:eastAsia="宋体" w:cs="宋体"/>
          <w:color w:val="auto"/>
          <w:sz w:val="32"/>
          <w:szCs w:val="32"/>
        </w:rPr>
        <w:t>、农林水支出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其他农林水支出（款） 其他农林水支出（项） </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180.02</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180.02</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ind w:firstLine="800" w:firstLineChars="250"/>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18</w:t>
      </w:r>
      <w:r>
        <w:rPr>
          <w:rFonts w:hint="eastAsia" w:ascii="宋体" w:hAnsi="宋体" w:eastAsia="宋体" w:cs="宋体"/>
          <w:color w:val="auto"/>
          <w:sz w:val="32"/>
          <w:szCs w:val="32"/>
        </w:rPr>
        <w:t>、灾害防治及应急管理支出</w:t>
      </w:r>
      <w:r>
        <w:rPr>
          <w:rFonts w:hint="eastAsia" w:ascii="宋体" w:hAnsi="宋体" w:eastAsia="宋体" w:cs="宋体"/>
          <w:color w:val="auto"/>
          <w:sz w:val="32"/>
          <w:szCs w:val="32"/>
          <w:lang w:eastAsia="zh-CN"/>
        </w:rPr>
        <w:t>（类）</w:t>
      </w:r>
      <w:r>
        <w:rPr>
          <w:rFonts w:hint="eastAsia" w:ascii="宋体" w:hAnsi="宋体" w:eastAsia="宋体" w:cs="宋体"/>
          <w:color w:val="auto"/>
          <w:sz w:val="32"/>
          <w:szCs w:val="32"/>
          <w:lang w:val="en-US" w:eastAsia="zh-CN"/>
        </w:rPr>
        <w:t xml:space="preserve"> 应急管理事务（款） 其他应急管理支出（项）</w:t>
      </w:r>
      <w:r>
        <w:rPr>
          <w:rFonts w:hint="eastAsia" w:ascii="宋体" w:hAnsi="宋体" w:eastAsia="宋体" w:cs="宋体"/>
          <w:color w:val="auto"/>
          <w:sz w:val="32"/>
          <w:szCs w:val="32"/>
        </w:rPr>
        <w:t>。</w:t>
      </w:r>
    </w:p>
    <w:p>
      <w:pPr>
        <w:pStyle w:val="11"/>
        <w:ind w:firstLine="800" w:firstLineChars="250"/>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年初预算为29.45万元，支出决算为29.45万元，完成年初预算的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p>
    <w:p>
      <w:pPr>
        <w:pStyle w:val="11"/>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年度财政拨款基本支出2557.37万元，其中：人员经费1967.8</w:t>
      </w:r>
      <w:r>
        <w:rPr>
          <w:rFonts w:hint="eastAsia" w:ascii="宋体" w:hAnsi="宋体" w:eastAsia="宋体" w:cs="宋体"/>
          <w:sz w:val="32"/>
          <w:szCs w:val="32"/>
          <w:lang w:val="en-US" w:eastAsia="zh-CN"/>
        </w:rPr>
        <w:t>5</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76.95</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机关事业单位基本养老保险缴费、职业年金缴费、其他社会保障缴费、住房公积金</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对个人和家庭的补助、救济费</w:t>
      </w:r>
      <w:r>
        <w:rPr>
          <w:rFonts w:hint="eastAsia" w:ascii="宋体" w:hAnsi="宋体" w:eastAsia="宋体" w:cs="宋体"/>
          <w:sz w:val="32"/>
          <w:szCs w:val="32"/>
          <w:lang w:eastAsia="zh-CN"/>
        </w:rPr>
        <w:t>等</w:t>
      </w:r>
      <w:r>
        <w:rPr>
          <w:rFonts w:hint="eastAsia" w:ascii="宋体" w:hAnsi="宋体" w:eastAsia="宋体" w:cs="宋体"/>
          <w:sz w:val="32"/>
          <w:szCs w:val="32"/>
        </w:rPr>
        <w:t>；公用经费589.52万元，占基本支出的</w:t>
      </w:r>
      <w:r>
        <w:rPr>
          <w:rFonts w:hint="eastAsia" w:ascii="宋体" w:hAnsi="宋体" w:eastAsia="宋体" w:cs="宋体"/>
          <w:sz w:val="32"/>
          <w:szCs w:val="32"/>
          <w:lang w:val="en-US" w:eastAsia="zh-CN"/>
        </w:rPr>
        <w:t>23.05</w:t>
      </w:r>
      <w:r>
        <w:rPr>
          <w:rFonts w:ascii="宋体" w:hAnsi="宋体" w:eastAsia="宋体" w:cs="宋体"/>
          <w:sz w:val="32"/>
          <w:szCs w:val="32"/>
        </w:rPr>
        <w:t>%</w:t>
      </w:r>
      <w:r>
        <w:rPr>
          <w:rFonts w:hint="eastAsia" w:ascii="宋体" w:hAnsi="宋体" w:eastAsia="宋体" w:cs="宋体"/>
          <w:sz w:val="32"/>
          <w:szCs w:val="32"/>
        </w:rPr>
        <w:t>，主要包括办公费、印刷费、咨询费、手续费</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水</w:t>
      </w:r>
      <w:r>
        <w:rPr>
          <w:rFonts w:hint="eastAsia" w:ascii="宋体" w:hAnsi="宋体" w:eastAsia="宋体" w:cs="宋体"/>
          <w:sz w:val="32"/>
          <w:szCs w:val="32"/>
        </w:rPr>
        <w:t>费</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维修（护）费、租赁费、公务接待费、专用材料费、专用燃料费、劳务费、其他交通费用、其他商品和服务支出</w:t>
      </w:r>
      <w:r>
        <w:rPr>
          <w:rFonts w:hint="eastAsia" w:ascii="宋体" w:hAnsi="宋体" w:eastAsia="宋体" w:cs="宋体"/>
          <w:sz w:val="32"/>
          <w:szCs w:val="32"/>
          <w:lang w:eastAsia="zh-CN"/>
        </w:rPr>
        <w:t>等</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“三公”经费财政拨款支出预算为24.12万元，支出决算为16.29万元，完成预算的</w:t>
      </w:r>
      <w:r>
        <w:rPr>
          <w:rFonts w:hint="eastAsia" w:ascii="宋体" w:hAnsi="宋体" w:eastAsia="宋体" w:cs="宋体"/>
          <w:sz w:val="32"/>
          <w:szCs w:val="32"/>
          <w:lang w:val="en-US" w:eastAsia="zh-CN"/>
        </w:rPr>
        <w:t>67.54</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hint="eastAsia" w:ascii="宋体" w:hAnsi="宋体" w:eastAsia="宋体" w:cs="Times New Roman"/>
          <w:sz w:val="32"/>
          <w:szCs w:val="32"/>
        </w:rPr>
        <w:t>公务接待费支出预算为</w:t>
      </w:r>
      <w:r>
        <w:rPr>
          <w:rFonts w:hint="eastAsia" w:ascii="宋体" w:hAnsi="宋体" w:eastAsia="宋体" w:cs="Times New Roman"/>
          <w:sz w:val="32"/>
          <w:szCs w:val="32"/>
          <w:lang w:val="en-US" w:eastAsia="zh-CN"/>
        </w:rPr>
        <w:t>24.12</w:t>
      </w:r>
      <w:r>
        <w:rPr>
          <w:rFonts w:hint="eastAsia" w:ascii="宋体" w:hAnsi="宋体" w:eastAsia="宋体" w:cs="Times New Roman"/>
          <w:sz w:val="32"/>
          <w:szCs w:val="32"/>
        </w:rPr>
        <w:t>万元，支出决算为</w:t>
      </w:r>
      <w:r>
        <w:rPr>
          <w:rFonts w:hint="eastAsia" w:ascii="宋体" w:hAnsi="宋体" w:eastAsia="宋体" w:cs="Times New Roman"/>
          <w:sz w:val="32"/>
          <w:szCs w:val="32"/>
          <w:lang w:val="en-US" w:eastAsia="zh-CN"/>
        </w:rPr>
        <w:t>16.29</w:t>
      </w:r>
      <w:r>
        <w:rPr>
          <w:rFonts w:hint="eastAsia" w:ascii="宋体" w:hAnsi="宋体" w:eastAsia="宋体" w:cs="Times New Roman"/>
          <w:sz w:val="32"/>
          <w:szCs w:val="32"/>
        </w:rPr>
        <w:t>万元，完成预算的</w:t>
      </w:r>
      <w:r>
        <w:rPr>
          <w:rFonts w:hint="eastAsia" w:ascii="宋体" w:hAnsi="宋体" w:eastAsia="宋体" w:cs="Times New Roman"/>
          <w:sz w:val="32"/>
          <w:szCs w:val="32"/>
          <w:lang w:val="en-US" w:eastAsia="zh-CN"/>
        </w:rPr>
        <w:t>67.54</w:t>
      </w:r>
      <w:r>
        <w:rPr>
          <w:rFonts w:ascii="宋体" w:hAnsi="宋体" w:eastAsia="宋体" w:cs="Times New Roman"/>
          <w:sz w:val="32"/>
          <w:szCs w:val="32"/>
        </w:rPr>
        <w:t>%</w:t>
      </w:r>
      <w:r>
        <w:rPr>
          <w:rFonts w:hint="eastAsia" w:ascii="宋体" w:hAnsi="宋体" w:eastAsia="宋体" w:cs="Times New Roman"/>
          <w:sz w:val="32"/>
          <w:szCs w:val="32"/>
        </w:rPr>
        <w:t>，决算数小于年初预算数的主要原因是</w:t>
      </w:r>
      <w:r>
        <w:rPr>
          <w:rFonts w:hint="eastAsia" w:ascii="宋体" w:hAnsi="宋体" w:eastAsia="宋体" w:cs="Times New Roman"/>
          <w:sz w:val="32"/>
          <w:szCs w:val="32"/>
          <w:lang w:eastAsia="zh-CN"/>
        </w:rPr>
        <w:t>严格执行上级公务接待的相关要求，控制效果明显</w:t>
      </w:r>
      <w:r>
        <w:rPr>
          <w:rFonts w:hint="eastAsia" w:ascii="宋体" w:hAnsi="宋体" w:eastAsia="宋体" w:cs="Times New Roman"/>
          <w:sz w:val="32"/>
          <w:szCs w:val="32"/>
        </w:rPr>
        <w:t>，与上年相比减少</w:t>
      </w:r>
      <w:r>
        <w:rPr>
          <w:rFonts w:hint="eastAsia" w:ascii="宋体" w:hAnsi="宋体" w:eastAsia="宋体" w:cs="Times New Roman"/>
          <w:sz w:val="32"/>
          <w:szCs w:val="32"/>
          <w:lang w:val="en-US" w:eastAsia="zh-CN"/>
        </w:rPr>
        <w:t>7.1</w:t>
      </w:r>
      <w:r>
        <w:rPr>
          <w:rFonts w:hint="eastAsia" w:ascii="宋体" w:hAnsi="宋体" w:eastAsia="宋体" w:cs="Times New Roman"/>
          <w:sz w:val="32"/>
          <w:szCs w:val="32"/>
        </w:rPr>
        <w:t>万元，减少</w:t>
      </w:r>
      <w:r>
        <w:rPr>
          <w:rFonts w:hint="eastAsia" w:ascii="宋体" w:hAnsi="宋体" w:eastAsia="宋体" w:cs="Times New Roman"/>
          <w:sz w:val="32"/>
          <w:szCs w:val="32"/>
          <w:lang w:val="en-US" w:eastAsia="zh-CN"/>
        </w:rPr>
        <w:t>30.35</w:t>
      </w:r>
      <w:r>
        <w:rPr>
          <w:rFonts w:hint="eastAsia" w:ascii="宋体" w:hAnsi="宋体" w:eastAsia="宋体" w:cs="Times New Roman"/>
          <w:sz w:val="32"/>
          <w:szCs w:val="32"/>
          <w:lang w:eastAsia="zh-CN"/>
        </w:rPr>
        <w:t>%</w:t>
      </w:r>
      <w:r>
        <w:rPr>
          <w:rFonts w:ascii="宋体" w:hAnsi="宋体" w:eastAsia="宋体" w:cs="Times New Roman"/>
          <w:sz w:val="32"/>
          <w:szCs w:val="32"/>
        </w:rPr>
        <w:t>,</w:t>
      </w:r>
      <w:r>
        <w:rPr>
          <w:rFonts w:hint="eastAsia" w:ascii="宋体" w:hAnsi="宋体" w:eastAsia="宋体" w:cs="Times New Roman"/>
          <w:sz w:val="32"/>
          <w:szCs w:val="32"/>
        </w:rPr>
        <w:t>减少的主要原因是</w:t>
      </w:r>
      <w:r>
        <w:rPr>
          <w:rFonts w:hint="eastAsia" w:ascii="宋体" w:hAnsi="宋体" w:eastAsia="宋体" w:cs="Times New Roman"/>
          <w:sz w:val="32"/>
          <w:szCs w:val="32"/>
          <w:lang w:val="en-US" w:eastAsia="zh-CN"/>
        </w:rPr>
        <w:t>进一步落实上级要求，严格压缩“三公”消费支出，并严格审批“三公”消费支出的申报，确定执行有效果</w:t>
      </w:r>
      <w:r>
        <w:rPr>
          <w:rFonts w:hint="eastAsia" w:ascii="宋体" w:hAnsi="宋体" w:eastAsia="宋体" w:cs="Times New Roman"/>
          <w:sz w:val="32"/>
          <w:szCs w:val="32"/>
        </w:rPr>
        <w:t>。</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w:t>
      </w:r>
      <w:r>
        <w:rPr>
          <w:rFonts w:hint="eastAsia" w:ascii="宋体" w:hAnsi="宋体" w:eastAsia="宋体" w:cs="Times New Roman"/>
          <w:sz w:val="32"/>
          <w:szCs w:val="32"/>
          <w:lang w:val="en-US" w:eastAsia="zh-CN"/>
        </w:rPr>
        <w:t>16.29</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pPr>
        <w:pStyle w:val="11"/>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pPr>
        <w:pStyle w:val="11"/>
        <w:ind w:firstLine="640" w:firstLineChars="200"/>
        <w:rPr>
          <w:rFonts w:hint="eastAsia" w:ascii="宋体" w:hAnsi="宋体" w:eastAsia="宋体" w:cs="宋体"/>
          <w:sz w:val="32"/>
          <w:szCs w:val="32"/>
          <w:lang w:eastAsia="zh-CN"/>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16.29</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510</w:t>
      </w:r>
      <w:r>
        <w:rPr>
          <w:rFonts w:hint="eastAsia" w:ascii="宋体" w:hAnsi="宋体" w:eastAsia="宋体" w:cs="宋体"/>
          <w:sz w:val="32"/>
          <w:szCs w:val="32"/>
        </w:rPr>
        <w:t>个、来宾</w:t>
      </w:r>
      <w:r>
        <w:rPr>
          <w:rFonts w:hint="eastAsia" w:ascii="宋体" w:hAnsi="宋体" w:eastAsia="宋体" w:cs="宋体"/>
          <w:sz w:val="32"/>
          <w:szCs w:val="32"/>
          <w:lang w:val="en-US" w:eastAsia="zh-CN"/>
        </w:rPr>
        <w:t>4073</w:t>
      </w:r>
      <w:r>
        <w:rPr>
          <w:rFonts w:hint="eastAsia" w:ascii="宋体" w:hAnsi="宋体" w:eastAsia="宋体" w:cs="宋体"/>
          <w:sz w:val="32"/>
          <w:szCs w:val="32"/>
        </w:rPr>
        <w:t>人次，主要是</w:t>
      </w:r>
      <w:r>
        <w:rPr>
          <w:rFonts w:hint="eastAsia" w:ascii="宋体" w:hAnsi="宋体" w:eastAsia="宋体" w:cs="宋体"/>
          <w:sz w:val="32"/>
          <w:szCs w:val="32"/>
          <w:lang w:eastAsia="zh-CN"/>
        </w:rPr>
        <w:t>园区招商引资、上级公务接待等</w:t>
      </w:r>
      <w:r>
        <w:rPr>
          <w:rFonts w:hint="eastAsia" w:ascii="宋体" w:hAnsi="宋体" w:eastAsia="宋体" w:cs="宋体"/>
          <w:sz w:val="32"/>
          <w:szCs w:val="32"/>
        </w:rPr>
        <w:t>发生的接待支出</w:t>
      </w:r>
      <w:r>
        <w:rPr>
          <w:rFonts w:hint="eastAsia" w:ascii="宋体" w:hAnsi="宋体" w:eastAsia="宋体" w:cs="宋体"/>
          <w:sz w:val="32"/>
          <w:szCs w:val="32"/>
          <w:lang w:eastAsia="zh-CN"/>
        </w:rPr>
        <w:t>。</w:t>
      </w:r>
    </w:p>
    <w:p>
      <w:pPr>
        <w:pStyle w:val="11"/>
        <w:ind w:firstLine="640" w:firstLineChars="200"/>
        <w:rPr>
          <w:rFonts w:hint="eastAsia" w:ascii="宋体" w:hAnsi="宋体" w:eastAsia="宋体" w:cs="宋体"/>
          <w:sz w:val="32"/>
          <w:szCs w:val="32"/>
          <w:lang w:val="en-US" w:eastAsia="zh-CN"/>
        </w:rPr>
      </w:pPr>
      <w:r>
        <w:rPr>
          <w:rFonts w:ascii="宋体" w:hAnsi="宋体" w:eastAsia="宋体" w:cs="宋体"/>
          <w:sz w:val="32"/>
          <w:szCs w:val="32"/>
        </w:rPr>
        <w:t>3</w:t>
      </w:r>
      <w:r>
        <w:rPr>
          <w:rFonts w:hint="eastAsia" w:ascii="宋体" w:hAnsi="宋体" w:eastAsia="宋体" w:cs="宋体"/>
          <w:sz w:val="32"/>
          <w:szCs w:val="32"/>
        </w:rPr>
        <w:t>、公务用车购置费及运行维护费支出决算为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r>
        <w:rPr>
          <w:rFonts w:hint="eastAsia" w:ascii="宋体" w:hAnsi="宋体" w:eastAsia="宋体" w:cs="宋体"/>
          <w:sz w:val="32"/>
          <w:szCs w:val="32"/>
          <w:lang w:val="en-US" w:eastAsia="zh-CN"/>
        </w:rPr>
        <w:t>公务用车购置费0万元，更新公务用车0 辆，公务用车运行维护费0万元。截止2020年12月31日，我单位开支财政拨款的公务用车保有量为0辆。</w:t>
      </w:r>
    </w:p>
    <w:p>
      <w:pPr>
        <w:pStyle w:val="11"/>
        <w:rPr>
          <w:rFonts w:hint="eastAsia" w:hAnsi="黑体"/>
          <w:b/>
          <w:bCs/>
          <w:sz w:val="32"/>
          <w:szCs w:val="32"/>
        </w:rPr>
      </w:pPr>
      <w:r>
        <w:rPr>
          <w:rFonts w:hint="eastAsia" w:hAnsi="黑体"/>
          <w:b/>
          <w:bCs/>
          <w:sz w:val="32"/>
          <w:szCs w:val="32"/>
        </w:rPr>
        <w:t>八、政府性基金预算收入支出决算情况</w:t>
      </w:r>
    </w:p>
    <w:p>
      <w:pPr>
        <w:pStyle w:val="11"/>
        <w:ind w:firstLine="640" w:firstLineChars="200"/>
        <w:rPr>
          <w:rFonts w:hint="eastAsia" w:ascii="仿宋" w:hAnsi="仿宋" w:eastAsia="仿宋" w:cs="仿宋"/>
          <w:kern w:val="0"/>
          <w:sz w:val="32"/>
          <w:szCs w:val="32"/>
          <w:lang w:val="en-US" w:eastAsia="zh-CN" w:bidi="ar-SA"/>
        </w:rPr>
      </w:pPr>
      <w:r>
        <w:rPr>
          <w:rFonts w:hint="eastAsia" w:ascii="宋体" w:hAnsi="宋体" w:eastAsia="宋体" w:cs="宋体"/>
          <w:color w:val="000000"/>
          <w:kern w:val="0"/>
          <w:sz w:val="32"/>
          <w:szCs w:val="32"/>
          <w:lang w:val="en-US" w:eastAsia="zh-CN" w:bidi="ar-SA"/>
        </w:rPr>
        <w:t>本年度无政府性基金收支。</w:t>
      </w:r>
    </w:p>
    <w:p>
      <w:pPr>
        <w:pStyle w:val="11"/>
        <w:rPr>
          <w:rFonts w:hAnsi="黑体" w:cs="Times New Roman"/>
          <w:b/>
          <w:bCs/>
          <w:sz w:val="32"/>
          <w:szCs w:val="32"/>
        </w:rPr>
      </w:pPr>
      <w:r>
        <w:rPr>
          <w:rFonts w:hint="eastAsia" w:hAnsi="黑体"/>
          <w:b/>
          <w:bCs/>
          <w:sz w:val="32"/>
          <w:szCs w:val="32"/>
        </w:rPr>
        <w:t>九、关于机关运行经费支出说明</w:t>
      </w:r>
    </w:p>
    <w:p>
      <w:pPr>
        <w:pStyle w:val="11"/>
        <w:ind w:firstLine="640" w:firstLineChars="200"/>
        <w:rPr>
          <w:rFonts w:hint="eastAsia" w:ascii="宋体" w:hAnsi="宋体" w:eastAsia="宋体" w:cs="宋体"/>
          <w:sz w:val="32"/>
          <w:szCs w:val="32"/>
        </w:rPr>
      </w:pPr>
      <w:r>
        <w:rPr>
          <w:rFonts w:hint="eastAsia" w:ascii="宋体" w:hAnsi="宋体" w:eastAsia="宋体" w:cs="宋体"/>
          <w:sz w:val="32"/>
          <w:szCs w:val="32"/>
        </w:rPr>
        <w:t>本部门2020年度机关运行经费支出</w:t>
      </w:r>
      <w:r>
        <w:rPr>
          <w:rFonts w:hint="eastAsia" w:ascii="宋体" w:hAnsi="宋体" w:eastAsia="宋体" w:cs="宋体"/>
          <w:sz w:val="32"/>
          <w:szCs w:val="32"/>
          <w:lang w:val="en-US" w:eastAsia="zh-CN"/>
        </w:rPr>
        <w:t>589.52</w:t>
      </w:r>
      <w:r>
        <w:rPr>
          <w:rFonts w:hint="eastAsia" w:ascii="宋体" w:hAnsi="宋体" w:eastAsia="宋体" w:cs="宋体"/>
          <w:sz w:val="32"/>
          <w:szCs w:val="32"/>
        </w:rPr>
        <w:t>万元</w:t>
      </w:r>
      <w:r>
        <w:rPr>
          <w:rFonts w:hint="eastAsia" w:ascii="宋体" w:hAnsi="宋体" w:eastAsia="宋体" w:cs="宋体"/>
          <w:sz w:val="32"/>
          <w:szCs w:val="32"/>
          <w:lang w:val="en-US" w:eastAsia="zh-CN"/>
        </w:rPr>
        <w:t>,</w:t>
      </w:r>
      <w:r>
        <w:rPr>
          <w:rFonts w:hint="eastAsia" w:ascii="宋体" w:hAnsi="宋体" w:eastAsia="宋体" w:cs="宋体"/>
          <w:sz w:val="32"/>
          <w:szCs w:val="32"/>
        </w:rPr>
        <w:t>比</w:t>
      </w:r>
      <w:r>
        <w:rPr>
          <w:rFonts w:hint="eastAsia" w:ascii="宋体" w:hAnsi="宋体" w:eastAsia="宋体" w:cs="宋体"/>
          <w:sz w:val="32"/>
          <w:szCs w:val="32"/>
          <w:lang w:eastAsia="zh-CN"/>
        </w:rPr>
        <w:t>年初预算数</w:t>
      </w:r>
      <w:r>
        <w:rPr>
          <w:rFonts w:hint="eastAsia" w:ascii="宋体" w:hAnsi="宋体" w:eastAsia="宋体" w:cs="宋体"/>
          <w:sz w:val="32"/>
          <w:szCs w:val="32"/>
        </w:rPr>
        <w:t>减少</w:t>
      </w:r>
      <w:r>
        <w:rPr>
          <w:rFonts w:hint="eastAsia" w:ascii="宋体" w:hAnsi="宋体" w:eastAsia="宋体" w:cs="宋体"/>
          <w:sz w:val="32"/>
          <w:szCs w:val="32"/>
          <w:lang w:val="en-US" w:eastAsia="zh-CN"/>
        </w:rPr>
        <w:t>141.63</w:t>
      </w:r>
      <w:r>
        <w:rPr>
          <w:rFonts w:hint="eastAsia" w:ascii="宋体" w:hAnsi="宋体" w:eastAsia="宋体" w:cs="宋体"/>
          <w:sz w:val="32"/>
          <w:szCs w:val="32"/>
        </w:rPr>
        <w:t>万元，降低</w:t>
      </w:r>
      <w:r>
        <w:rPr>
          <w:rFonts w:hint="eastAsia" w:ascii="宋体" w:hAnsi="宋体" w:eastAsia="宋体" w:cs="宋体"/>
          <w:sz w:val="32"/>
          <w:szCs w:val="32"/>
          <w:lang w:val="en-US" w:eastAsia="zh-CN"/>
        </w:rPr>
        <w:t>19.37</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严格控制各项非生产性开支。</w:t>
      </w:r>
    </w:p>
    <w:p>
      <w:pPr>
        <w:pStyle w:val="11"/>
        <w:rPr>
          <w:rFonts w:hAnsi="黑体" w:cs="Times New Roman"/>
          <w:b/>
          <w:bCs/>
          <w:sz w:val="32"/>
          <w:szCs w:val="32"/>
        </w:rPr>
      </w:pPr>
      <w:r>
        <w:rPr>
          <w:rFonts w:hint="eastAsia" w:hAnsi="黑体"/>
          <w:b/>
          <w:bCs/>
          <w:sz w:val="32"/>
          <w:szCs w:val="32"/>
        </w:rPr>
        <w:t>十、一般性支出情况</w:t>
      </w:r>
    </w:p>
    <w:p>
      <w:pPr>
        <w:pStyle w:val="11"/>
        <w:ind w:firstLine="800" w:firstLineChars="250"/>
        <w:rPr>
          <w:rFonts w:hint="eastAsia" w:ascii="宋体" w:hAnsi="宋体" w:eastAsia="宋体" w:cs="宋体"/>
          <w:color w:val="auto"/>
          <w:sz w:val="32"/>
          <w:szCs w:val="32"/>
          <w:lang w:eastAsia="zh-CN"/>
        </w:rPr>
      </w:pPr>
      <w:r>
        <w:rPr>
          <w:rFonts w:hint="eastAsia" w:ascii="宋体" w:hAnsi="宋体" w:eastAsia="宋体" w:cs="宋体"/>
          <w:sz w:val="32"/>
          <w:szCs w:val="32"/>
        </w:rPr>
        <w:t>2020年本部门开支会议费</w:t>
      </w:r>
      <w:r>
        <w:rPr>
          <w:rFonts w:hint="eastAsia" w:ascii="宋体" w:hAnsi="宋体" w:eastAsia="宋体" w:cs="宋体"/>
          <w:sz w:val="32"/>
          <w:szCs w:val="32"/>
          <w:lang w:val="en-US" w:eastAsia="zh-CN"/>
        </w:rPr>
        <w:t>9.1</w:t>
      </w:r>
      <w:r>
        <w:rPr>
          <w:rFonts w:hint="eastAsia" w:ascii="宋体" w:hAnsi="宋体" w:eastAsia="宋体" w:cs="宋体"/>
          <w:sz w:val="32"/>
          <w:szCs w:val="32"/>
        </w:rPr>
        <w:t>万元，用于召开</w:t>
      </w:r>
      <w:r>
        <w:rPr>
          <w:rFonts w:hint="eastAsia" w:ascii="宋体" w:hAnsi="宋体" w:eastAsia="宋体" w:cs="宋体"/>
          <w:sz w:val="32"/>
          <w:szCs w:val="32"/>
          <w:lang w:eastAsia="zh-CN"/>
        </w:rPr>
        <w:t>镇村干部</w:t>
      </w:r>
      <w:r>
        <w:rPr>
          <w:rFonts w:hint="eastAsia" w:ascii="宋体" w:hAnsi="宋体" w:eastAsia="宋体" w:cs="宋体"/>
          <w:sz w:val="32"/>
          <w:szCs w:val="32"/>
        </w:rPr>
        <w:t>会议</w:t>
      </w:r>
      <w:r>
        <w:rPr>
          <w:rFonts w:hint="eastAsia" w:ascii="宋体" w:hAnsi="宋体" w:eastAsia="宋体" w:cs="宋体"/>
          <w:sz w:val="32"/>
          <w:szCs w:val="32"/>
          <w:lang w:eastAsia="zh-CN"/>
        </w:rPr>
        <w:t>、人大会、工作部署会议等，人数</w:t>
      </w:r>
      <w:r>
        <w:rPr>
          <w:rFonts w:hint="eastAsia" w:ascii="宋体" w:hAnsi="宋体" w:eastAsia="宋体" w:cs="宋体"/>
          <w:sz w:val="32"/>
          <w:szCs w:val="32"/>
          <w:lang w:val="en-US" w:eastAsia="zh-CN"/>
        </w:rPr>
        <w:t>1250余人，内容为扫黄打非工作部署会、禁毒工作安排部署会、森林防火工作部署会、新冠疫苗接种工作安排部署会等</w:t>
      </w:r>
      <w:r>
        <w:rPr>
          <w:rFonts w:hint="eastAsia" w:ascii="宋体" w:hAnsi="宋体" w:eastAsia="宋体" w:cs="宋体"/>
          <w:sz w:val="32"/>
          <w:szCs w:val="32"/>
          <w:lang w:eastAsia="zh-CN"/>
        </w:rPr>
        <w:t>。</w:t>
      </w:r>
      <w:r>
        <w:rPr>
          <w:rFonts w:hint="eastAsia" w:ascii="宋体" w:hAnsi="宋体" w:eastAsia="宋体" w:cs="宋体"/>
          <w:sz w:val="32"/>
          <w:szCs w:val="32"/>
        </w:rPr>
        <w:t>会议费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9.1</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9.1</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r>
        <w:rPr>
          <w:rFonts w:hint="eastAsia" w:ascii="宋体" w:hAnsi="宋体" w:eastAsia="宋体" w:cs="宋体"/>
          <w:sz w:val="32"/>
          <w:szCs w:val="32"/>
          <w:lang w:eastAsia="zh-CN"/>
        </w:rPr>
        <w:t>开支培训费</w:t>
      </w:r>
      <w:r>
        <w:rPr>
          <w:rFonts w:hint="eastAsia" w:ascii="宋体" w:hAnsi="宋体" w:eastAsia="宋体" w:cs="宋体"/>
          <w:sz w:val="32"/>
          <w:szCs w:val="32"/>
          <w:lang w:val="en-US" w:eastAsia="zh-CN"/>
        </w:rPr>
        <w:t>1.2万元，用于镇村干部培训会议等，人员350余人，内容为基层党建业务培训会、意识形态工作学习培训会、财务培训会等。</w:t>
      </w:r>
      <w:r>
        <w:rPr>
          <w:rFonts w:hint="eastAsia" w:ascii="宋体" w:hAnsi="宋体" w:eastAsia="宋体" w:cs="宋体"/>
          <w:sz w:val="32"/>
          <w:szCs w:val="32"/>
          <w:lang w:eastAsia="zh-CN"/>
        </w:rPr>
        <w:t>培训</w:t>
      </w:r>
      <w:r>
        <w:rPr>
          <w:rFonts w:hint="eastAsia" w:ascii="宋体" w:hAnsi="宋体" w:eastAsia="宋体" w:cs="宋体"/>
          <w:sz w:val="32"/>
          <w:szCs w:val="32"/>
        </w:rPr>
        <w:t>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1.2</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1.2</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。本年无</w:t>
      </w:r>
      <w:r>
        <w:rPr>
          <w:rFonts w:hint="eastAsia" w:ascii="宋体" w:hAnsi="宋体" w:eastAsia="宋体" w:cs="宋体"/>
          <w:color w:val="auto"/>
          <w:sz w:val="32"/>
          <w:szCs w:val="32"/>
        </w:rPr>
        <w:t>节庆、晚会、论坛、赛事活动</w:t>
      </w:r>
      <w:r>
        <w:rPr>
          <w:rFonts w:hint="eastAsia" w:ascii="宋体" w:hAnsi="宋体" w:eastAsia="宋体" w:cs="宋体"/>
          <w:color w:val="auto"/>
          <w:sz w:val="32"/>
          <w:szCs w:val="32"/>
          <w:lang w:eastAsia="zh-CN"/>
        </w:rPr>
        <w:t>开支。</w:t>
      </w:r>
    </w:p>
    <w:p>
      <w:pPr>
        <w:pStyle w:val="11"/>
        <w:ind w:firstLine="800" w:firstLineChars="250"/>
        <w:rPr>
          <w:rFonts w:hAnsi="黑体" w:cs="Times New Roman"/>
          <w:b/>
          <w:bCs/>
          <w:sz w:val="32"/>
          <w:szCs w:val="32"/>
        </w:rPr>
      </w:pPr>
      <w:r>
        <w:rPr>
          <w:rFonts w:hint="eastAsia" w:hAnsi="黑体"/>
          <w:b/>
          <w:bCs/>
          <w:sz w:val="32"/>
          <w:szCs w:val="32"/>
        </w:rPr>
        <w:t>十一、关于政府采购支出说明</w:t>
      </w:r>
    </w:p>
    <w:p>
      <w:pPr>
        <w:spacing w:line="600" w:lineRule="exact"/>
        <w:ind w:firstLine="640" w:firstLineChars="200"/>
        <w:rPr>
          <w:rFonts w:eastAsia="仿宋_GB2312"/>
          <w:kern w:val="0"/>
          <w:sz w:val="32"/>
          <w:szCs w:val="32"/>
        </w:rPr>
      </w:pPr>
      <w:r>
        <w:rPr>
          <w:rFonts w:hint="eastAsia" w:ascii="宋体" w:hAnsi="宋体" w:eastAsia="宋体" w:cs="宋体"/>
          <w:color w:val="auto"/>
          <w:sz w:val="32"/>
          <w:szCs w:val="32"/>
        </w:rPr>
        <w:t>本部门2020年度政府采购支出总额</w:t>
      </w:r>
      <w:r>
        <w:rPr>
          <w:rFonts w:hint="eastAsia" w:ascii="宋体" w:hAnsi="宋体" w:eastAsia="宋体" w:cs="宋体"/>
          <w:color w:val="auto"/>
          <w:sz w:val="32"/>
          <w:szCs w:val="32"/>
          <w:lang w:val="en-US" w:eastAsia="zh-CN"/>
        </w:rPr>
        <w:t>30.60</w:t>
      </w:r>
      <w:r>
        <w:rPr>
          <w:rFonts w:hint="eastAsia" w:ascii="宋体" w:hAnsi="宋体" w:eastAsia="宋体" w:cs="宋体"/>
          <w:color w:val="auto"/>
          <w:sz w:val="32"/>
          <w:szCs w:val="32"/>
        </w:rPr>
        <w:t>万元，其中：政府采购货物支出</w:t>
      </w:r>
      <w:r>
        <w:rPr>
          <w:rFonts w:hint="eastAsia" w:ascii="宋体" w:hAnsi="宋体" w:eastAsia="宋体" w:cs="宋体"/>
          <w:color w:val="auto"/>
          <w:sz w:val="32"/>
          <w:szCs w:val="32"/>
          <w:lang w:val="en-US" w:eastAsia="zh-CN"/>
        </w:rPr>
        <w:t>30.60</w:t>
      </w:r>
      <w:r>
        <w:rPr>
          <w:rFonts w:hint="eastAsia" w:ascii="宋体" w:hAnsi="宋体" w:eastAsia="宋体" w:cs="宋体"/>
          <w:color w:val="auto"/>
          <w:sz w:val="32"/>
          <w:szCs w:val="32"/>
        </w:rPr>
        <w:t xml:space="preserve"> 万元、政府采购工程支出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万元、政府采购服务支出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万元。授予中小企业合同金额</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万元，占政府采购支出总额的</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 xml:space="preserve"> %，其中：授予小微企业合同金额</w:t>
      </w:r>
      <w:r>
        <w:rPr>
          <w:rFonts w:hint="eastAsia" w:ascii="宋体" w:hAnsi="宋体" w:eastAsia="宋体" w:cs="宋体"/>
          <w:color w:val="auto"/>
          <w:sz w:val="32"/>
          <w:szCs w:val="32"/>
          <w:lang w:val="en-US" w:eastAsia="zh-CN"/>
        </w:rPr>
        <w:t>30.6</w:t>
      </w:r>
      <w:r>
        <w:rPr>
          <w:rFonts w:hint="eastAsia" w:ascii="宋体" w:hAnsi="宋体" w:eastAsia="宋体" w:cs="宋体"/>
          <w:color w:val="auto"/>
          <w:sz w:val="32"/>
          <w:szCs w:val="32"/>
        </w:rPr>
        <w:t>万元，占政府采购支出总额的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p>
    <w:p>
      <w:pPr>
        <w:pStyle w:val="11"/>
        <w:ind w:firstLine="640" w:firstLineChars="200"/>
        <w:rPr>
          <w:rFonts w:hint="eastAsia" w:ascii="宋体" w:hAnsi="宋体" w:eastAsia="宋体" w:cs="Times New Roman"/>
          <w:color w:val="auto"/>
          <w:sz w:val="32"/>
          <w:szCs w:val="32"/>
          <w:lang w:eastAsia="zh-CN"/>
        </w:rPr>
      </w:pPr>
    </w:p>
    <w:p>
      <w:pPr>
        <w:pStyle w:val="11"/>
        <w:rPr>
          <w:rFonts w:hAnsi="黑体" w:cs="Times New Roman"/>
          <w:b/>
          <w:bCs/>
          <w:sz w:val="32"/>
          <w:szCs w:val="32"/>
        </w:rPr>
      </w:pPr>
      <w:r>
        <w:rPr>
          <w:rFonts w:hint="eastAsia" w:hAnsi="黑体"/>
          <w:b/>
          <w:bCs/>
          <w:sz w:val="32"/>
          <w:szCs w:val="32"/>
        </w:rPr>
        <w:t>十二、关于国有资产占用情况说明</w:t>
      </w:r>
    </w:p>
    <w:p>
      <w:pPr>
        <w:pStyle w:val="11"/>
        <w:ind w:firstLine="640" w:firstLineChars="200"/>
        <w:rPr>
          <w:rFonts w:hint="eastAsia" w:ascii="宋体" w:hAnsi="宋体" w:eastAsia="宋体" w:cs="宋体"/>
          <w:sz w:val="32"/>
          <w:szCs w:val="32"/>
        </w:rPr>
      </w:pPr>
      <w:r>
        <w:rPr>
          <w:rFonts w:hint="eastAsia" w:ascii="宋体" w:hAnsi="宋体" w:eastAsia="宋体" w:cs="宋体"/>
          <w:sz w:val="32"/>
          <w:szCs w:val="32"/>
        </w:rPr>
        <w:t>截至2020年12月31日，本单位共有车辆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辆；单位价值50万元以上通用设备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台；单位价值100万元以上专用设备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w:t>
      </w:r>
    </w:p>
    <w:p>
      <w:pPr>
        <w:pStyle w:val="11"/>
        <w:numPr>
          <w:ilvl w:val="0"/>
          <w:numId w:val="2"/>
        </w:numPr>
        <w:ind w:firstLine="0" w:firstLineChars="0"/>
        <w:rPr>
          <w:rFonts w:hint="eastAsia" w:hAnsi="黑体"/>
          <w:b/>
          <w:bCs/>
          <w:sz w:val="32"/>
          <w:szCs w:val="32"/>
        </w:rPr>
      </w:pPr>
      <w:r>
        <w:rPr>
          <w:rFonts w:hint="eastAsia" w:hAnsi="黑体"/>
          <w:b/>
          <w:bCs/>
          <w:sz w:val="32"/>
          <w:szCs w:val="32"/>
          <w:lang w:eastAsia="zh-CN"/>
        </w:rPr>
        <w:t>国有资本经营预算财政拨款支出决算</w:t>
      </w:r>
      <w:r>
        <w:rPr>
          <w:rFonts w:hint="eastAsia" w:hAnsi="黑体"/>
          <w:b/>
          <w:bCs/>
          <w:sz w:val="32"/>
          <w:szCs w:val="32"/>
        </w:rPr>
        <w:t>情况</w:t>
      </w:r>
    </w:p>
    <w:p>
      <w:pPr>
        <w:pStyle w:val="11"/>
        <w:numPr>
          <w:ilvl w:val="0"/>
          <w:numId w:val="0"/>
        </w:numPr>
        <w:rPr>
          <w:rFonts w:hint="eastAsia" w:hAnsi="黑体" w:eastAsia="宋体"/>
          <w:b/>
          <w:bCs/>
          <w:sz w:val="32"/>
          <w:szCs w:val="32"/>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本</w:t>
      </w:r>
      <w:r>
        <w:rPr>
          <w:rFonts w:hint="eastAsia" w:ascii="宋体" w:hAnsi="宋体" w:eastAsia="宋体" w:cs="宋体"/>
          <w:sz w:val="32"/>
          <w:szCs w:val="32"/>
          <w:lang w:eastAsia="zh-CN"/>
        </w:rPr>
        <w:t>单位无国有资本经营预算支出。</w:t>
      </w:r>
    </w:p>
    <w:p>
      <w:pPr>
        <w:pStyle w:val="11"/>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2020</w:t>
      </w:r>
      <w:r>
        <w:rPr>
          <w:rFonts w:hint="eastAsia" w:hAnsi="黑体"/>
          <w:b/>
          <w:bCs/>
          <w:sz w:val="32"/>
          <w:szCs w:val="32"/>
        </w:rPr>
        <w:t>年度预算绩效情况的说明</w:t>
      </w:r>
    </w:p>
    <w:p>
      <w:pPr>
        <w:pStyle w:val="11"/>
        <w:ind w:firstLine="640" w:firstLineChars="200"/>
        <w:jc w:val="both"/>
        <w:rPr>
          <w:rFonts w:hint="eastAsia" w:ascii="宋体" w:hAnsi="宋体" w:eastAsia="宋体" w:cs="宋体"/>
          <w:sz w:val="32"/>
          <w:szCs w:val="32"/>
        </w:rPr>
      </w:pPr>
      <w:r>
        <w:rPr>
          <w:rFonts w:hint="eastAsia" w:ascii="宋体" w:hAnsi="宋体" w:eastAsia="宋体" w:cs="宋体"/>
          <w:sz w:val="32"/>
          <w:szCs w:val="32"/>
          <w:lang w:eastAsia="zh-CN"/>
        </w:rPr>
        <w:t>本年度无重点绩效评价，</w:t>
      </w:r>
      <w:r>
        <w:rPr>
          <w:rFonts w:hint="eastAsia" w:ascii="宋体" w:hAnsi="宋体" w:eastAsia="宋体" w:cs="宋体"/>
          <w:sz w:val="32"/>
          <w:szCs w:val="32"/>
        </w:rPr>
        <w:t>本部门预算绩效管理开展情况</w:t>
      </w:r>
      <w:r>
        <w:rPr>
          <w:rFonts w:hint="eastAsia" w:ascii="宋体" w:hAnsi="宋体" w:eastAsia="宋体" w:cs="宋体"/>
          <w:sz w:val="32"/>
          <w:szCs w:val="32"/>
          <w:lang w:val="en-US" w:eastAsia="zh-CN"/>
        </w:rPr>
        <w:t>于2021年6月份开始开展，其中</w:t>
      </w:r>
      <w:r>
        <w:rPr>
          <w:rFonts w:hint="eastAsia" w:ascii="宋体" w:hAnsi="宋体" w:eastAsia="宋体" w:cs="宋体"/>
          <w:sz w:val="32"/>
          <w:szCs w:val="32"/>
        </w:rPr>
        <w:t>绩效目标和绩效评价报告等</w:t>
      </w:r>
      <w:r>
        <w:rPr>
          <w:rFonts w:hint="eastAsia" w:ascii="宋体" w:hAnsi="宋体" w:eastAsia="宋体" w:cs="宋体"/>
          <w:sz w:val="32"/>
          <w:szCs w:val="32"/>
          <w:lang w:val="en-US" w:eastAsia="zh-CN"/>
        </w:rPr>
        <w:t>严格按照上级业务部门的要求进行相关业务处理，2020年度部门整体支出绩效评价自评得分96分（详情见附件2020年度部门整体支出绩效评价自评报告）。</w:t>
      </w:r>
    </w:p>
    <w:p>
      <w:pPr>
        <w:pStyle w:val="11"/>
        <w:rPr>
          <w:rFonts w:hAnsi="黑体" w:cs="Times New Roman"/>
          <w:b/>
          <w:bCs/>
          <w:sz w:val="32"/>
          <w:szCs w:val="3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AndChars" w:linePitch="312" w:charSpace="0"/>
        </w:sectPr>
      </w:pPr>
    </w:p>
    <w:p>
      <w:pPr>
        <w:pStyle w:val="11"/>
        <w:jc w:val="both"/>
        <w:rPr>
          <w:rFonts w:cs="Times New Roman"/>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pStyle w:val="11"/>
        <w:ind w:firstLine="640" w:firstLineChars="200"/>
        <w:jc w:val="both"/>
        <w:rPr>
          <w:rFonts w:hint="eastAsia" w:ascii="宋体" w:hAnsi="宋体" w:eastAsia="宋体" w:cs="宋体"/>
          <w:sz w:val="32"/>
          <w:szCs w:val="32"/>
        </w:rPr>
      </w:pPr>
      <w:r>
        <w:rPr>
          <w:rFonts w:ascii="仿宋" w:hAnsi="仿宋" w:eastAsia="仿宋" w:cs="仿宋"/>
          <w:kern w:val="0"/>
          <w:sz w:val="32"/>
          <w:szCs w:val="32"/>
        </w:rPr>
        <w:t xml:space="preserve"> </w:t>
      </w:r>
      <w:r>
        <w:rPr>
          <w:rFonts w:hint="eastAsia" w:ascii="宋体" w:hAnsi="宋体" w:eastAsia="宋体" w:cs="宋体"/>
          <w:sz w:val="32"/>
          <w:szCs w:val="32"/>
          <w:lang w:val="en-US" w:eastAsia="zh-CN"/>
        </w:rPr>
        <w:t>一、基本支出：指单位为保障机构正常运转、完成日常工作任务而发生的各项支出（包括基本工资、津贴补贴等）和公用支出（包括办公费、邮电费、差旅费及印刷费）。</w:t>
      </w:r>
    </w:p>
    <w:p>
      <w:pPr>
        <w:pStyle w:val="11"/>
        <w:ind w:firstLine="640" w:firstLineChars="200"/>
        <w:jc w:val="both"/>
        <w:rPr>
          <w:rFonts w:hint="eastAsia" w:ascii="宋体" w:hAnsi="宋体" w:eastAsia="宋体" w:cs="宋体"/>
          <w:sz w:val="32"/>
          <w:szCs w:val="32"/>
        </w:rPr>
      </w:pPr>
      <w:r>
        <w:rPr>
          <w:rFonts w:hint="eastAsia" w:ascii="宋体" w:hAnsi="宋体" w:eastAsia="宋体" w:cs="宋体"/>
          <w:sz w:val="32"/>
          <w:szCs w:val="32"/>
          <w:lang w:val="en-US" w:eastAsia="zh-CN"/>
        </w:rPr>
        <w:t>二、项目支出：指单位为完成特定的行政工作任务或事业发 展目标，在基本支出之外发生的各项支出。</w:t>
      </w:r>
    </w:p>
    <w:p>
      <w:pPr>
        <w:pStyle w:val="11"/>
        <w:ind w:firstLine="640" w:firstLineChars="200"/>
        <w:jc w:val="both"/>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三、“三公”经费：指因公出国（境）经费、公务用车购置及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w:t>
      </w:r>
    </w:p>
    <w:p>
      <w:pPr>
        <w:pStyle w:val="11"/>
        <w:ind w:firstLine="640" w:firstLineChars="200"/>
        <w:jc w:val="both"/>
        <w:rPr>
          <w:rFonts w:hint="eastAsia" w:ascii="宋体" w:hAnsi="宋体" w:eastAsia="宋体" w:cs="宋体"/>
          <w:sz w:val="32"/>
          <w:szCs w:val="32"/>
        </w:rPr>
      </w:pPr>
      <w:r>
        <w:rPr>
          <w:rFonts w:hint="eastAsia" w:ascii="宋体" w:hAnsi="宋体" w:eastAsia="宋体" w:cs="宋体"/>
          <w:sz w:val="32"/>
          <w:szCs w:val="32"/>
          <w:lang w:val="en-US" w:eastAsia="zh-CN"/>
        </w:rPr>
        <w:t>四、机关运行经费：行政单位（包括参照公务员法管理的事业单位）一般公共预算财政拨款基本支出中的公用支出，包 括办公费、邮电费、差旅费及印刷费等。</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ind w:firstLine="3960" w:firstLineChars="550"/>
        <w:rPr>
          <w:rFonts w:hint="eastAsia" w:ascii="宋体" w:hAnsi="宋体" w:eastAsia="宋体" w:cs="宋体"/>
          <w:sz w:val="72"/>
          <w:szCs w:val="72"/>
        </w:rPr>
      </w:pPr>
      <w:r>
        <w:rPr>
          <w:rFonts w:hint="eastAsia" w:ascii="宋体" w:hAnsi="宋体" w:eastAsia="宋体" w:cs="宋体"/>
          <w:sz w:val="72"/>
          <w:szCs w:val="72"/>
        </w:rPr>
        <w:t>第五部分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附件</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widowControl/>
        <w:ind w:firstLine="960" w:firstLineChars="300"/>
        <w:jc w:val="left"/>
        <w:rPr>
          <w:rFonts w:ascii="黑体" w:eastAsia="黑体" w:cs="Times New Roman"/>
          <w:color w:val="000000"/>
          <w:kern w:val="0"/>
          <w:sz w:val="70"/>
          <w:szCs w:val="70"/>
        </w:rPr>
      </w:pPr>
      <w:r>
        <w:rPr>
          <w:rFonts w:ascii="宋体" w:hAnsi="宋体" w:cs="宋体"/>
          <w:b/>
          <w:bCs/>
          <w:color w:val="000000"/>
          <w:kern w:val="0"/>
          <w:sz w:val="32"/>
          <w:szCs w:val="32"/>
        </w:rPr>
        <w:t>2020</w:t>
      </w:r>
      <w:r>
        <w:rPr>
          <w:rFonts w:hint="eastAsia" w:ascii="宋体" w:hAnsi="宋体" w:cs="宋体"/>
          <w:b/>
          <w:bCs/>
          <w:color w:val="000000"/>
          <w:kern w:val="0"/>
          <w:sz w:val="32"/>
          <w:szCs w:val="32"/>
        </w:rPr>
        <w:t>年度部门整体支出绩效评价报告</w:t>
      </w: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tabs>
          <w:tab w:val="left" w:pos="6480"/>
        </w:tabs>
        <w:spacing w:line="600" w:lineRule="exact"/>
        <w:jc w:val="center"/>
        <w:rPr>
          <w:rFonts w:ascii="宋体" w:hAnsi="宋体" w:cs="方正小标宋_GBK"/>
          <w:b/>
          <w:sz w:val="44"/>
          <w:szCs w:val="44"/>
        </w:rPr>
      </w:pPr>
      <w:r>
        <w:rPr>
          <w:rFonts w:hint="eastAsia" w:ascii="宋体" w:hAnsi="宋体" w:cs="方正小标宋_GBK"/>
          <w:b/>
          <w:bCs/>
          <w:sz w:val="44"/>
          <w:szCs w:val="44"/>
        </w:rPr>
        <w:t>部门整体支出绩效评价报告</w:t>
      </w:r>
    </w:p>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（湘潭县杨嘉桥镇人民政府）</w:t>
      </w:r>
    </w:p>
    <w:p>
      <w:pPr>
        <w:tabs>
          <w:tab w:val="left" w:pos="6480"/>
        </w:tabs>
        <w:spacing w:line="600" w:lineRule="exact"/>
        <w:jc w:val="center"/>
        <w:rPr>
          <w:rFonts w:ascii="宋体" w:hAnsi="宋体" w:cs="方正小标宋_GBK"/>
          <w:b/>
          <w:sz w:val="36"/>
          <w:szCs w:val="36"/>
        </w:rPr>
      </w:pP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050"/>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725"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单位</w:t>
            </w:r>
          </w:p>
          <w:p>
            <w:pPr>
              <w:spacing w:line="576" w:lineRule="exact"/>
              <w:jc w:val="center"/>
              <w:rPr>
                <w:rFonts w:ascii="仿宋_GB2312" w:hAnsi="宋体" w:eastAsia="仿宋_GB2312" w:cs="宋体"/>
                <w:sz w:val="24"/>
              </w:rPr>
            </w:pPr>
            <w:r>
              <w:rPr>
                <w:rFonts w:hint="eastAsia" w:ascii="仿宋_GB2312" w:hAnsi="宋体" w:eastAsia="仿宋_GB2312" w:cs="宋体"/>
                <w:sz w:val="24"/>
              </w:rPr>
              <w:t>名称</w:t>
            </w:r>
          </w:p>
        </w:tc>
        <w:tc>
          <w:tcPr>
            <w:tcW w:w="7264" w:type="dxa"/>
            <w:vAlign w:val="center"/>
          </w:tcPr>
          <w:p>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湘潭县杨嘉桥镇人民政府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7264" w:type="dxa"/>
            <w:vAlign w:val="center"/>
          </w:tcPr>
          <w:p>
            <w:pPr>
              <w:spacing w:line="576" w:lineRule="exact"/>
              <w:ind w:right="879" w:rightChars="419"/>
              <w:jc w:val="center"/>
              <w:rPr>
                <w:rFonts w:ascii="仿宋_GB2312" w:hAnsi="宋体" w:eastAsia="仿宋_GB2312" w:cs="宋体"/>
                <w:sz w:val="24"/>
              </w:rPr>
            </w:pPr>
            <w:r>
              <w:rPr>
                <w:rFonts w:hint="eastAsia" w:ascii="仿宋_GB2312" w:hAnsi="仿宋_GB2312" w:eastAsia="仿宋_GB2312" w:cs="仿宋_GB2312"/>
                <w:color w:val="000000"/>
                <w:sz w:val="24"/>
              </w:rPr>
              <w:t>5968万元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主管</w:t>
            </w:r>
          </w:p>
          <w:p>
            <w:pPr>
              <w:spacing w:line="576" w:lineRule="exact"/>
              <w:jc w:val="center"/>
              <w:rPr>
                <w:rFonts w:ascii="仿宋_GB2312" w:hAnsi="宋体" w:eastAsia="仿宋_GB2312" w:cs="宋体"/>
                <w:sz w:val="24"/>
              </w:rPr>
            </w:pPr>
            <w:r>
              <w:rPr>
                <w:rFonts w:hint="eastAsia" w:ascii="仿宋_GB2312" w:hAnsi="宋体" w:eastAsia="仿宋_GB2312" w:cs="宋体"/>
                <w:sz w:val="24"/>
              </w:rPr>
              <w:t>部门</w:t>
            </w:r>
          </w:p>
        </w:tc>
        <w:tc>
          <w:tcPr>
            <w:tcW w:w="7264" w:type="dxa"/>
            <w:vAlign w:val="center"/>
          </w:tcPr>
          <w:p>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7264" w:type="dxa"/>
            <w:vAlign w:val="center"/>
          </w:tcPr>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（1）在镇党委的领导下，贯彻执行党的路线、方针、政策和国家的各项法律、法规；负责镇辖区内地区性、群众性、公益性、社会性工作。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（2）负责精神文明建设工作，积极组织以提高民众素质为目的的活动，树立文明新风。</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（3）按照职责范围，负责镇辖区内的建设和管理、环境卫生、环境保护等监督、管理、服务工作。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（4）负责镇辖区内的维护稳定及社会治安综合治理工作，依照有关规定做好出租屋和外来暂住人员的管理工作；负责民事调解，法律服务工作，维护居民的合法权益。</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负责村、居委会的建设和管理，积极开展镇区服务工作，大力兴办福利企业，发动和组织镇区成员开展各类公益活动；负责拥军优属、优抚安置、社会救济、社会福利、社区文化、科普、体育、教育等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（6）发展镇区经济，为镇区经济组织提供人才、科技、信息和各类服务，以经济、法律和必要的行政手段推动镇区经济发展和维护市场经济秩序。</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（7）负责计划生育、劳动就业、安全生产管理、初级卫生保健、民兵、兵役、侨务等工作。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（8）指导和帮助居民委员会搞好组织建设和制度建设，发挥居民委员会的群众自治组织作用。</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（9）配合有关部门做好房屋拆迁、防汛、防风、防火、动物防疫、防震、防灾和抢险工作。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（10）向县人民政府反映居民群众的意见和要求，办理人民群众来信来访事项。</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（11）负责辖区内普法教育工作，维护老人、妇女儿童的合法权益。</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（12）负责辖区内安全生产和消防工作的指导、监督。</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（13）会同有关部门做好辖区内的企业服务、在地统计工作。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（14）承办镇党委和上级部门交办的其他事项。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2" w:hRule="atLeast"/>
          <w:jc w:val="center"/>
        </w:trPr>
        <w:tc>
          <w:tcPr>
            <w:tcW w:w="725"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7264" w:type="dxa"/>
            <w:vAlign w:val="center"/>
          </w:tcPr>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始终认真贯彻执行《会计法》、《预算法》、《行政单位会计制度》等法律法规，各项经费支出严格按照政府采购、国库集中支付等有关规定执行。同时我镇先后制订了《湘潭县杨嘉桥镇预算管理制度》、《湘潭县杨嘉桥镇政府采购管理办法》、《湘潭县杨嘉桥镇财务管理制度》、《湘潭县杨嘉桥镇支出管理制度》、《湘潭县杨嘉桥镇固定资产管理办法》等相关制度，明确了经费审批权限及程序，经费预算、核算管理、资产购置与处置、财务监督等。在“三公”经费管理方面，规范了公务接待的审批管理，较好地控制了行政运行成本。2020年部门整体支出5161.83万元，支出按支出性质分类为：基本支出5161.83万元（其中：人员经费2657.34万元，日常公用经费2504.49万元）。支出按经济分类为：工资福利支出万1585.51元，商品和服务支出1928.87万元，对个人和家庭的补助1071.83万元，其他资本性支出575.62万元。2020年“三公”经费16.</w:t>
            </w:r>
            <w:r>
              <w:rPr>
                <w:rFonts w:hint="eastAsia" w:ascii="仿宋_GB2312" w:hAnsi="仿宋_GB2312" w:eastAsia="仿宋_GB2312" w:cs="仿宋_GB2312"/>
                <w:color w:val="000000"/>
                <w:sz w:val="24"/>
                <w:lang w:val="en-US" w:eastAsia="zh-CN"/>
              </w:rPr>
              <w:t>29</w:t>
            </w:r>
            <w:r>
              <w:rPr>
                <w:rFonts w:hint="eastAsia" w:ascii="仿宋_GB2312" w:hAnsi="仿宋_GB2312" w:eastAsia="仿宋_GB2312" w:cs="仿宋_GB2312"/>
                <w:color w:val="000000"/>
                <w:sz w:val="24"/>
              </w:rPr>
              <w:t>万元,其中公务接待16.</w:t>
            </w:r>
            <w:r>
              <w:rPr>
                <w:rFonts w:hint="eastAsia" w:ascii="仿宋_GB2312" w:hAnsi="仿宋_GB2312" w:eastAsia="仿宋_GB2312" w:cs="仿宋_GB2312"/>
                <w:color w:val="000000"/>
                <w:sz w:val="24"/>
                <w:lang w:val="en-US" w:eastAsia="zh-CN"/>
              </w:rPr>
              <w:t>29</w:t>
            </w:r>
            <w:r>
              <w:rPr>
                <w:rFonts w:hint="eastAsia" w:ascii="仿宋_GB2312" w:hAnsi="仿宋_GB2312" w:eastAsia="仿宋_GB2312" w:cs="仿宋_GB2312"/>
                <w:color w:val="000000"/>
                <w:sz w:val="24"/>
              </w:rPr>
              <w:t xml:space="preserve">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7264" w:type="dxa"/>
            <w:vAlign w:val="center"/>
          </w:tcPr>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今年以来，我镇在县委、县政府的坚强领导下，以习近平新时代中国特色社会主义思想为指导，全镇干部团结奋进，埋头苦干，全力打好新冠肺炎防疫阻击战，努力克服疫情的不利影响，经济和社会各项事业发展势头良好，现将近一年来的工作情况总结如下。</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疫情防控有力有序，社会经济稳步复苏。年初爆发的新冠肺炎疫情打乱了我镇经济发展的步伐，镇党委、政府以“人民至上，生命至上”为原则，将疫情防控作为年初最重要的工作来抓。党政主要负责人从除夕开始带头取消休假，每日到岗指挥调度全镇防控工作；镇村两级基层干部以高度的责任心和使命感，纷纷取消休假到各村、社区防疫一线开展工作。今年已累计摸排湖北、北京、境外等中高风险地区来潭返潭人员505人，车辆信息1231条，杨嘉桥籍境外人员31人，核实大数据1694条，电子健康码注册率高达99%，稳居全县前列;对返潭人员落实隔离管控和人文关怀，做到“隔离”不隔情、“隔疫”不隔爱。在做好疫情防控的前提下，全镇企业于3月6日全面实现复工复产，餐饮、娱乐等行业也逐渐开始恢复。基层干部坚守岗位，认真履职，确保了政府能正常运转，中央和上级党委政府的各项决策部署得以贯彻落实，为经济平稳恢复提供了保障。迄今为止，我镇无一人感染新冠肺炎，疫情防控赢得了阶段性胜利。</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三大攻坚稳打稳扎，社会大局总体稳定。一是精准扶贫获得全面胜利。在全镇的共同努力下，991户2430名贫困户均稳定达到了“两不愁三保障”</w:t>
            </w:r>
            <w:bookmarkStart w:id="2" w:name="_GoBack"/>
            <w:bookmarkEnd w:id="2"/>
            <w:r>
              <w:rPr>
                <w:rFonts w:hint="eastAsia" w:ascii="仿宋_GB2312" w:hAnsi="仿宋_GB2312" w:eastAsia="仿宋_GB2312" w:cs="仿宋_GB2312"/>
                <w:color w:val="000000"/>
                <w:sz w:val="24"/>
              </w:rPr>
              <w:t>的要求，最后的47户65名未脱贫户也在年内如期完成了脱贫目标,圆满完成了打赢脱贫攻坚战这项政治任务。产业扶贫创新发展。根据镇域实际，引进了“一亩田”脱贫模式，借力种养大户开展产业扶贫，依托产业加就业双引擎支撑，助推贫困群众增产增收。玉桥养鸡合作社创新开展手机直播销售，带动群众脱贫取得了良好的成效，获得了央视的报道。银河商贸公司打造了扶贫超市，以“扶贫小店+农产品+贫困户”的模式，通过互联网直播带货，拓宽销售渠道，有效解决了农产品销售难题。就业扶贫提质增效。为248名贫困劳动力申请办理交通补助，为32人发放一次性创业求职补贴14.6万元，安排贫困劳动力就业62人，发放交通补贴904人次18.5万元，实现“就业一个、脱贫一户”。危房改造全面覆盖。逐村走访、重点摸排，拨付68.1万元改造了35户危房，全面实现了“危房不住人、住人无危房”。兜底保障精准落实。对681户1401人全年发放农村低保338万元，对分散供养和集中供养的515名农村特困人员每月足额发放特困保障金。春季雨露计划上报符合教育补助资质的学生66人。二是环境污染得到有效遏制。办理了全国固定污染源排污登记企业、主体120家，完成了农村生活污水、黑臭水体的摸排工作及饮用水源地整治工作。“镇主导、村负责、组管户”秸秆禁烧机制进一步健全，政府与全镇的种植大户、合作组织、家庭农场签订责任承诺书85份，把扶持资金与禁烧工作挂钩，种植大户、合作组织、家庭秸秆禁烧和粉碎还田利用得到进一步落实。执法队严肃处理了几起秸秆焚烧的违法行为，起到了有效震慑作用，秸秆焚烧情况得到了有效遏制，今年空气质量明显好转，“蓝天白云”日数较往年明显增多。三是重大风险得到有效防范。通过宣传画、宣传栏、电子显示屏、微信等新媒体宣传方式对全镇进行宣传排查，防范化解涉众型非法经营活动取得了良好的成效。发现“德寿养老”项目有非法集资的苗头后，相关职能部门立即处置，严厉打击，及时维护了群众的利益，切实做到了思想认识到位，组织领导到位，打击处置到位，督导问责到位。今年全镇没有发生过涉众型非法经营活动和重大金融诈骗案件,确保了社会经济秩序和谐稳定。四是矛盾纠纷得到有效化解。通过认真研究分析矛盾纠纷，成功化解3件信访积案，签订了息访息诉协议，全年没有一例进京滋事、集访、非访，实现了“五个不发生”的工作目标。限时办结省委巡视组在“潭”交办15件信访件和省信访信息系统57件信访件，排查纠纷65起，镇村两级分别成功调处矛盾纠纷54起和414起，做到了“小事不出村,大事不出镇”。五是社会秩序持续和谐稳定。继续保持了对毒品违法犯罪的严打高压态势，坚持宣传教育和严打整治相结合，健全了组织领导，完善了规章制度，落实了各项措施。截至目前组织了禁毒宣传活动3次，悬挂横幅80余条，张贴宣传标语200余份，发放宣传资料1000余份，广大群众的防毒拒毒意识有了明显增强，取得了较好成效。发放扫黑除恶和反邪教宣传资料20000余份，深入开展“打盗抢、除黑恶、治乱源”严打整治行动，受理各类报警1215起，治安案件202起，侦破刑事案件23起。综合行政执法工作成绩显著，严厉打击了违法用地，盗采矿产资源等行为，罚没款收入56万余元，行政执法竞赛成绩位居全县前列。社会管理综合治理各方面工作进一步得到加强，刑事治安案件呈下降趋势，全镇基本实现了无黄赌毒、无法轮功等邪教活动，群众对我镇平安建设工作满意度位居全县第4名。</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乡村振兴稳步推进，集体经济逐步壮大。我镇乡村振兴工作实行镇党委统一领导、领导小组推进落实、部门合力共为、组织实施、责任层层压实的工作机制。领导小组坚持“一季一调度”，紧盯指标内容，逐条抓好落实。领导小组成员单位各自制定具体工作方案，明确工作目标、重点任务和保障措施，及时研究乡村振兴实施过程中的问题，并及时向领导小组汇报。</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1.农业生产保持稳定。全年未发生重大水灾旱灾，农业机械化基本普及。全镇水稻种植面积达9.4万亩，粮食总产量8.6万吨，推广优质稻种植面积达6.3万亩，优质稻总产量5.2万吨。完成冬种油菜面积10082 亩，创建九江村冬种油菜千亩示范片。加大植树造林力度，完成造林200亩，封山育林300亩，中幼林抚育间伐300亩，种植林木8万多株。农村集体产权制度改革工作全面完成，新增合作社2家，家庭农场1家，1.8万余亩流转土地正常生产经营。畜牧业稳步发展，专业技术人员累计消毒猪圈10万平方，技术指导养殖户150人次，做好了生猪防疫工作，确保全年无大的疫情发生。全镇生猪养殖户1200余户，新引进种猪4550头，存栏生猪9万头，生猪养殖正在逐渐恢复。</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确权颁证圆满完成。农村集体产权制度改革工作已于8月通过省市县三级验收，核实资产总额共计8567.45万元，集体土地158544.75亩，整体完成成员身份确认总户数16808户，总人数59877人。21个村全部完成确权颁证工作，数据质量通过各级检查，已上报至县农业农村局。</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环境整治成效显著。镇区污水处理厂已建成，污水处理能力预计达500吨/天。大部分村实施农村生活垃圾处理付费制度，圆满完成了“厕所革命”任务600个。规范了镇区道路标线、标牌，清理陈年垃圾600余吨，卫生死角640余处，清理沟渠池塘1000余处，新增垃圾桶200个，新设停车位60个，拆除了高空废旧招牌，铲除了牛皮癣式小广告，店外经营现象得到了有效治理。今年二季度我镇被评为湘潭市“五好乡镇”，第三季度也获得了县整治办较高的评价。11月底，我镇通过了“市级卫生乡镇”评估验收。</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集体经济日益壮大。金河村、白鹿村盘活村集体建设用地、闲置校舍、村部、旧厂房等不动产及企业经营权，通过招标出租、股份制合作等形式，实现资产保值增值。金洪村通过对外承包村集体渔场，增加了集体组织收入。同福村、金福村引进工厂，解决了几十名当地群众的就业问题。金福村率先申报并成功创建湖南省两型社会示范村，获得省发改委两型示范创建项目资金支持50万元，用于村级项目建设和环境改善。白鹿村成功申报了省发展村级集体经济项目资金，为集体经济增收打下了坚实的基础。</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招商引资势头良好，项目建设热火朝天。今年以来已引进通洋物流、意祥新能源、中恒电力、正达包装4个项目，中成科技项目拟投资过亿元，正在洽谈中。原已投产的嘉鸿包装项目效益远超预期，继续加大了投资力度，扩建项目已被批准，现已完成了土地测绘工作；春节过后，沃地肥业项目率先建成投产；瑞嘉金属资源综合利用项目7月开始试生产，9月已经正式投产，目前产销两旺，预计今年可保底完成税收2亿元。许广高速杨嘉桥互通-S325公路项目提前一个月竣工通车；西二环项目已做了大量前期工作，为项目建设顺利开展打下了良好的基础；镇人大会票决的民生实事工程完成情况良好，政务（便民）服务中心已高标准建成，峡山口街区提质改造项目正在抓紧时间建设，预计年底可建成；金笔村美丽乡村暨人居环境整治示范点项目，已完成立项、调规等工作，正在进行施工；涟水堤正福公路段大修工程圆满完成；精心维护了垃圾焚烧发电项目的建设环境，为该项目平稳推进作出了重大贡献；杨河工业园的瑞嘉金属、通洋物流等项目未来有望带动相关上下游产业发展，助推园区向集约集群、高质量方向发展。</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础设施提质升级、城镇发展步伐加快。今年以湘潭县创建全国文明城市为契机，投资600余万元对城镇的基础设施进行了提质改造，大大方便了群众的生活，为我县创建全国文明城市作出了贡献。一是投资30余万元新建3个农贸市场，投资100余万元改造了杨嘉桥镇农贸市场，杜绝了原来马路市场的交通隐患问题。二是整修了镇区1.5公里老街，路面铺设了沥青混凝土，疏通了两侧下水道、美化了路边花坛。三是建设了全长850米，宽7米的青湖路，有效缓解了镇区的交通拥堵问题。四是铺设了老街污水管网，解决了困扰群众多年的暴雨内涝问题。五是对三角坪至青湖桥、供电所至湘湘干线出口道路进行提质改造，多处破损路面得到了修补。杨河工业园的天然气已经与城区联网，自来水管道正在施工，即将接入城区网络，杨河片区的小城镇进程将进一步加快。涟水、烈雁金河大堤水利设施得到了更新和维护，对4座小型水库、24公里涟水大堤边坡及烈雁金河沿岸进行了清杂扫障，防汛抗旱能力进一步得到了巩固。</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事业均衡发展，民生福祉不断增强。文教事业欣欣向荣。全镇学龄前儿童入园率和年满六周岁儿童入学率均达到了100%。投资70余万元对部分校舍进行了维修改造，办学条件进一步得到改善。合理规划整合了教育资源，合并了两所微小学校，进一步提升了教学质量，全镇初中毕业生升学率高达92.3%。卫计服务不断提升。在全县率先实现了村卫生室产权公有化。完成免费孕前优生健康检查226对，两癌免费筛查750人，义务献血40余人次，被评为湘潭市献血先进单位。全年向计生奖扶对象898人，特扶对象52人，城镇独生子女父母奖励对象380人共计发放146.56万元。加强了精神病人肇事肇祸的预防管理，联合相关职能部门通过以奖代补的方式引导精神障碍患者家庭落实好监护责任，及时救治了13名重度精神病患者。惠民利民成效显著。第七次全国人口普查工作推进得力，完成了房屋标注、户籍底册摸底、第一轮短表正式普查，第二轮长表正式普查等工作，基本完成了查漏改错工作，工作成绩得到了县人普办肯定。完成城乡居民医保征缴48707人，参保率达90%以上。完成城乡居民养老保险征缴9981人，基金征缴达136万余元。农村劳动力转移就业完成288人，完成率110%；城镇新增就业完成409人，完成率102%。全年开展临时救助425次，发放退役军人优待金17万元，做好了孤儿、困境儿童申报、事实无人扶养儿童工作。安全生产持续增强。积极开展交通顽瘴痼疾整治工作，全面杜绝了马路市场，取缔了5处，搬迁了6处。认真排查整治了10处较大安全隐患，加强了源头治超监管工作，责令1家企业停产整顿。按县海事处的要求，撤销了棋梓滩和黄草港两处渡口。安委会认真组织相关职能站所开展安全生产“大排查大管控大整治”行动，全年出动车辆215车次，检查人员615人次，检查、巡查单位171家次，共下达现场检查记录143份，责令整改指令书114份，整改复查意见书114份，排查安全隐患共计152处，今年全镇未发生重大安全事故。党管武装更上台阶。进一步做好了国防潜力调查工作，对全镇具备国防潜力的人员、单位、企业等进行了摸底，对相关装备进行了预征预储。完成了基干民兵调整改革任务，编入县应急连森林防火排21人，镇本级基干民兵83人，在森林防火、防汛抗旱、处突维稳方面发挥了重要作用。全面完成了184名大学毕业生应征入伍走访工作，输送5名大学毕业生应征入伍，大学生士兵占比达60%以上，为国防事业输送了优秀人才。投入13万余元对镇武装部及村级民兵连进行了星级达标规范化建设，基层阵地建设逐步完善，已通过县人武部3星级验收，为下一步将创4星级打下了坚实基础。</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务审批不断简化，便民服务更加贴心。坚持以人民为中心的发展思想，深入推进“放管服”改革，着力构建“只进一扇门”“最多跑一次”“一网通办”的审批服务模式。今年投入100万元新建了建筑面积达100余平方的政务（便民）服务中心，整合了7个业务窗口，接入了政务服务一体化平台，实现了“让数据多跑腿，群众少跑路”。完善了全镇23个村（社区）便民服务综合平台建设，配备了专职“一门式”岗位工作人员，群众在家门口即可享受方便快捷的服务，打通了服务群众的“最后一公里”。</w:t>
            </w:r>
          </w:p>
          <w:p>
            <w:pPr>
              <w:autoSpaceDN w:val="0"/>
              <w:spacing w:line="360" w:lineRule="auto"/>
              <w:jc w:val="left"/>
              <w:textAlignment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725"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7264" w:type="dxa"/>
            <w:vAlign w:val="center"/>
          </w:tcPr>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预算执行存在偏差，本年度实际公用经费支出高于预算，说明预算编制与实际情况存在偏差，公用经费的控制和核算还有待进一步加强。</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建议：按照预算单位实际情况做足预算，减少非政策性预算调整。县乡财政体制基数保障不足，建议党委政府向县委县政府反映乡镇实际情况，争取县财政体制足额保障基本运转经费。建议党委政府按照县委县政府税收管理文件要求，制定好符合我镇实际情况的激励机制和政策，壮大我镇园区企业，发挥好税源最大潜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改进</w:t>
            </w:r>
          </w:p>
          <w:p>
            <w:pPr>
              <w:spacing w:line="576" w:lineRule="exact"/>
              <w:jc w:val="center"/>
              <w:rPr>
                <w:rFonts w:ascii="仿宋_GB2312" w:hAnsi="宋体" w:eastAsia="仿宋_GB2312" w:cs="宋体"/>
                <w:sz w:val="24"/>
              </w:rPr>
            </w:pPr>
            <w:r>
              <w:rPr>
                <w:rFonts w:hint="eastAsia" w:ascii="仿宋_GB2312" w:hAnsi="宋体" w:eastAsia="仿宋_GB2312" w:cs="宋体"/>
                <w:sz w:val="24"/>
              </w:rPr>
              <w:t>措施</w:t>
            </w:r>
          </w:p>
        </w:tc>
        <w:tc>
          <w:tcPr>
            <w:tcW w:w="7264" w:type="dxa"/>
            <w:vAlign w:val="center"/>
          </w:tcPr>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一、加强预算严格控制开支；二、不断完善并加强内控制度的执行；三、严格执行资金的收支控制;四、加强岗位实务学习与培训工作。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7264" w:type="dxa"/>
            <w:vAlign w:val="center"/>
          </w:tcPr>
          <w:p>
            <w:pPr>
              <w:spacing w:line="576" w:lineRule="exact"/>
              <w:ind w:right="879" w:rightChars="419"/>
              <w:jc w:val="center"/>
              <w:rPr>
                <w:rFonts w:hint="eastAsia" w:ascii="仿宋_GB2312" w:hAnsi="宋体" w:eastAsia="仿宋_GB2312" w:cs="宋体"/>
                <w:sz w:val="24"/>
                <w:lang w:val="en-US" w:eastAsia="zh-CN"/>
              </w:rPr>
            </w:pPr>
            <w:r>
              <w:rPr>
                <w:rFonts w:hint="eastAsia" w:ascii="仿宋_GB2312" w:hAnsi="宋体" w:eastAsia="仿宋_GB2312" w:cs="宋体"/>
                <w:sz w:val="24"/>
                <w:lang w:val="en-US" w:eastAsia="zh-CN"/>
              </w:rPr>
              <w:t>无</w:t>
            </w:r>
          </w:p>
        </w:tc>
      </w:tr>
    </w:tbl>
    <w:p>
      <w:pPr>
        <w:jc w:val="left"/>
        <w:rPr>
          <w:rFonts w:ascii="宋体" w:cs="Times New Roman"/>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F73914D-1723-42D7-9743-BCED820F9A76}"/>
  </w:font>
  <w:font w:name="黑体">
    <w:panose1 w:val="02010609060101010101"/>
    <w:charset w:val="86"/>
    <w:family w:val="auto"/>
    <w:pitch w:val="default"/>
    <w:sig w:usb0="800002BF" w:usb1="38CF7CFA" w:usb2="00000016" w:usb3="00000000" w:csb0="00040001" w:csb1="00000000"/>
    <w:embedRegular r:id="rId2" w:fontKey="{6A10DA81-414C-4391-98B3-BB8CB2694E1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3" w:fontKey="{2B2AD351-8758-44E3-8E39-B845A344A00D}"/>
  </w:font>
  <w:font w:name="方正小标宋_GBK">
    <w:panose1 w:val="02000000000000000000"/>
    <w:charset w:val="86"/>
    <w:family w:val="script"/>
    <w:pitch w:val="default"/>
    <w:sig w:usb0="A00002BF" w:usb1="38CF7CFA" w:usb2="00082016" w:usb3="00000000" w:csb0="00040001" w:csb1="00000000"/>
    <w:embedRegular r:id="rId4" w:fontKey="{61A93155-9418-4804-9157-5F0180935D28}"/>
  </w:font>
  <w:font w:name="仿宋">
    <w:panose1 w:val="02010609060101010101"/>
    <w:charset w:val="86"/>
    <w:family w:val="auto"/>
    <w:pitch w:val="default"/>
    <w:sig w:usb0="800002BF" w:usb1="38CF7CFA" w:usb2="00000016" w:usb3="00000000" w:csb0="00040001" w:csb1="00000000"/>
    <w:embedRegular r:id="rId5" w:fontKey="{40A59288-5AC6-48AB-BA3D-D1B7B5D0F91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E17582"/>
    <w:multiLevelType w:val="singleLevel"/>
    <w:tmpl w:val="1BE17582"/>
    <w:lvl w:ilvl="0" w:tentative="0">
      <w:start w:val="13"/>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4NzgxNTgyOTMwMmFiYmQxZmY4ODg3OWJhODk4MTU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27C5214"/>
    <w:rsid w:val="02E76D69"/>
    <w:rsid w:val="06101C58"/>
    <w:rsid w:val="06B37672"/>
    <w:rsid w:val="0AD3655E"/>
    <w:rsid w:val="0B0F319A"/>
    <w:rsid w:val="10967755"/>
    <w:rsid w:val="112F445D"/>
    <w:rsid w:val="11D71831"/>
    <w:rsid w:val="124E765D"/>
    <w:rsid w:val="135160CC"/>
    <w:rsid w:val="15C31904"/>
    <w:rsid w:val="163D0024"/>
    <w:rsid w:val="18410A13"/>
    <w:rsid w:val="197D7485"/>
    <w:rsid w:val="1D1D4003"/>
    <w:rsid w:val="1DCD2D51"/>
    <w:rsid w:val="1E0265CC"/>
    <w:rsid w:val="1FB104BE"/>
    <w:rsid w:val="20CE7B22"/>
    <w:rsid w:val="2608043C"/>
    <w:rsid w:val="284E65ED"/>
    <w:rsid w:val="2ADD2863"/>
    <w:rsid w:val="2AF510F1"/>
    <w:rsid w:val="2B0D5850"/>
    <w:rsid w:val="2C4A1F29"/>
    <w:rsid w:val="2C6729B6"/>
    <w:rsid w:val="2F355C8E"/>
    <w:rsid w:val="3124429C"/>
    <w:rsid w:val="31C61972"/>
    <w:rsid w:val="31CD5F3F"/>
    <w:rsid w:val="36DD6ED4"/>
    <w:rsid w:val="37BC3AC5"/>
    <w:rsid w:val="39132A95"/>
    <w:rsid w:val="3A505044"/>
    <w:rsid w:val="3DAA6DEC"/>
    <w:rsid w:val="4157042E"/>
    <w:rsid w:val="41981026"/>
    <w:rsid w:val="42797335"/>
    <w:rsid w:val="435140E5"/>
    <w:rsid w:val="438F25E2"/>
    <w:rsid w:val="43AE463F"/>
    <w:rsid w:val="44292F78"/>
    <w:rsid w:val="44581571"/>
    <w:rsid w:val="44EB58E1"/>
    <w:rsid w:val="46756350"/>
    <w:rsid w:val="47476709"/>
    <w:rsid w:val="474B2221"/>
    <w:rsid w:val="497A278E"/>
    <w:rsid w:val="49B370A7"/>
    <w:rsid w:val="4A17336E"/>
    <w:rsid w:val="4AD00DD8"/>
    <w:rsid w:val="4BA869D5"/>
    <w:rsid w:val="4C4E3B8D"/>
    <w:rsid w:val="4F8D3B03"/>
    <w:rsid w:val="502E1DA6"/>
    <w:rsid w:val="51021967"/>
    <w:rsid w:val="51283D83"/>
    <w:rsid w:val="52A23E03"/>
    <w:rsid w:val="52B633F7"/>
    <w:rsid w:val="54751090"/>
    <w:rsid w:val="551F163C"/>
    <w:rsid w:val="556B1A0F"/>
    <w:rsid w:val="56424565"/>
    <w:rsid w:val="576E1A54"/>
    <w:rsid w:val="57F10EA3"/>
    <w:rsid w:val="57FF79E1"/>
    <w:rsid w:val="5856312C"/>
    <w:rsid w:val="5A920684"/>
    <w:rsid w:val="5F2525D5"/>
    <w:rsid w:val="60373FCC"/>
    <w:rsid w:val="608D71FE"/>
    <w:rsid w:val="62217F0A"/>
    <w:rsid w:val="62E3005A"/>
    <w:rsid w:val="63657CFF"/>
    <w:rsid w:val="6375739A"/>
    <w:rsid w:val="63954E6E"/>
    <w:rsid w:val="644C1AA2"/>
    <w:rsid w:val="64F422BE"/>
    <w:rsid w:val="65445244"/>
    <w:rsid w:val="654E63DB"/>
    <w:rsid w:val="663A199C"/>
    <w:rsid w:val="66AC1CAB"/>
    <w:rsid w:val="68B97582"/>
    <w:rsid w:val="68F4768C"/>
    <w:rsid w:val="69BD5CAE"/>
    <w:rsid w:val="6B06502A"/>
    <w:rsid w:val="6B2A021D"/>
    <w:rsid w:val="6B6F7227"/>
    <w:rsid w:val="6BB16924"/>
    <w:rsid w:val="6BD663EF"/>
    <w:rsid w:val="6D9D447C"/>
    <w:rsid w:val="6E09513B"/>
    <w:rsid w:val="6E0A3446"/>
    <w:rsid w:val="6E614F55"/>
    <w:rsid w:val="6FD570F1"/>
    <w:rsid w:val="714448E2"/>
    <w:rsid w:val="727A2170"/>
    <w:rsid w:val="75740158"/>
    <w:rsid w:val="76C51E30"/>
    <w:rsid w:val="79C766C2"/>
    <w:rsid w:val="7CD448F4"/>
    <w:rsid w:val="7CE13AD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7">
    <w:name w:val="Normal Table"/>
    <w:unhideWhenUsed/>
    <w:qFormat/>
    <w:uiPriority w:val="99"/>
    <w:tblPr>
      <w:tblCellMar>
        <w:top w:w="0" w:type="dxa"/>
        <w:left w:w="108" w:type="dxa"/>
        <w:bottom w:w="0" w:type="dxa"/>
        <w:right w:w="108" w:type="dxa"/>
      </w:tblCellMar>
    </w:tblPr>
  </w:style>
  <w:style w:type="paragraph" w:customStyle="1" w:styleId="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Balloon Text"/>
    <w:basedOn w:val="1"/>
    <w:link w:val="13"/>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Header Char"/>
    <w:basedOn w:val="8"/>
    <w:link w:val="5"/>
    <w:qFormat/>
    <w:locked/>
    <w:uiPriority w:val="99"/>
    <w:rPr>
      <w:sz w:val="18"/>
      <w:szCs w:val="18"/>
    </w:rPr>
  </w:style>
  <w:style w:type="character" w:customStyle="1" w:styleId="10">
    <w:name w:val="Footer Char"/>
    <w:basedOn w:val="8"/>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12">
    <w:name w:val="List Paragraph"/>
    <w:basedOn w:val="1"/>
    <w:qFormat/>
    <w:uiPriority w:val="99"/>
    <w:pPr>
      <w:ind w:firstLine="420" w:firstLineChars="200"/>
    </w:pPr>
  </w:style>
  <w:style w:type="character" w:customStyle="1" w:styleId="13">
    <w:name w:val="Balloon Text Char"/>
    <w:basedOn w:val="8"/>
    <w:link w:val="3"/>
    <w:semiHidden/>
    <w:qFormat/>
    <w:locked/>
    <w:uiPriority w:val="99"/>
    <w:rPr>
      <w:sz w:val="18"/>
      <w:szCs w:val="18"/>
    </w:rPr>
  </w:style>
  <w:style w:type="paragraph" w:customStyle="1" w:styleId="14">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40</Pages>
  <Words>16324</Words>
  <Characters>21897</Characters>
  <Lines>0</Lines>
  <Paragraphs>0</Paragraphs>
  <TotalTime>2</TotalTime>
  <ScaleCrop>false</ScaleCrop>
  <LinksUpToDate>false</LinksUpToDate>
  <CharactersWithSpaces>22268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战歌丶</cp:lastModifiedBy>
  <cp:lastPrinted>2022-06-27T04:33:00Z</cp:lastPrinted>
  <dcterms:modified xsi:type="dcterms:W3CDTF">2023-10-21T11:58:18Z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2052-12.1.0.15712</vt:lpwstr>
  </property>
  <property fmtid="{D5CDD505-2E9C-101B-9397-08002B2CF9AE}" pid="4" name="ICV">
    <vt:lpwstr>4969477A57C14704A5221C47C32FD5D6_13</vt:lpwstr>
  </property>
</Properties>
</file>