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6480"/>
        </w:tabs>
        <w:spacing w:line="600" w:lineRule="exact"/>
        <w:jc w:val="center"/>
        <w:rPr>
          <w:rFonts w:ascii="宋体" w:hAnsi="宋体" w:cs="方正小标宋_GBK"/>
          <w:b/>
          <w:sz w:val="44"/>
          <w:szCs w:val="44"/>
        </w:rPr>
      </w:pPr>
      <w:r>
        <w:rPr>
          <w:rFonts w:hint="eastAsia" w:ascii="宋体" w:hAnsi="宋体" w:cs="方正小标宋_GBK"/>
          <w:b/>
          <w:bCs/>
          <w:sz w:val="44"/>
          <w:szCs w:val="44"/>
        </w:rPr>
        <w:t>部门整体支出绩效评价报告</w:t>
      </w:r>
    </w:p>
    <w:p>
      <w:pPr>
        <w:tabs>
          <w:tab w:val="left" w:pos="6480"/>
        </w:tabs>
        <w:spacing w:line="600" w:lineRule="exact"/>
        <w:jc w:val="center"/>
        <w:rPr>
          <w:rFonts w:ascii="宋体" w:hAnsi="宋体" w:cs="方正小标宋_GBK"/>
          <w:b/>
          <w:sz w:val="36"/>
          <w:szCs w:val="36"/>
        </w:rPr>
      </w:pPr>
      <w:r>
        <w:rPr>
          <w:rFonts w:hint="eastAsia" w:ascii="宋体" w:hAnsi="宋体" w:cs="方正小标宋_GBK"/>
          <w:b/>
          <w:sz w:val="36"/>
          <w:szCs w:val="36"/>
        </w:rPr>
        <w:t>（湘潭县杨嘉桥镇人民政府）</w:t>
      </w:r>
    </w:p>
    <w:p>
      <w:pPr>
        <w:tabs>
          <w:tab w:val="left" w:pos="6480"/>
        </w:tabs>
        <w:spacing w:line="600" w:lineRule="exact"/>
        <w:jc w:val="center"/>
        <w:rPr>
          <w:rFonts w:ascii="宋体" w:hAnsi="宋体" w:cs="方正小标宋_GBK"/>
          <w:b/>
          <w:sz w:val="36"/>
          <w:szCs w:val="36"/>
        </w:rPr>
      </w:pPr>
      <w:bookmarkStart w:id="0" w:name="_GoBack"/>
      <w:bookmarkEnd w:id="0"/>
    </w:p>
    <w:tbl>
      <w:tblPr>
        <w:tblStyle w:val="6"/>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050"/>
        <w:gridCol w:w="7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jc w:val="center"/>
        </w:trPr>
        <w:tc>
          <w:tcPr>
            <w:tcW w:w="725" w:type="dxa"/>
            <w:vMerge w:val="restart"/>
            <w:vAlign w:val="center"/>
          </w:tcPr>
          <w:p>
            <w:pPr>
              <w:spacing w:line="576" w:lineRule="exact"/>
              <w:jc w:val="center"/>
              <w:rPr>
                <w:rFonts w:ascii="仿宋_GB2312" w:hAnsi="宋体" w:eastAsia="仿宋_GB2312" w:cs="宋体"/>
                <w:sz w:val="24"/>
              </w:rPr>
            </w:pPr>
            <w:r>
              <w:rPr>
                <w:rFonts w:hint="eastAsia" w:ascii="仿宋_GB2312" w:hAnsi="宋体" w:eastAsia="仿宋_GB2312" w:cs="宋体"/>
                <w:sz w:val="24"/>
              </w:rPr>
              <w:t>部门概况</w:t>
            </w:r>
          </w:p>
        </w:tc>
        <w:tc>
          <w:tcPr>
            <w:tcW w:w="1050" w:type="dxa"/>
            <w:vAlign w:val="center"/>
          </w:tcPr>
          <w:p>
            <w:pPr>
              <w:spacing w:line="576" w:lineRule="exact"/>
              <w:jc w:val="center"/>
              <w:rPr>
                <w:rFonts w:ascii="仿宋_GB2312" w:hAnsi="宋体" w:eastAsia="仿宋_GB2312" w:cs="宋体"/>
                <w:sz w:val="24"/>
              </w:rPr>
            </w:pPr>
            <w:r>
              <w:rPr>
                <w:rFonts w:hint="eastAsia" w:ascii="仿宋_GB2312" w:hAnsi="宋体" w:eastAsia="仿宋_GB2312" w:cs="宋体"/>
                <w:sz w:val="24"/>
              </w:rPr>
              <w:t>单位</w:t>
            </w:r>
          </w:p>
          <w:p>
            <w:pPr>
              <w:spacing w:line="576" w:lineRule="exact"/>
              <w:jc w:val="center"/>
              <w:rPr>
                <w:rFonts w:ascii="仿宋_GB2312" w:hAnsi="宋体" w:eastAsia="仿宋_GB2312" w:cs="宋体"/>
                <w:sz w:val="24"/>
              </w:rPr>
            </w:pPr>
            <w:r>
              <w:rPr>
                <w:rFonts w:hint="eastAsia" w:ascii="仿宋_GB2312" w:hAnsi="宋体" w:eastAsia="仿宋_GB2312" w:cs="宋体"/>
                <w:sz w:val="24"/>
              </w:rPr>
              <w:t>名称</w:t>
            </w:r>
          </w:p>
        </w:tc>
        <w:tc>
          <w:tcPr>
            <w:tcW w:w="7264" w:type="dxa"/>
            <w:vAlign w:val="center"/>
          </w:tcPr>
          <w:p>
            <w:pPr>
              <w:spacing w:line="576" w:lineRule="exact"/>
              <w:ind w:right="880" w:rightChars="419"/>
              <w:jc w:val="center"/>
              <w:rPr>
                <w:rFonts w:ascii="仿宋_GB2312" w:hAnsi="宋体" w:eastAsia="仿宋_GB2312" w:cs="宋体"/>
                <w:sz w:val="24"/>
              </w:rPr>
            </w:pPr>
            <w:r>
              <w:rPr>
                <w:rFonts w:hint="eastAsia" w:ascii="仿宋_GB2312" w:hAnsi="宋体" w:eastAsia="仿宋_GB2312" w:cs="宋体"/>
                <w:sz w:val="24"/>
              </w:rPr>
              <w:t>湘潭县杨嘉桥镇人民政府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725" w:type="dxa"/>
            <w:vMerge w:val="continue"/>
          </w:tcPr>
          <w:p>
            <w:pPr>
              <w:spacing w:line="576" w:lineRule="exact"/>
              <w:jc w:val="center"/>
              <w:rPr>
                <w:rFonts w:ascii="仿宋_GB2312" w:hAnsi="宋体" w:eastAsia="仿宋_GB2312" w:cs="宋体"/>
                <w:sz w:val="24"/>
              </w:rPr>
            </w:pPr>
          </w:p>
        </w:tc>
        <w:tc>
          <w:tcPr>
            <w:tcW w:w="1050" w:type="dxa"/>
            <w:vAlign w:val="center"/>
          </w:tcPr>
          <w:p>
            <w:pPr>
              <w:spacing w:line="576" w:lineRule="exact"/>
              <w:jc w:val="center"/>
              <w:rPr>
                <w:rFonts w:ascii="仿宋_GB2312" w:hAnsi="宋体" w:eastAsia="仿宋_GB2312" w:cs="宋体"/>
                <w:sz w:val="24"/>
              </w:rPr>
            </w:pPr>
            <w:r>
              <w:rPr>
                <w:rFonts w:hint="eastAsia" w:ascii="仿宋_GB2312" w:hAnsi="宋体" w:eastAsia="仿宋_GB2312" w:cs="宋体"/>
                <w:sz w:val="24"/>
              </w:rPr>
              <w:t>年度预算金额</w:t>
            </w:r>
          </w:p>
        </w:tc>
        <w:tc>
          <w:tcPr>
            <w:tcW w:w="7264" w:type="dxa"/>
            <w:vAlign w:val="center"/>
          </w:tcPr>
          <w:p>
            <w:pPr>
              <w:spacing w:line="576" w:lineRule="exact"/>
              <w:ind w:right="880" w:rightChars="419"/>
              <w:jc w:val="center"/>
              <w:rPr>
                <w:rFonts w:ascii="仿宋_GB2312" w:hAnsi="宋体" w:eastAsia="仿宋_GB2312" w:cs="宋体"/>
                <w:sz w:val="24"/>
              </w:rPr>
            </w:pPr>
            <w:r>
              <w:rPr>
                <w:rFonts w:hint="eastAsia" w:ascii="仿宋_GB2312" w:hAnsi="仿宋_GB2312" w:eastAsia="仿宋_GB2312" w:cs="仿宋_GB2312"/>
                <w:color w:val="000000"/>
                <w:sz w:val="24"/>
              </w:rPr>
              <w:t>5968万元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725" w:type="dxa"/>
            <w:vMerge w:val="continue"/>
          </w:tcPr>
          <w:p>
            <w:pPr>
              <w:spacing w:line="576" w:lineRule="exact"/>
              <w:jc w:val="center"/>
              <w:rPr>
                <w:rFonts w:ascii="仿宋_GB2312" w:hAnsi="宋体" w:eastAsia="仿宋_GB2312" w:cs="宋体"/>
                <w:sz w:val="24"/>
              </w:rPr>
            </w:pPr>
          </w:p>
        </w:tc>
        <w:tc>
          <w:tcPr>
            <w:tcW w:w="1050" w:type="dxa"/>
            <w:vAlign w:val="center"/>
          </w:tcPr>
          <w:p>
            <w:pPr>
              <w:spacing w:line="576" w:lineRule="exact"/>
              <w:jc w:val="center"/>
              <w:rPr>
                <w:rFonts w:ascii="仿宋_GB2312" w:hAnsi="宋体" w:eastAsia="仿宋_GB2312" w:cs="宋体"/>
                <w:sz w:val="24"/>
              </w:rPr>
            </w:pPr>
            <w:r>
              <w:rPr>
                <w:rFonts w:hint="eastAsia" w:ascii="仿宋_GB2312" w:hAnsi="宋体" w:eastAsia="仿宋_GB2312" w:cs="宋体"/>
                <w:sz w:val="24"/>
              </w:rPr>
              <w:t>主管</w:t>
            </w:r>
          </w:p>
          <w:p>
            <w:pPr>
              <w:spacing w:line="576" w:lineRule="exact"/>
              <w:jc w:val="center"/>
              <w:rPr>
                <w:rFonts w:ascii="仿宋_GB2312" w:hAnsi="宋体" w:eastAsia="仿宋_GB2312" w:cs="宋体"/>
                <w:sz w:val="24"/>
              </w:rPr>
            </w:pPr>
            <w:r>
              <w:rPr>
                <w:rFonts w:hint="eastAsia" w:ascii="仿宋_GB2312" w:hAnsi="宋体" w:eastAsia="仿宋_GB2312" w:cs="宋体"/>
                <w:sz w:val="24"/>
              </w:rPr>
              <w:t>部门</w:t>
            </w:r>
          </w:p>
        </w:tc>
        <w:tc>
          <w:tcPr>
            <w:tcW w:w="7264" w:type="dxa"/>
            <w:vAlign w:val="center"/>
          </w:tcPr>
          <w:p>
            <w:pPr>
              <w:spacing w:line="576" w:lineRule="exact"/>
              <w:ind w:right="880" w:rightChars="419"/>
              <w:jc w:val="center"/>
              <w:rPr>
                <w:rFonts w:ascii="仿宋_GB2312" w:hAnsi="宋体" w:eastAsia="仿宋_GB2312" w:cs="宋体"/>
                <w:sz w:val="24"/>
              </w:rPr>
            </w:pPr>
            <w:r>
              <w:rPr>
                <w:rFonts w:hint="eastAsia" w:ascii="仿宋_GB2312" w:hAnsi="宋体" w:eastAsia="仿宋_GB2312" w:cs="宋体"/>
                <w:sz w:val="24"/>
              </w:rPr>
              <w:t>湘潭县人民政府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725" w:type="dxa"/>
            <w:vMerge w:val="continue"/>
          </w:tcPr>
          <w:p>
            <w:pPr>
              <w:spacing w:line="576" w:lineRule="exact"/>
              <w:jc w:val="center"/>
              <w:rPr>
                <w:rFonts w:ascii="仿宋_GB2312" w:hAnsi="宋体" w:eastAsia="仿宋_GB2312" w:cs="宋体"/>
                <w:sz w:val="24"/>
              </w:rPr>
            </w:pPr>
          </w:p>
        </w:tc>
        <w:tc>
          <w:tcPr>
            <w:tcW w:w="1050" w:type="dxa"/>
            <w:vAlign w:val="center"/>
          </w:tcPr>
          <w:p>
            <w:pPr>
              <w:spacing w:line="576" w:lineRule="exact"/>
              <w:jc w:val="center"/>
              <w:rPr>
                <w:rFonts w:ascii="仿宋_GB2312" w:hAnsi="宋体" w:eastAsia="仿宋_GB2312" w:cs="宋体"/>
                <w:sz w:val="24"/>
              </w:rPr>
            </w:pPr>
            <w:r>
              <w:rPr>
                <w:rFonts w:hint="eastAsia" w:ascii="仿宋_GB2312" w:hAnsi="宋体" w:eastAsia="仿宋_GB2312" w:cs="宋体"/>
                <w:sz w:val="24"/>
              </w:rPr>
              <w:t>单位基本职能</w:t>
            </w:r>
          </w:p>
        </w:tc>
        <w:tc>
          <w:tcPr>
            <w:tcW w:w="7264" w:type="dxa"/>
            <w:vAlign w:val="center"/>
          </w:tcPr>
          <w:p>
            <w:pPr>
              <w:autoSpaceDN w:val="0"/>
              <w:spacing w:line="360" w:lineRule="auto"/>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（1）在镇党委的领导下，贯彻执行党的路线、方针、政策和国家的各项法律、法规；负责镇辖区内地区性、群众性、公益性、社会性工作。</w:t>
            </w:r>
          </w:p>
          <w:p>
            <w:pPr>
              <w:autoSpaceDN w:val="0"/>
              <w:spacing w:line="360" w:lineRule="auto"/>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（2）负责精神文明建设工作，积极组织以提高民众素质为目的的活动，树立文明新风。</w:t>
            </w:r>
          </w:p>
          <w:p>
            <w:pPr>
              <w:autoSpaceDN w:val="0"/>
              <w:spacing w:line="360" w:lineRule="auto"/>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（3）按照职责范围，负责镇辖区内的建设和管理、环境卫生、环境保护等监督、管理、服务工作。</w:t>
            </w:r>
          </w:p>
          <w:p>
            <w:pPr>
              <w:autoSpaceDN w:val="0"/>
              <w:spacing w:line="360" w:lineRule="auto"/>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（4）负责镇辖区内的维护稳定及社会治安综合治理工作，依照有关规定做好出租屋和外来暂住人员的管理工作；负责民事调解，法律服务工作，维护居民的合法权益。</w:t>
            </w:r>
          </w:p>
          <w:p>
            <w:pPr>
              <w:autoSpaceDN w:val="0"/>
              <w:spacing w:line="360" w:lineRule="auto"/>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5）负责村、居委会的建设和管理，积极开展镇区服务工作，大力兴办福利企业，发动和组织镇区成员开展各类公益活动；负责拥军优属、优抚安置、社会救济、社会福利、社区文化、科普、体育、教育等工作。</w:t>
            </w:r>
          </w:p>
          <w:p>
            <w:pPr>
              <w:autoSpaceDN w:val="0"/>
              <w:spacing w:line="360" w:lineRule="auto"/>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（6）发展镇区经济，为镇区经济组织提供人才、科技、信息和各类服务，以经济、法律和必要的行政手段推动镇区经济发展和维护市场经济秩序。</w:t>
            </w:r>
          </w:p>
          <w:p>
            <w:pPr>
              <w:autoSpaceDN w:val="0"/>
              <w:spacing w:line="360" w:lineRule="auto"/>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（7）负责计划生育、劳动就业、安全生产管理、初级卫生保健、民兵、兵役、侨务等工作。</w:t>
            </w:r>
          </w:p>
          <w:p>
            <w:pPr>
              <w:autoSpaceDN w:val="0"/>
              <w:spacing w:line="360" w:lineRule="auto"/>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（8）指导和帮助居民委员会搞好组织建设和制度建设，发挥居民委员会的群众自治组织作用。</w:t>
            </w:r>
          </w:p>
          <w:p>
            <w:pPr>
              <w:autoSpaceDN w:val="0"/>
              <w:spacing w:line="360" w:lineRule="auto"/>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（9）配合有关部门做好房屋拆迁、防汛、防风、防火、动物防疫、防震、防灾和抢险工作。</w:t>
            </w:r>
          </w:p>
          <w:p>
            <w:pPr>
              <w:autoSpaceDN w:val="0"/>
              <w:spacing w:line="360" w:lineRule="auto"/>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（10）向县人民政府反映居民群众的意见和要求，办理人民群众来信来访事项。</w:t>
            </w:r>
          </w:p>
          <w:p>
            <w:pPr>
              <w:autoSpaceDN w:val="0"/>
              <w:spacing w:line="360" w:lineRule="auto"/>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（11）负责辖区内普法教育工作，维护老人、妇女儿童的合法权益。</w:t>
            </w:r>
          </w:p>
          <w:p>
            <w:pPr>
              <w:autoSpaceDN w:val="0"/>
              <w:spacing w:line="360" w:lineRule="auto"/>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（12）负责辖区内安全生产和消防工作的指导、监督。</w:t>
            </w:r>
          </w:p>
          <w:p>
            <w:pPr>
              <w:autoSpaceDN w:val="0"/>
              <w:spacing w:line="360" w:lineRule="auto"/>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（13）会同有关部门做好辖区内的企业服务、在地统计工作。</w:t>
            </w:r>
          </w:p>
          <w:p>
            <w:pPr>
              <w:autoSpaceDN w:val="0"/>
              <w:spacing w:line="360" w:lineRule="auto"/>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（14）承办镇党委和上级部门交办的其他事项。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2" w:hRule="atLeast"/>
          <w:jc w:val="center"/>
        </w:trPr>
        <w:tc>
          <w:tcPr>
            <w:tcW w:w="725" w:type="dxa"/>
            <w:vMerge w:val="restart"/>
            <w:vAlign w:val="center"/>
          </w:tcPr>
          <w:p>
            <w:pPr>
              <w:spacing w:line="576" w:lineRule="exact"/>
              <w:jc w:val="center"/>
              <w:rPr>
                <w:rFonts w:ascii="仿宋_GB2312" w:hAnsi="宋体" w:eastAsia="仿宋_GB2312" w:cs="宋体"/>
                <w:sz w:val="24"/>
              </w:rPr>
            </w:pPr>
            <w:r>
              <w:rPr>
                <w:rFonts w:hint="eastAsia" w:ascii="仿宋_GB2312" w:hAnsi="宋体" w:eastAsia="仿宋_GB2312" w:cs="宋体"/>
                <w:sz w:val="24"/>
              </w:rPr>
              <w:t>绩效完成情况</w:t>
            </w:r>
          </w:p>
        </w:tc>
        <w:tc>
          <w:tcPr>
            <w:tcW w:w="1050" w:type="dxa"/>
            <w:vAlign w:val="center"/>
          </w:tcPr>
          <w:p>
            <w:pPr>
              <w:spacing w:line="576" w:lineRule="exact"/>
              <w:jc w:val="center"/>
              <w:rPr>
                <w:rFonts w:ascii="仿宋_GB2312" w:hAnsi="宋体" w:eastAsia="仿宋_GB2312" w:cs="宋体"/>
                <w:sz w:val="24"/>
              </w:rPr>
            </w:pPr>
            <w:r>
              <w:rPr>
                <w:rFonts w:hint="eastAsia" w:ascii="仿宋_GB2312" w:hAnsi="宋体" w:eastAsia="仿宋_GB2312" w:cs="宋体"/>
                <w:sz w:val="24"/>
              </w:rPr>
              <w:t>部门整体支出管理和使用基本情况</w:t>
            </w:r>
          </w:p>
        </w:tc>
        <w:tc>
          <w:tcPr>
            <w:tcW w:w="7264" w:type="dxa"/>
            <w:vAlign w:val="center"/>
          </w:tcPr>
          <w:p>
            <w:pPr>
              <w:autoSpaceDN w:val="0"/>
              <w:spacing w:line="360" w:lineRule="auto"/>
              <w:ind w:firstLine="480" w:firstLineChars="200"/>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始终认真贯彻执行《</w:t>
            </w:r>
            <w:r>
              <w:rPr>
                <w:rFonts w:hint="eastAsia" w:ascii="仿宋_GB2312" w:hAnsi="仿宋_GB2312" w:eastAsia="仿宋_GB2312" w:cs="仿宋_GB2312"/>
                <w:color w:val="000000"/>
                <w:sz w:val="24"/>
                <w:lang w:eastAsia="zh-CN"/>
              </w:rPr>
              <w:t>中华人民共和国</w:t>
            </w:r>
            <w:r>
              <w:rPr>
                <w:rFonts w:hint="eastAsia" w:ascii="仿宋_GB2312" w:hAnsi="仿宋_GB2312" w:eastAsia="仿宋_GB2312" w:cs="仿宋_GB2312"/>
                <w:color w:val="000000"/>
                <w:sz w:val="24"/>
              </w:rPr>
              <w:t>会计法》、《</w:t>
            </w:r>
            <w:r>
              <w:rPr>
                <w:rFonts w:hint="eastAsia" w:ascii="仿宋_GB2312" w:hAnsi="仿宋_GB2312" w:eastAsia="仿宋_GB2312" w:cs="仿宋_GB2312"/>
                <w:color w:val="000000"/>
                <w:sz w:val="24"/>
                <w:lang w:eastAsia="zh-CN"/>
              </w:rPr>
              <w:t>中华人民共和国</w:t>
            </w:r>
            <w:r>
              <w:rPr>
                <w:rFonts w:hint="eastAsia" w:ascii="仿宋_GB2312" w:hAnsi="仿宋_GB2312" w:eastAsia="仿宋_GB2312" w:cs="仿宋_GB2312"/>
                <w:color w:val="000000"/>
                <w:sz w:val="24"/>
              </w:rPr>
              <w:t xml:space="preserve">预算法》、《行政单位会计制度》等法律法规，各项经费支出严格按照政府采购、国库集中支付等有关规定执行。同时我镇先后制订了《湘潭县杨嘉桥镇预算管理制度》、《湘潭县杨嘉桥镇政府采购管理办法》、《湘潭县杨嘉桥镇财务管理制度》、《湘潭县杨嘉桥镇支出管理制度》、《湘潭县杨嘉桥镇固定资产管理办法》等相关制度，明确了经费审批权限及程序，经费预算、核算管理、资产购置与处置、财务监督等。在“三公”经费管理方面，规范了公务接待的审批管理，较好地控制了行政运行成本。2020年部门整体支出5161.83万元，支出按支出性质分类为：基本支出5161.83万元（其中：人员经费2657.34万元，日常公用经费2504.49万元）。支出按经济分类为：工资福利支出万1585.51元，商品和服务支出1928.87万元，对个人和家庭的补助1071.83万元，其他资本性支出575.62万元。2020年“三公”经费16.3万元,其中公务接待16.3万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725" w:type="dxa"/>
            <w:vMerge w:val="continue"/>
          </w:tcPr>
          <w:p>
            <w:pPr>
              <w:spacing w:line="576" w:lineRule="exact"/>
              <w:jc w:val="center"/>
              <w:rPr>
                <w:rFonts w:ascii="仿宋_GB2312" w:hAnsi="宋体" w:eastAsia="仿宋_GB2312" w:cs="宋体"/>
                <w:sz w:val="24"/>
              </w:rPr>
            </w:pPr>
          </w:p>
        </w:tc>
        <w:tc>
          <w:tcPr>
            <w:tcW w:w="1050" w:type="dxa"/>
            <w:vAlign w:val="center"/>
          </w:tcPr>
          <w:p>
            <w:pPr>
              <w:spacing w:line="576" w:lineRule="exact"/>
              <w:jc w:val="center"/>
              <w:rPr>
                <w:rFonts w:ascii="仿宋_GB2312" w:hAnsi="宋体" w:eastAsia="仿宋_GB2312" w:cs="宋体"/>
                <w:sz w:val="24"/>
              </w:rPr>
            </w:pPr>
            <w:r>
              <w:rPr>
                <w:rFonts w:hint="eastAsia" w:ascii="仿宋_GB2312" w:hAnsi="宋体" w:eastAsia="仿宋_GB2312" w:cs="宋体"/>
                <w:sz w:val="24"/>
              </w:rPr>
              <w:t>绩效目标完成情况</w:t>
            </w:r>
          </w:p>
        </w:tc>
        <w:tc>
          <w:tcPr>
            <w:tcW w:w="7264" w:type="dxa"/>
            <w:vAlign w:val="center"/>
          </w:tcPr>
          <w:p>
            <w:pPr>
              <w:autoSpaceDN w:val="0"/>
              <w:spacing w:line="360" w:lineRule="auto"/>
              <w:ind w:firstLine="480" w:firstLineChars="200"/>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今年以来，我镇在县委、县政府的坚强领导下，以习近平新时代中国特色社会主义思想为指导，全镇干部团结奋进，埋头苦干，全力打好新冠肺炎防疫阻击战，努力克服疫情的不利影响，经济和社会各项事业发展势头良好，现将近一年来的工作情况总结如下。</w:t>
            </w:r>
          </w:p>
          <w:p>
            <w:pPr>
              <w:autoSpaceDN w:val="0"/>
              <w:spacing w:line="360" w:lineRule="auto"/>
              <w:ind w:firstLine="480" w:firstLineChars="200"/>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疫情防控有力有序，社会经济稳步复苏。年初爆发的新冠肺炎疫情打乱了我镇经济发展的步伐，镇党委、政府以“人民至上，生命至上”为原则，将疫情防控作为年初最重要的工作来抓。党政主要负责人从除夕开始带头取消休假，每日到岗指挥调度全镇防控工作；镇村两级基层干部以高度的责任心和使命感，纷纷取消休假到各村、社区防疫一线开展工作。今年已累计摸排湖北、北京、境外等中高风险地区来潭返潭人员505人，车辆信息1231条，杨嘉桥籍境外人员31人，核实大数据1694条，电子健康码注册率高达99%，稳居全县前列;对返潭人员落实隔离管控和人文关怀，做到“隔离”不隔情、“隔疫”不隔爱。在做好疫情防控的前提下，全镇企业于3月6日全面实现复工复产，餐饮、娱乐等行业也逐渐开始恢复。基层干部坚守岗位，认真履职，确保了政府能正常运转，中央和上级党委政府的各项决策部署得以贯彻落实，为经济平稳恢复提供了保障。迄今为止，我镇无一人感染新冠肺炎，疫情防控赢得了阶段性胜利。</w:t>
            </w:r>
          </w:p>
          <w:p>
            <w:pPr>
              <w:autoSpaceDN w:val="0"/>
              <w:spacing w:line="360" w:lineRule="auto"/>
              <w:ind w:firstLine="480" w:firstLineChars="200"/>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三大攻坚稳打稳扎，社会大局总体稳定。一是精准扶贫获得全面胜利。在全镇的共同努力下，991户2430名贫困户均稳定达到了“一通过、两不愁、三保障”的要求，最后的47户65名未脱贫户也在年内如期完成了脱贫目标,圆满完成了打赢脱贫攻坚战这项政治任务。产业扶贫创新发展。根据镇域实际，引进了“一亩田”脱贫模式，借力种养大户开展产业扶贫，依托产业加就业双引擎支撑，助推贫困群众增产增收。玉桥养鸡合作社创新开展手机直播销售，带动群众脱贫取得了良好的成效，获得了央视的报道。银河商贸公司打造了扶贫超市，以“扶贫小店+农产品+贫困户”的模式，通过互联网直播带货，拓宽销售渠道，有效解决了农产品销售难题。就业扶贫提质增效。为248名贫困劳动力申请办理交通补助，为32人发放一次性创业求职补贴14.6万元，安排贫困劳动力就业62人，发放交通补贴904人次18.5万元，实现“就业一个、脱贫一户”。危房改造全面覆盖。逐村走访、重点摸排，拨付68.1万元改造了35户危房，全面实现了“危房不住人、住人无危房”。兜底保障精准落实。对681户1401人全年发放农村低保338万元，对分散供养和集中供养的515名农村特困人员每月足额发放特困保障金。春季雨露计划上报符合教育补助资质的学生66人。二是环境污染得到有效遏制。办理了全国固定污染源排污登记企业、主体120家，完成了农村生活污水、黑臭水体的摸排工作及饮用水源地整治工作。“镇主导、村负责、组管户”秸秆禁烧机制进一步健全，政府与全镇的种植大户、合作组织、家庭农场签订责任承诺书85份，把扶持资金与禁烧工作挂钩，种植大户、合作组织、家庭秸秆禁烧和粉碎还田利用得到进一步落实。执法队严肃处理了几起秸秆焚烧的违法行为，起到了有效震慑作用，秸秆焚烧情况得到了有效遏制，今年空气质量明显好转，“蓝天白云”日数较往年明显增多。三是重大风险得到有效防范。通过宣传画、宣传栏、电子显示屏、微信等新媒体宣传方式对全镇进行宣传排查，防范化解涉众型非法经营活动取得了良好的成效。发现“德寿养老”项目有非法集资的苗头后，相关职能部门立即处置，严厉打击，及时维护了群众的利益，切实做到了思想认识到位，组织领导到位，打击处置到位，督导问责到位。今年全镇没有发生过涉众型非法经营活动和重大金融诈骗案件,确保了社会经济秩序和谐稳定。四是矛盾纠纷得到有效化解。通过认真研究分析矛盾纠纷，成功化解3件信访积案，签订了息访息诉协议，全年没有一例进京滋事、集访、非访，实现了“五个不发生”的工作目标。限时办结省委巡视组在“潭”交办15件信访件和省信访信息系统57件信访件，排查纠纷65起，镇村两级分别成功调处矛盾纠纷54起和414起，做到了“小事不出村,大事不出镇”。五是社会秩序持续和谐稳定。继续保持了对毒品违法犯罪的严打高压态势，坚持宣传教育和严打整治相结合，健全了组织领导，完善了规章制度，落实了各项措施。截至目前组织了禁毒宣传活动3次，悬挂横幅80余条，张贴宣传标语200余份，发放宣传资料1000余份，广大群众的防毒拒毒意识有了明显增强，取得了较好成效。发放扫黑除恶和反邪教宣传资料20000余份，深入开展“打盗抢、除黑恶、治乱源”严打整治行动，受理各类报警1215起，治安案件202起，侦破刑事案件23起。综合行政执法工作成绩显著，严厉打击了违法用地，盗采矿产资源等行为，罚没款收入56万余元，行政执法竞赛成绩位居全县前列。社会管理综合治理各方面工作进一步得到加强，刑事治安案件呈下降趋势，全镇基本实现了无黄赌毒、无法轮功等邪教活动，群众对我镇平安建设工作满意度位居全县第4名。</w:t>
            </w:r>
          </w:p>
          <w:p>
            <w:pPr>
              <w:autoSpaceDN w:val="0"/>
              <w:spacing w:line="360" w:lineRule="auto"/>
              <w:ind w:firstLine="480" w:firstLineChars="200"/>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乡村振兴稳步推进，集体经济逐步壮大。我镇乡村振兴工作实行镇党委统一领导、领导小组推进落实、部门合力共为、组织实施、责任层层压实的工作机制。领导小组坚持“一季一调度”，紧盯指标内容，逐条抓好落实。领导小组成员单位各自制定具体工作方案，明确工作目标、重点任务和保障措施，及时研究乡村振兴实施过程中的问题，并及时向领导小组汇报。</w:t>
            </w:r>
          </w:p>
          <w:p>
            <w:pPr>
              <w:autoSpaceDN w:val="0"/>
              <w:spacing w:line="360" w:lineRule="auto"/>
              <w:ind w:firstLine="480" w:firstLineChars="200"/>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1.农业生产保持稳定。全年未发生重大水灾旱灾，农业机械化基本普及。全镇水稻种植面积达9.4万亩，粮食总产量8.6万吨，推广优质稻种植面积达6.3万亩，优质稻总产量5.2万吨。完成冬种油菜面积10082 亩，创建九江村冬种油菜千亩示范片。加大植树造林力度，完成造林200亩，封山育林300亩，中幼林抚育间伐300亩，种植林木8万多株。农村集体产权制度改革工作全面完成，新增合作社2家，家庭农场1家，1.8万余亩流转土地正常生产经营。畜牧业稳步发展，专业技术人员累计消毒猪圈10万平方，技术指导养殖户150人次，做好了生猪防疫工作，确保全年无大的疫情发生。全镇生猪养殖户1200余户，新引进种猪4550头，存栏生猪9万头，生猪养殖正在逐渐恢复。</w:t>
            </w:r>
          </w:p>
          <w:p>
            <w:pPr>
              <w:autoSpaceDN w:val="0"/>
              <w:spacing w:line="360" w:lineRule="auto"/>
              <w:ind w:firstLine="480" w:firstLineChars="200"/>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2.确权颁证圆满完成。农村集体产权制度改革工作已于8月通过省市县三级验收，核实资产总额共计8567.45万元，集体土地158544.75亩，整体完成成员身份确认总户数16808户，总人数59877人。21个村全部完成确权颁证工作，数据质量通过各级检查，已上报至县农业农村局。</w:t>
            </w:r>
          </w:p>
          <w:p>
            <w:pPr>
              <w:autoSpaceDN w:val="0"/>
              <w:spacing w:line="360" w:lineRule="auto"/>
              <w:ind w:firstLine="480" w:firstLineChars="200"/>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3.环境整治成效显著。镇区污水处理厂已建成，污水处理能力预计达500吨/天。大部分村实施农村生活垃圾处理付费制度，圆满完成了“厕所革命”任务600个。规范了镇区道路标线、标牌，清理陈年垃圾600余吨，卫生死角640余处，清理沟渠池塘1000余处，新增垃圾桶200个，新设停车位60个，拆除了高空废旧招牌，铲除了牛皮癣式小广告，店外经营现象得到了有效治理。今年二季度我镇被评为湘潭市“五好乡镇”，第三季度也获得了县整治办较高的评价。11月底，我镇通过了“市级卫生乡镇”评估验收。</w:t>
            </w:r>
          </w:p>
          <w:p>
            <w:pPr>
              <w:autoSpaceDN w:val="0"/>
              <w:spacing w:line="360" w:lineRule="auto"/>
              <w:ind w:firstLine="480" w:firstLineChars="200"/>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4.集体经济日益壮大。金河村、白鹿村盘活村集体建设用地、闲置校舍、村部、旧厂房等不动产及企业经营权，通过招标出租、股份制合作等形式，实现资产保值增值。金洪村通过对外承包村集体渔场，增加了集体组织收入。同福村、金福村引进工厂，解决了几十名当地群众的就业问题。金福村率先申报并成功创建湖南省两型社会示范村，获得省发改委两型示范创建项目资金支持50万元，用于村级项目建设和环境改善。白鹿村成功申报了省发展村级集体经济项目资金，为集体经济增收打下了坚实的基础。</w:t>
            </w:r>
          </w:p>
          <w:p>
            <w:pPr>
              <w:autoSpaceDN w:val="0"/>
              <w:spacing w:line="360" w:lineRule="auto"/>
              <w:ind w:firstLine="480" w:firstLineChars="200"/>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招商引资势头良好，项目建设热火朝天。今年以来已引进通洋物流、意祥新能源、中恒电力、正达包装4个项目，中成科技项目拟投资过亿元，正在洽谈中。原已投产的嘉鸿包装项目效益远超预期，继续加大了投资力度，扩建项目已被批准，现已完成了土地测绘工作；春节过后，沃地肥业项目率先建成投产；瑞嘉金属资源综合利用项目7月开始试生产，9月已经正式投产，目前产销两旺，预计今年可保底完成税收2亿元。许广高速杨嘉桥互通-S325公路项目提前一个月竣工通车；西二环项目已做了大量前期工作，为项目建设顺利开展打下了良好的基础；镇人大会票决的民生实事工程完成情况良好，政务（便民）服务中心已高标准建成，峡山口街区提质改造项目正在抓紧时间建设，预计年底可建成；金笔村美丽乡村暨人居环境整治示范点项目，已完成立项、调规等工作，正在进行施工；涟水堤正福公路段大修工程圆满完成；精心维护了垃圾焚烧发电项目的建设环境，为该项目平稳推进作出了重大贡献；杨河工业园的瑞嘉金属、通洋物流等项目未来有望带动相关上下游产业发展，助推园区向集约集群、高质量方向发展。</w:t>
            </w:r>
          </w:p>
          <w:p>
            <w:pPr>
              <w:autoSpaceDN w:val="0"/>
              <w:spacing w:line="360" w:lineRule="auto"/>
              <w:ind w:firstLine="480" w:firstLineChars="200"/>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基础设施提质升级、城镇发展步伐加快。今年以湘潭县创建全国文明城市为契机，投资600余万元对城镇的基础设施进行了提质改造，大大方便了群众的生活，为我县创建全国文明城市作出了贡献。一是投资30余万元新建3个农贸市场，投资100余万元改造了杨嘉桥镇农贸市场，杜绝了原来马路市场的交通隐患问题。二是整修了镇区1.5公里老街，路面铺设了沥青混凝土，疏通了两侧下水道、美化了路边花坛。三是建设了全长850米，宽7米的青湖路，有效缓解了镇区的交通拥堵问题。四是铺设了老街污水管网，解决了困扰群众多年的暴雨内涝问题。五是对三角坪至青湖桥、供电所至湘湘干线出口道路进行提质改造，多处破损路面得到了修补。杨河工业园的天然气已经与城区联网，自来水管道正在施工，即将接入城区网络，杨河片区的小城镇进程将进一步加快。涟水、烈雁金河大堤水利设施得到了更新和维护，对4座小型水库、24公里涟水大堤边坡及烈雁金河沿岸进行了清杂扫障，防汛抗旱能力进一步得到了巩固。</w:t>
            </w:r>
          </w:p>
          <w:p>
            <w:pPr>
              <w:autoSpaceDN w:val="0"/>
              <w:spacing w:line="360" w:lineRule="auto"/>
              <w:ind w:firstLine="480" w:firstLineChars="200"/>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事业均衡发展，民生福祉不断增强。文教事业欣欣向荣。全镇学龄前儿童入园率和年满六周岁儿童入学率均达到了100%。投资70余万元对部分校舍进行了维修改造，办学条件进一步得到改善。合理规划整合了教育资源，合并了两所微小学校，进一步提升了教学质量，全镇初中毕业生升学率高达92.3%。卫计服务不断提升。在全县率先实现了村卫生室产权公有化。完成免费孕前优生健康检查226对，两癌免费筛查750人，义务献血40余人次，被评为湘潭市献血先进单位。全年向计生奖扶对象898人，特扶对象52人，城镇独生子女父母奖励对象380人共计发放146.56万元。加强了精神病人肇事肇祸的预防管理，联合相关职能部门通过以奖代补的方式引导精神障碍患者家庭落实好监护责任，及时救治了13名重度精神病患者。惠民利民成效显著。第七次全国人口普查工作推进得力，完成了房屋标注、户籍底册摸底、第一轮短表正式普查，第二轮长表正式普查等工作，基本完成了查漏改错工作，工作成绩得到了县人普办肯定。完成城乡居民医保征缴48707人，参保率达90%以上。完成城乡居民养老保险征缴9981人，基金征缴达136万余元。农村劳动力转移就业完成288人，完成率110%；城镇新增就业完成409人，完成率102%。全年开展临时救助425次，发放退役军人优待金17万元，做好了孤儿、困境儿童申报、事实无人扶养儿童工作。安全生产持续增强。积极开展交通顽瘴痼疾整治工作，全面杜绝了马路市场，取缔了5处，搬迁了6处。认真排查整治了10处较大安全隐患，加强了源头治超监管工作，责令1家企业停产整顿。按县海事处的要求，撤销了棋梓滩和黄草港两处渡口。安委会认真组织相关职能站所开展安全生产“大排查大管控大整治”行动，全年出动车辆215车次，检查人员615人次，检查、巡查单位171家次，共下达现场检查记录143份，责令整改指令书114份，整改复查意见书114份，排查安全隐患共计152处，今年全镇未发生重大安全事故。党管武装更上台阶。进一步做好了国防潜力调查工作，对全镇具备国防潜力的人员、单位、企业等进行了摸底，对相关装备进行了预征预储。完成了基干民兵调整改革任务，编入县应急连森林防火排21人，镇本级基干民兵83人，在森林防火、防汛抗旱、处突维稳方面发挥了重要作用。全面完成了184名大学毕业生应征入伍走访工作，输送5名大学毕业生应征入伍，大学生士兵占比达60%以上，为国防事业输送了优秀人才。投入13万余元对镇武装部及村级民兵连进行了星级达标规范化建设，基层阵地建设逐步完善，已通过县人武部3星级验收，为下一步将创4星级打下了坚实基础。</w:t>
            </w:r>
          </w:p>
          <w:p>
            <w:pPr>
              <w:autoSpaceDN w:val="0"/>
              <w:spacing w:line="360" w:lineRule="auto"/>
              <w:ind w:firstLine="480" w:firstLineChars="200"/>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政务审批不断简化，便民服务更加贴心。坚持以人民为中心的发展思想，深入推进“放管服”改革，着力构建“只进一扇门”“最多跑一次”“一网通办”的审批服务模式。今年投入100万元新建了建筑面积达100余平方的政务（便民）服务中心，整合了7个业务窗口，接入了政务服务一体化平台，实现了“让数据多跑腿，群众少跑路”。完善了全镇23个村（社区）便民服务综合平台建设，配备了专职“一门式”岗位工作人员，群众在家门口即可享受方便快捷的服务，打通了服务群众的“最后一公里”。</w:t>
            </w:r>
          </w:p>
          <w:p>
            <w:pPr>
              <w:autoSpaceDN w:val="0"/>
              <w:spacing w:line="360" w:lineRule="auto"/>
              <w:jc w:val="left"/>
              <w:textAlignment w:val="center"/>
              <w:rPr>
                <w:rFonts w:ascii="仿宋_GB2312" w:hAnsi="仿宋_GB2312" w:eastAsia="仿宋_GB2312" w:cs="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6" w:hRule="atLeast"/>
          <w:jc w:val="center"/>
        </w:trPr>
        <w:tc>
          <w:tcPr>
            <w:tcW w:w="725" w:type="dxa"/>
            <w:vMerge w:val="restart"/>
            <w:vAlign w:val="center"/>
          </w:tcPr>
          <w:p>
            <w:pPr>
              <w:spacing w:line="576" w:lineRule="exact"/>
              <w:jc w:val="center"/>
              <w:rPr>
                <w:rFonts w:ascii="仿宋_GB2312" w:hAnsi="宋体" w:eastAsia="仿宋_GB2312" w:cs="宋体"/>
                <w:sz w:val="24"/>
              </w:rPr>
            </w:pPr>
            <w:r>
              <w:rPr>
                <w:rFonts w:hint="eastAsia" w:ascii="仿宋_GB2312" w:hAnsi="宋体" w:eastAsia="仿宋_GB2312" w:cs="宋体"/>
                <w:sz w:val="24"/>
              </w:rPr>
              <w:t>存在的问题分析及改进措施</w:t>
            </w:r>
          </w:p>
        </w:tc>
        <w:tc>
          <w:tcPr>
            <w:tcW w:w="1050" w:type="dxa"/>
            <w:vAlign w:val="center"/>
          </w:tcPr>
          <w:p>
            <w:pPr>
              <w:spacing w:line="576" w:lineRule="exact"/>
              <w:jc w:val="center"/>
              <w:rPr>
                <w:rFonts w:ascii="仿宋_GB2312" w:hAnsi="宋体" w:eastAsia="仿宋_GB2312" w:cs="宋体"/>
                <w:sz w:val="24"/>
              </w:rPr>
            </w:pPr>
            <w:r>
              <w:rPr>
                <w:rFonts w:hint="eastAsia" w:ascii="仿宋_GB2312" w:hAnsi="宋体" w:eastAsia="仿宋_GB2312" w:cs="宋体"/>
                <w:sz w:val="24"/>
              </w:rPr>
              <w:t>存在的问题</w:t>
            </w:r>
          </w:p>
        </w:tc>
        <w:tc>
          <w:tcPr>
            <w:tcW w:w="7264" w:type="dxa"/>
            <w:vAlign w:val="center"/>
          </w:tcPr>
          <w:p>
            <w:pPr>
              <w:autoSpaceDN w:val="0"/>
              <w:spacing w:line="360" w:lineRule="auto"/>
              <w:ind w:firstLine="480" w:firstLineChars="200"/>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预算执行存在偏差，本年度实际公用经费支出高于预算，说明预算编制与实际情况存在偏差，公用经费的控制和核算还有待进一步加强。</w:t>
            </w:r>
          </w:p>
          <w:p>
            <w:pPr>
              <w:autoSpaceDN w:val="0"/>
              <w:spacing w:line="360" w:lineRule="auto"/>
              <w:ind w:firstLine="480" w:firstLineChars="200"/>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建议：按照预算单位实际情况做足预算，减少非政策性预算调整。县乡财政体制基数保障不足，建议党委政府向县委县政府反映乡镇实际情况，争取县财政体制足额保障基本运转经费。建议党委政府按照县委县政府税收管理文件要求，制定好符合我镇实际情况的激励机制和政策，壮大我镇园区企业，发挥好税源最大潜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jc w:val="center"/>
        </w:trPr>
        <w:tc>
          <w:tcPr>
            <w:tcW w:w="725" w:type="dxa"/>
            <w:vMerge w:val="continue"/>
          </w:tcPr>
          <w:p>
            <w:pPr>
              <w:spacing w:line="576" w:lineRule="exact"/>
              <w:jc w:val="center"/>
              <w:rPr>
                <w:rFonts w:ascii="仿宋_GB2312" w:hAnsi="宋体" w:eastAsia="仿宋_GB2312" w:cs="宋体"/>
                <w:sz w:val="24"/>
              </w:rPr>
            </w:pPr>
          </w:p>
        </w:tc>
        <w:tc>
          <w:tcPr>
            <w:tcW w:w="1050" w:type="dxa"/>
            <w:vAlign w:val="center"/>
          </w:tcPr>
          <w:p>
            <w:pPr>
              <w:spacing w:line="576" w:lineRule="exact"/>
              <w:jc w:val="center"/>
              <w:rPr>
                <w:rFonts w:ascii="仿宋_GB2312" w:hAnsi="宋体" w:eastAsia="仿宋_GB2312" w:cs="宋体"/>
                <w:sz w:val="24"/>
              </w:rPr>
            </w:pPr>
            <w:r>
              <w:rPr>
                <w:rFonts w:hint="eastAsia" w:ascii="仿宋_GB2312" w:hAnsi="宋体" w:eastAsia="仿宋_GB2312" w:cs="宋体"/>
                <w:sz w:val="24"/>
              </w:rPr>
              <w:t>改进</w:t>
            </w:r>
          </w:p>
          <w:p>
            <w:pPr>
              <w:spacing w:line="576" w:lineRule="exact"/>
              <w:jc w:val="center"/>
              <w:rPr>
                <w:rFonts w:ascii="仿宋_GB2312" w:hAnsi="宋体" w:eastAsia="仿宋_GB2312" w:cs="宋体"/>
                <w:sz w:val="24"/>
              </w:rPr>
            </w:pPr>
            <w:r>
              <w:rPr>
                <w:rFonts w:hint="eastAsia" w:ascii="仿宋_GB2312" w:hAnsi="宋体" w:eastAsia="仿宋_GB2312" w:cs="宋体"/>
                <w:sz w:val="24"/>
              </w:rPr>
              <w:t>措施</w:t>
            </w:r>
          </w:p>
        </w:tc>
        <w:tc>
          <w:tcPr>
            <w:tcW w:w="7264" w:type="dxa"/>
            <w:vAlign w:val="center"/>
          </w:tcPr>
          <w:p>
            <w:pPr>
              <w:autoSpaceDN w:val="0"/>
              <w:spacing w:line="360" w:lineRule="auto"/>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一、加强预算严格控制开支；二、不断完善并加强内控制度的执行；三、严格执行资金的收支控制;四、加强岗位实务学习与培训工作。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725" w:type="dxa"/>
            <w:vMerge w:val="continue"/>
          </w:tcPr>
          <w:p>
            <w:pPr>
              <w:spacing w:line="576" w:lineRule="exact"/>
              <w:jc w:val="center"/>
              <w:rPr>
                <w:rFonts w:ascii="仿宋_GB2312" w:hAnsi="宋体" w:eastAsia="仿宋_GB2312" w:cs="宋体"/>
                <w:sz w:val="24"/>
              </w:rPr>
            </w:pPr>
          </w:p>
        </w:tc>
        <w:tc>
          <w:tcPr>
            <w:tcW w:w="1050" w:type="dxa"/>
            <w:vAlign w:val="center"/>
          </w:tcPr>
          <w:p>
            <w:pPr>
              <w:spacing w:line="576" w:lineRule="exact"/>
              <w:jc w:val="center"/>
              <w:rPr>
                <w:rFonts w:ascii="仿宋_GB2312" w:hAnsi="宋体" w:eastAsia="仿宋_GB2312" w:cs="宋体"/>
                <w:sz w:val="24"/>
              </w:rPr>
            </w:pPr>
            <w:r>
              <w:rPr>
                <w:rFonts w:hint="eastAsia" w:ascii="仿宋_GB2312" w:hAnsi="宋体" w:eastAsia="仿宋_GB2312" w:cs="宋体"/>
                <w:sz w:val="24"/>
              </w:rPr>
              <w:t>其他需要说明问题</w:t>
            </w:r>
          </w:p>
        </w:tc>
        <w:tc>
          <w:tcPr>
            <w:tcW w:w="7264" w:type="dxa"/>
            <w:vAlign w:val="center"/>
          </w:tcPr>
          <w:p>
            <w:pPr>
              <w:spacing w:line="576" w:lineRule="exact"/>
              <w:ind w:right="880" w:rightChars="419"/>
              <w:jc w:val="center"/>
              <w:rPr>
                <w:rFonts w:hint="eastAsia" w:ascii="仿宋_GB2312" w:hAnsi="宋体" w:eastAsia="仿宋_GB2312" w:cs="宋体"/>
                <w:sz w:val="24"/>
                <w:lang w:val="en-US" w:eastAsia="zh-CN"/>
              </w:rPr>
            </w:pPr>
            <w:r>
              <w:rPr>
                <w:rFonts w:hint="eastAsia" w:ascii="仿宋_GB2312" w:hAnsi="宋体" w:eastAsia="仿宋_GB2312" w:cs="宋体"/>
                <w:sz w:val="24"/>
                <w:lang w:val="en-US" w:eastAsia="zh-CN"/>
              </w:rPr>
              <w:t>无</w:t>
            </w:r>
          </w:p>
        </w:tc>
      </w:tr>
    </w:tbl>
    <w:p>
      <w:pPr>
        <w:widowControl/>
        <w:jc w:val="left"/>
        <w:rPr>
          <w:rFonts w:ascii="仿宋_GB2312" w:hAnsi="黑体" w:eastAsia="仿宋_GB2312" w:cs="黑体"/>
          <w:color w:val="000000"/>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472400B-15C5-4D44-8C39-8C93D64C20FB}"/>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2000000000000000000"/>
    <w:charset w:val="86"/>
    <w:family w:val="script"/>
    <w:pitch w:val="default"/>
    <w:sig w:usb0="A00002BF" w:usb1="38CF7CFA" w:usb2="00082016" w:usb3="00000000" w:csb0="00040001" w:csb1="00000000"/>
    <w:embedRegular r:id="rId2" w:fontKey="{A07D3C6B-ACE6-43CF-8773-69E600E296FA}"/>
  </w:font>
  <w:font w:name="仿宋_GB2312">
    <w:altName w:val="仿宋"/>
    <w:panose1 w:val="02010609030101010101"/>
    <w:charset w:val="86"/>
    <w:family w:val="modern"/>
    <w:pitch w:val="default"/>
    <w:sig w:usb0="00000000" w:usb1="00000000" w:usb2="00000000" w:usb3="00000000" w:csb0="00040000" w:csb1="00000000"/>
    <w:embedRegular r:id="rId3" w:fontKey="{588B5151-7076-4EE5-8274-4FF38CA97643}"/>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Q4NzgxNTgyOTMwMmFiYmQxZmY4ODg3OWJhODk4MTUifQ=="/>
  </w:docVars>
  <w:rsids>
    <w:rsidRoot w:val="00B86CF5"/>
    <w:rsid w:val="00021C6A"/>
    <w:rsid w:val="000422CC"/>
    <w:rsid w:val="00090A25"/>
    <w:rsid w:val="00096942"/>
    <w:rsid w:val="000B7ABB"/>
    <w:rsid w:val="000C3168"/>
    <w:rsid w:val="00181616"/>
    <w:rsid w:val="002300C3"/>
    <w:rsid w:val="00235996"/>
    <w:rsid w:val="002B056B"/>
    <w:rsid w:val="002E5B04"/>
    <w:rsid w:val="002E68B1"/>
    <w:rsid w:val="002F671B"/>
    <w:rsid w:val="003A4A7D"/>
    <w:rsid w:val="008D0F1F"/>
    <w:rsid w:val="009C6C9C"/>
    <w:rsid w:val="00AE5FC4"/>
    <w:rsid w:val="00B86CF5"/>
    <w:rsid w:val="00BE186B"/>
    <w:rsid w:val="00BF7029"/>
    <w:rsid w:val="00CD69B3"/>
    <w:rsid w:val="00D34ECB"/>
    <w:rsid w:val="00EA575D"/>
    <w:rsid w:val="00EA7EF2"/>
    <w:rsid w:val="00F80D41"/>
    <w:rsid w:val="00FB3514"/>
    <w:rsid w:val="08042101"/>
    <w:rsid w:val="0C9D4646"/>
    <w:rsid w:val="13531567"/>
    <w:rsid w:val="1A076796"/>
    <w:rsid w:val="1B1C798F"/>
    <w:rsid w:val="1C3312A2"/>
    <w:rsid w:val="261E558D"/>
    <w:rsid w:val="289B5D9F"/>
    <w:rsid w:val="2EC9615A"/>
    <w:rsid w:val="35452569"/>
    <w:rsid w:val="4A1F6A50"/>
    <w:rsid w:val="4D34390D"/>
    <w:rsid w:val="4FEC77EA"/>
    <w:rsid w:val="5F5827EE"/>
    <w:rsid w:val="6C8D7FD7"/>
    <w:rsid w:val="70F06AA9"/>
    <w:rsid w:val="74C61876"/>
    <w:rsid w:val="791A07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正文格式"/>
    <w:qFormat/>
    <w:uiPriority w:val="0"/>
    <w:pPr>
      <w:spacing w:beforeLines="50" w:afterLines="50" w:line="360" w:lineRule="auto"/>
      <w:ind w:firstLine="480" w:firstLineChars="200"/>
    </w:pPr>
    <w:rPr>
      <w:rFonts w:ascii="Times New Roman" w:hAnsi="Times New Roman" w:eastAsia="宋体" w:cs="Times New Roman"/>
      <w:kern w:val="2"/>
      <w:sz w:val="24"/>
      <w:szCs w:val="22"/>
      <w:lang w:val="en-US" w:eastAsia="zh-CN" w:bidi="ar-SA"/>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jc w:val="left"/>
    </w:pPr>
    <w:rPr>
      <w:kern w:val="0"/>
      <w:sz w:val="24"/>
    </w:rPr>
  </w:style>
  <w:style w:type="character" w:styleId="8">
    <w:name w:val="Hyperlink"/>
    <w:basedOn w:val="7"/>
    <w:qFormat/>
    <w:uiPriority w:val="0"/>
    <w:rPr>
      <w:color w:val="0000FF" w:themeColor="hyperlink"/>
      <w:u w:val="single"/>
    </w:rPr>
  </w:style>
  <w:style w:type="character" w:customStyle="1" w:styleId="9">
    <w:name w:val="页眉 Char"/>
    <w:basedOn w:val="7"/>
    <w:link w:val="4"/>
    <w:qFormat/>
    <w:uiPriority w:val="0"/>
    <w:rPr>
      <w:kern w:val="2"/>
      <w:sz w:val="18"/>
      <w:szCs w:val="18"/>
    </w:rPr>
  </w:style>
  <w:style w:type="character" w:customStyle="1" w:styleId="10">
    <w:name w:val="页脚 Char"/>
    <w:basedOn w:val="7"/>
    <w:link w:val="3"/>
    <w:qFormat/>
    <w:uiPriority w:val="0"/>
    <w:rPr>
      <w:kern w:val="2"/>
      <w:sz w:val="18"/>
      <w:szCs w:val="18"/>
    </w:rPr>
  </w:style>
  <w:style w:type="character" w:customStyle="1" w:styleId="11">
    <w:name w:val="NormalCharacter"/>
    <w:semiHidden/>
    <w:qFormat/>
    <w:uiPriority w:val="0"/>
    <w:rPr>
      <w:rFonts w:ascii="Calibri" w:hAnsi="Calibri"/>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9</Pages>
  <Words>6447</Words>
  <Characters>372</Characters>
  <Lines>3</Lines>
  <Paragraphs>13</Paragraphs>
  <TotalTime>22</TotalTime>
  <ScaleCrop>false</ScaleCrop>
  <LinksUpToDate>false</LinksUpToDate>
  <CharactersWithSpaces>6806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2019-08-19T05:45:00Z</dcterms:created>
  <dc:creator>kin</dc:creator>
  <cp:lastModifiedBy>战歌丶</cp:lastModifiedBy>
  <cp:lastPrinted>2021-06-04T02:35:00Z</cp:lastPrinted>
  <dcterms:modified xsi:type="dcterms:W3CDTF">2023-10-21T11:48:17Z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4D37C1080F7045D3A73E68A74E521282_13</vt:lpwstr>
  </property>
</Properties>
</file>