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eastAsia="黑体"/>
          <w:bCs/>
          <w:kern w:val="0"/>
          <w:sz w:val="32"/>
          <w:szCs w:val="32"/>
        </w:rPr>
      </w:pPr>
      <w:r>
        <w:rPr>
          <w:rFonts w:hint="eastAsia" w:ascii="黑体" w:hAnsi="黑体" w:eastAsia="黑体" w:cs="黑体"/>
          <w:b/>
          <w:bCs w:val="0"/>
          <w:kern w:val="0"/>
          <w:sz w:val="44"/>
          <w:szCs w:val="44"/>
          <w:lang w:val="en-US" w:eastAsia="zh-CN"/>
        </w:rPr>
        <w:t>2021</w:t>
      </w:r>
      <w:r>
        <w:rPr>
          <w:rFonts w:hint="eastAsia" w:ascii="黑体" w:hAnsi="黑体" w:eastAsia="黑体" w:cs="黑体"/>
          <w:b/>
          <w:bCs w:val="0"/>
          <w:kern w:val="0"/>
          <w:sz w:val="44"/>
          <w:szCs w:val="44"/>
        </w:rPr>
        <w:t>年</w:t>
      </w:r>
      <w:r>
        <w:rPr>
          <w:rFonts w:hint="eastAsia" w:ascii="黑体" w:hAnsi="黑体" w:eastAsia="黑体" w:cs="黑体"/>
          <w:b/>
          <w:bCs w:val="0"/>
          <w:kern w:val="0"/>
          <w:sz w:val="44"/>
          <w:szCs w:val="44"/>
          <w:lang w:eastAsia="zh-CN"/>
        </w:rPr>
        <w:t>湘潭县拘留所</w:t>
      </w:r>
      <w:r>
        <w:rPr>
          <w:rFonts w:hint="eastAsia" w:ascii="黑体" w:hAnsi="黑体" w:eastAsia="黑体" w:cs="黑体"/>
          <w:b/>
          <w:bCs w:val="0"/>
          <w:kern w:val="0"/>
          <w:sz w:val="44"/>
          <w:szCs w:val="44"/>
        </w:rPr>
        <w:t>部门决算</w:t>
      </w:r>
    </w:p>
    <w:p>
      <w:pPr>
        <w:widowControl/>
        <w:spacing w:line="600" w:lineRule="exact"/>
        <w:jc w:val="center"/>
        <w:rPr>
          <w:rFonts w:eastAsia="黑体"/>
          <w:bCs/>
          <w:kern w:val="0"/>
          <w:sz w:val="32"/>
          <w:szCs w:val="32"/>
        </w:rPr>
      </w:pPr>
    </w:p>
    <w:p>
      <w:pPr>
        <w:widowControl/>
        <w:spacing w:line="600" w:lineRule="exact"/>
        <w:jc w:val="center"/>
        <w:rPr>
          <w:rFonts w:eastAsia="黑体"/>
          <w:bCs/>
          <w:kern w:val="0"/>
          <w:sz w:val="32"/>
          <w:szCs w:val="32"/>
        </w:rPr>
      </w:pPr>
      <w:r>
        <w:rPr>
          <w:rFonts w:eastAsia="黑体"/>
          <w:bCs/>
          <w:kern w:val="0"/>
          <w:sz w:val="32"/>
          <w:szCs w:val="32"/>
        </w:rPr>
        <w:t>目 录</w:t>
      </w:r>
    </w:p>
    <w:p>
      <w:pPr>
        <w:widowControl/>
        <w:spacing w:line="600" w:lineRule="exact"/>
        <w:ind w:firstLine="643" w:firstLineChars="200"/>
        <w:rPr>
          <w:rFonts w:eastAsia="仿宋_GB2312"/>
          <w:b/>
          <w:bCs/>
          <w:kern w:val="0"/>
          <w:sz w:val="32"/>
          <w:szCs w:val="32"/>
        </w:rPr>
      </w:pPr>
      <w:r>
        <w:rPr>
          <w:rFonts w:eastAsia="仿宋_GB2312"/>
          <w:b/>
          <w:bCs/>
          <w:kern w:val="0"/>
          <w:sz w:val="32"/>
          <w:szCs w:val="32"/>
        </w:rPr>
        <w:t>第一部分</w:t>
      </w:r>
      <w:r>
        <w:rPr>
          <w:rFonts w:hint="eastAsia" w:eastAsia="仿宋_GB2312"/>
          <w:b/>
          <w:bCs/>
          <w:kern w:val="0"/>
          <w:sz w:val="32"/>
          <w:szCs w:val="32"/>
        </w:rPr>
        <w:t xml:space="preserve"> </w:t>
      </w:r>
      <w:r>
        <w:rPr>
          <w:rFonts w:eastAsia="仿宋_GB2312"/>
          <w:b/>
          <w:bCs/>
          <w:kern w:val="0"/>
          <w:sz w:val="32"/>
          <w:szCs w:val="32"/>
        </w:rPr>
        <w:t>部门概况</w:t>
      </w:r>
    </w:p>
    <w:p>
      <w:pPr>
        <w:pStyle w:val="10"/>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部门职责</w:t>
      </w:r>
    </w:p>
    <w:p>
      <w:pPr>
        <w:pStyle w:val="10"/>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机构设置</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第二部分</w:t>
      </w:r>
      <w:r>
        <w:rPr>
          <w:rFonts w:hint="eastAsia" w:eastAsia="仿宋_GB2312"/>
          <w:b/>
          <w:bCs/>
          <w:kern w:val="0"/>
          <w:sz w:val="32"/>
          <w:szCs w:val="32"/>
        </w:rPr>
        <w:t xml:space="preserve"> </w:t>
      </w:r>
      <w:r>
        <w:rPr>
          <w:rFonts w:hint="eastAsia" w:eastAsia="仿宋_GB2312"/>
          <w:b/>
          <w:bCs/>
          <w:kern w:val="0"/>
          <w:sz w:val="32"/>
          <w:szCs w:val="32"/>
          <w:lang w:val="en-US" w:eastAsia="zh-CN"/>
        </w:rPr>
        <w:t>2021</w:t>
      </w:r>
      <w:r>
        <w:rPr>
          <w:rFonts w:hint="eastAsia" w:eastAsia="仿宋_GB2312"/>
          <w:b/>
          <w:bCs/>
          <w:kern w:val="0"/>
          <w:sz w:val="32"/>
          <w:szCs w:val="32"/>
        </w:rPr>
        <w:t>年</w:t>
      </w:r>
      <w:r>
        <w:rPr>
          <w:rFonts w:eastAsia="仿宋_GB2312"/>
          <w:b/>
          <w:bCs/>
          <w:kern w:val="0"/>
          <w:sz w:val="32"/>
          <w:szCs w:val="32"/>
        </w:rPr>
        <w:t>部门决算表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五、</w:t>
      </w:r>
      <w:r>
        <w:rPr>
          <w:rFonts w:ascii="Times New Roman" w:hAnsi="Times New Roman" w:eastAsia="仿宋_GB2312" w:cs="Times New Roman"/>
          <w:sz w:val="32"/>
          <w:szCs w:val="32"/>
        </w:rPr>
        <w:t>一般公共预算财政拨款支出决算表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ascii="Times New Roman" w:hAnsi="Times New Roman" w:eastAsia="仿宋_GB2312" w:cs="Times New Roman"/>
          <w:sz w:val="32"/>
          <w:szCs w:val="32"/>
        </w:rPr>
        <w:t>一般公共预算财政拨款基本支出决算表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七、</w:t>
      </w:r>
      <w:r>
        <w:rPr>
          <w:rFonts w:ascii="Times New Roman" w:hAnsi="Times New Roman" w:eastAsia="仿宋_GB2312" w:cs="Times New Roman"/>
          <w:sz w:val="32"/>
          <w:szCs w:val="32"/>
        </w:rPr>
        <w:t>一般公共预算财政拨款“三公”经费支出决算表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八、</w:t>
      </w:r>
      <w:r>
        <w:rPr>
          <w:rFonts w:ascii="Times New Roman" w:hAnsi="Times New Roman" w:eastAsia="仿宋_GB2312" w:cs="Times New Roman"/>
          <w:sz w:val="32"/>
          <w:szCs w:val="32"/>
        </w:rPr>
        <w:t>政府性基金预算财政拨款收入支出决算表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val="en-US" w:eastAsia="zh-CN" w:bidi="ar-SA"/>
        </w:rPr>
        <w:t>九、国有资本经营预算财政拨款支出决算表</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第三部分</w:t>
      </w:r>
      <w:r>
        <w:rPr>
          <w:rFonts w:hint="eastAsia" w:eastAsia="仿宋_GB2312"/>
          <w:b/>
          <w:bCs/>
          <w:kern w:val="0"/>
          <w:sz w:val="32"/>
          <w:szCs w:val="32"/>
          <w:lang w:eastAsia="zh-CN"/>
        </w:rPr>
        <w:t>2021</w:t>
      </w:r>
      <w:r>
        <w:rPr>
          <w:rFonts w:eastAsia="仿宋_GB2312"/>
          <w:b/>
          <w:bCs/>
          <w:kern w:val="0"/>
          <w:sz w:val="32"/>
          <w:szCs w:val="32"/>
        </w:rPr>
        <w:t>年度部门决算情况说明</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 名词解释</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 附件</w:t>
      </w:r>
    </w:p>
    <w:p>
      <w:pPr>
        <w:widowControl/>
        <w:spacing w:line="240" w:lineRule="auto"/>
        <w:jc w:val="both"/>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both"/>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r>
        <w:rPr>
          <w:rFonts w:hint="eastAsia" w:eastAsia="方正小标宋_GBK"/>
          <w:bCs/>
          <w:kern w:val="0"/>
          <w:sz w:val="36"/>
          <w:szCs w:val="36"/>
        </w:rPr>
        <w:t>第一部分 部门概况</w:t>
      </w:r>
    </w:p>
    <w:p>
      <w:pPr>
        <w:pStyle w:val="11"/>
        <w:ind w:firstLine="0" w:firstLineChars="0"/>
        <w:jc w:val="left"/>
        <w:rPr>
          <w:rFonts w:ascii="黑体" w:hAnsi="黑体" w:eastAsia="黑体"/>
          <w:sz w:val="32"/>
          <w:szCs w:val="32"/>
        </w:rPr>
      </w:pPr>
    </w:p>
    <w:p>
      <w:pPr>
        <w:widowControl/>
        <w:spacing w:line="600" w:lineRule="exact"/>
        <w:ind w:firstLine="640" w:firstLineChars="200"/>
        <w:rPr>
          <w:rFonts w:hint="eastAsia" w:ascii="黑体" w:hAnsi="黑体" w:eastAsia="黑体"/>
          <w:bCs/>
          <w:kern w:val="0"/>
          <w:sz w:val="32"/>
          <w:szCs w:val="32"/>
        </w:rPr>
      </w:pPr>
      <w:r>
        <w:rPr>
          <w:rFonts w:hint="eastAsia" w:ascii="黑体" w:hAnsi="黑体" w:eastAsia="黑体"/>
          <w:bCs/>
          <w:kern w:val="0"/>
          <w:sz w:val="32"/>
          <w:szCs w:val="32"/>
        </w:rPr>
        <w:t>一、部门职责</w:t>
      </w:r>
    </w:p>
    <w:p>
      <w:pPr>
        <w:widowControl/>
        <w:spacing w:line="600" w:lineRule="exact"/>
        <w:ind w:firstLine="643" w:firstLineChars="200"/>
        <w:rPr>
          <w:rFonts w:hint="eastAsia" w:ascii="仿宋" w:hAnsi="仿宋" w:eastAsia="仿宋" w:cs="仿宋"/>
          <w:sz w:val="32"/>
          <w:szCs w:val="32"/>
        </w:rPr>
      </w:pPr>
      <w:r>
        <w:rPr>
          <w:rFonts w:hint="eastAsia" w:ascii="楷体_GB2312" w:hAnsi="宋体" w:eastAsia="楷体_GB2312"/>
          <w:b/>
          <w:bCs/>
          <w:kern w:val="0"/>
          <w:sz w:val="32"/>
          <w:szCs w:val="32"/>
        </w:rPr>
        <w:t xml:space="preserve">（一） </w:t>
      </w:r>
      <w:r>
        <w:rPr>
          <w:rFonts w:hint="eastAsia" w:ascii="仿宋" w:hAnsi="仿宋" w:eastAsia="仿宋" w:cs="仿宋"/>
          <w:sz w:val="32"/>
          <w:szCs w:val="32"/>
        </w:rPr>
        <w:t>湘潭县拘留所是公安机关对被裁决拘留处罚的人执行拘留的场所，依据法律规定，行</w:t>
      </w:r>
      <w:r>
        <w:rPr>
          <w:rFonts w:hint="eastAsia" w:ascii="仿宋" w:hAnsi="仿宋" w:eastAsia="仿宋" w:cs="仿宋"/>
          <w:sz w:val="32"/>
          <w:szCs w:val="32"/>
          <w:lang w:eastAsia="zh-CN"/>
        </w:rPr>
        <w:t>使</w:t>
      </w:r>
      <w:r>
        <w:rPr>
          <w:rFonts w:hint="eastAsia" w:ascii="仿宋" w:hAnsi="仿宋" w:eastAsia="仿宋" w:cs="仿宋"/>
          <w:sz w:val="32"/>
          <w:szCs w:val="32"/>
        </w:rPr>
        <w:t>国家行政强制权力，对违反治安管理被裁决拘留人执行处罚；完成县委、县政府及上级业务主管部门交办的其他工作任务。</w:t>
      </w:r>
    </w:p>
    <w:p>
      <w:pPr>
        <w:widowControl/>
        <w:shd w:val="clear" w:color="auto" w:fill="FFFFFF"/>
        <w:snapToGrid w:val="0"/>
        <w:spacing w:line="560" w:lineRule="exact"/>
        <w:ind w:firstLine="480"/>
        <w:jc w:val="left"/>
        <w:rPr>
          <w:rFonts w:eastAsia="仿宋_GB2312"/>
          <w:sz w:val="32"/>
          <w:szCs w:val="32"/>
        </w:rPr>
      </w:pPr>
      <w:r>
        <w:rPr>
          <w:rFonts w:hint="eastAsia" w:ascii="楷体_GB2312" w:hAnsi="宋体" w:eastAsia="楷体_GB2312"/>
          <w:b/>
          <w:bCs/>
          <w:kern w:val="0"/>
          <w:sz w:val="32"/>
          <w:szCs w:val="32"/>
        </w:rPr>
        <w:t xml:space="preserve">（二） </w:t>
      </w:r>
      <w:r>
        <w:rPr>
          <w:rFonts w:hint="eastAsia" w:ascii="仿宋_GB2312" w:hAnsi="宋体" w:eastAsia="仿宋_GB2312"/>
          <w:color w:val="000000"/>
          <w:sz w:val="32"/>
          <w:szCs w:val="32"/>
        </w:rPr>
        <w:t>湘潭县拘留所</w:t>
      </w:r>
      <w:r>
        <w:rPr>
          <w:rFonts w:hint="eastAsia" w:ascii="仿宋_GB2312" w:hAnsi="仿宋" w:eastAsia="仿宋_GB2312"/>
          <w:color w:val="000000"/>
          <w:kern w:val="0"/>
          <w:sz w:val="32"/>
          <w:szCs w:val="32"/>
        </w:rPr>
        <w:t>属湘潭县公安局二级机构，</w:t>
      </w:r>
      <w:r>
        <w:rPr>
          <w:rFonts w:hint="eastAsia" w:ascii="仿宋_GB2312" w:eastAsia="仿宋_GB2312"/>
          <w:sz w:val="32"/>
          <w:szCs w:val="32"/>
        </w:rPr>
        <w:t>股级，核定政法专项编制 13名。</w:t>
      </w:r>
      <w:r>
        <w:rPr>
          <w:rFonts w:eastAsia="仿宋_GB2312"/>
          <w:sz w:val="32"/>
          <w:szCs w:val="32"/>
        </w:rPr>
        <w:t>现有编制人数</w:t>
      </w:r>
      <w:r>
        <w:rPr>
          <w:rFonts w:hint="eastAsia" w:eastAsia="仿宋_GB2312"/>
          <w:sz w:val="32"/>
          <w:szCs w:val="32"/>
        </w:rPr>
        <w:t>13</w:t>
      </w:r>
      <w:r>
        <w:rPr>
          <w:rFonts w:eastAsia="仿宋_GB2312"/>
          <w:sz w:val="32"/>
          <w:szCs w:val="32"/>
        </w:rPr>
        <w:t>人，实有在职人员</w:t>
      </w:r>
      <w:r>
        <w:rPr>
          <w:rFonts w:hint="eastAsia" w:eastAsia="仿宋_GB2312"/>
          <w:sz w:val="32"/>
          <w:szCs w:val="32"/>
        </w:rPr>
        <w:t>13</w:t>
      </w:r>
      <w:r>
        <w:rPr>
          <w:rFonts w:eastAsia="仿宋_GB2312"/>
          <w:sz w:val="32"/>
          <w:szCs w:val="32"/>
        </w:rPr>
        <w:t>人。</w:t>
      </w:r>
    </w:p>
    <w:p>
      <w:pPr>
        <w:widowControl/>
        <w:spacing w:line="600" w:lineRule="exact"/>
        <w:ind w:firstLine="640" w:firstLineChars="200"/>
        <w:rPr>
          <w:rFonts w:hint="eastAsia"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3" w:firstLineChars="200"/>
        <w:rPr>
          <w:rFonts w:hint="eastAsia" w:eastAsia="仿宋_GB2312" w:cs="Times New Roman"/>
          <w:sz w:val="32"/>
          <w:szCs w:val="32"/>
        </w:rPr>
      </w:pPr>
      <w:r>
        <w:rPr>
          <w:rFonts w:hint="eastAsia" w:ascii="楷体_GB2312" w:hAnsi="宋体" w:eastAsia="楷体_GB2312"/>
          <w:b/>
          <w:bCs/>
          <w:kern w:val="0"/>
          <w:sz w:val="32"/>
          <w:szCs w:val="32"/>
        </w:rPr>
        <w:t>（一）内设机构设置。</w:t>
      </w:r>
      <w:r>
        <w:rPr>
          <w:rFonts w:hint="eastAsia" w:eastAsia="仿宋_GB2312"/>
          <w:sz w:val="32"/>
          <w:szCs w:val="32"/>
        </w:rPr>
        <w:t>湘潭县拘留所</w:t>
      </w:r>
      <w:r>
        <w:rPr>
          <w:rFonts w:eastAsia="仿宋_GB2312"/>
          <w:bCs/>
          <w:kern w:val="0"/>
          <w:sz w:val="32"/>
          <w:szCs w:val="32"/>
        </w:rPr>
        <w:t>内设机构包括：</w:t>
      </w:r>
      <w:r>
        <w:rPr>
          <w:rFonts w:hint="eastAsia" w:eastAsia="仿宋_GB2312"/>
          <w:sz w:val="32"/>
          <w:szCs w:val="32"/>
          <w:lang w:val="en-US" w:eastAsia="zh-CN"/>
        </w:rPr>
        <w:t>本单位</w:t>
      </w:r>
      <w:r>
        <w:rPr>
          <w:rFonts w:hint="eastAsia" w:eastAsia="仿宋_GB2312"/>
          <w:sz w:val="32"/>
          <w:szCs w:val="32"/>
        </w:rPr>
        <w:t>属湘潭县公安局二级机构，</w:t>
      </w:r>
      <w:r>
        <w:rPr>
          <w:rFonts w:hint="eastAsia" w:eastAsia="仿宋_GB2312" w:cs="Times New Roman"/>
          <w:bCs/>
          <w:kern w:val="0"/>
          <w:sz w:val="32"/>
          <w:szCs w:val="32"/>
        </w:rPr>
        <w:t>单位性质：行政单位</w:t>
      </w:r>
      <w:r>
        <w:rPr>
          <w:rFonts w:hint="eastAsia" w:eastAsia="仿宋_GB2312" w:cs="Times New Roman"/>
          <w:bCs/>
          <w:kern w:val="0"/>
          <w:sz w:val="32"/>
          <w:szCs w:val="32"/>
          <w:lang w:eastAsia="zh-CN"/>
        </w:rPr>
        <w:t>，</w:t>
      </w:r>
      <w:r>
        <w:rPr>
          <w:rFonts w:hint="eastAsia" w:eastAsia="仿宋_GB2312"/>
          <w:color w:val="000000"/>
          <w:kern w:val="0"/>
          <w:sz w:val="32"/>
          <w:szCs w:val="32"/>
        </w:rPr>
        <w:t>由0个下属机构组成。</w:t>
      </w:r>
      <w:r>
        <w:rPr>
          <w:rFonts w:hint="eastAsia" w:eastAsia="仿宋_GB2312" w:cs="Times New Roman"/>
          <w:sz w:val="32"/>
          <w:szCs w:val="32"/>
        </w:rPr>
        <w:t>至</w:t>
      </w:r>
      <w:r>
        <w:rPr>
          <w:rFonts w:hint="eastAsia" w:eastAsia="仿宋_GB2312" w:cs="Times New Roman"/>
          <w:sz w:val="32"/>
          <w:szCs w:val="32"/>
          <w:lang w:eastAsia="zh-CN"/>
        </w:rPr>
        <w:t>2021</w:t>
      </w:r>
      <w:r>
        <w:rPr>
          <w:rFonts w:hint="eastAsia" w:eastAsia="仿宋_GB2312" w:cs="Times New Roman"/>
          <w:sz w:val="32"/>
          <w:szCs w:val="32"/>
        </w:rPr>
        <w:t>年年底人员情况：现有编制人数13人，实有在职人员21人（其中统发人员13人，自收自支8人）。</w:t>
      </w:r>
    </w:p>
    <w:p>
      <w:pPr>
        <w:widowControl/>
        <w:spacing w:line="600" w:lineRule="exact"/>
        <w:ind w:firstLine="643" w:firstLineChars="200"/>
        <w:rPr>
          <w:rFonts w:eastAsia="仿宋_GB2312"/>
          <w:bCs/>
          <w:kern w:val="0"/>
          <w:sz w:val="32"/>
          <w:szCs w:val="32"/>
        </w:rPr>
      </w:pPr>
      <w:r>
        <w:rPr>
          <w:rFonts w:hint="eastAsia" w:ascii="楷体_GB2312" w:hAnsi="宋体" w:eastAsia="楷体_GB2312"/>
          <w:b/>
          <w:bCs/>
          <w:kern w:val="0"/>
          <w:sz w:val="32"/>
          <w:szCs w:val="32"/>
        </w:rPr>
        <w:t>（二）决算单位构成。</w:t>
      </w:r>
      <w:r>
        <w:rPr>
          <w:rFonts w:hint="eastAsia" w:eastAsia="仿宋_GB2312"/>
          <w:sz w:val="32"/>
          <w:szCs w:val="32"/>
        </w:rPr>
        <w:t>湘潭县拘留所</w:t>
      </w:r>
      <w:r>
        <w:rPr>
          <w:rFonts w:hint="eastAsia" w:eastAsia="仿宋_GB2312"/>
          <w:bCs/>
          <w:kern w:val="0"/>
          <w:sz w:val="32"/>
          <w:szCs w:val="32"/>
          <w:lang w:eastAsia="zh-CN"/>
        </w:rPr>
        <w:t>2021</w:t>
      </w:r>
      <w:r>
        <w:rPr>
          <w:rFonts w:eastAsia="仿宋_GB2312"/>
          <w:bCs/>
          <w:kern w:val="0"/>
          <w:sz w:val="32"/>
          <w:szCs w:val="32"/>
        </w:rPr>
        <w:t>年部门决算公开单位构成包括：</w:t>
      </w:r>
      <w:r>
        <w:rPr>
          <w:rFonts w:hint="eastAsia" w:eastAsia="仿宋_GB2312"/>
          <w:bCs/>
          <w:kern w:val="0"/>
          <w:sz w:val="32"/>
          <w:szCs w:val="32"/>
        </w:rPr>
        <w:t>湘潭县拘留所</w:t>
      </w:r>
      <w:r>
        <w:rPr>
          <w:rFonts w:eastAsia="仿宋_GB2312"/>
          <w:bCs/>
          <w:kern w:val="0"/>
          <w:sz w:val="32"/>
          <w:szCs w:val="32"/>
        </w:rPr>
        <w:t>本级</w:t>
      </w:r>
      <w:r>
        <w:rPr>
          <w:rFonts w:hint="eastAsia" w:eastAsia="仿宋_GB2312"/>
          <w:bCs/>
          <w:kern w:val="0"/>
          <w:sz w:val="32"/>
          <w:szCs w:val="32"/>
        </w:rPr>
        <w:t>。</w:t>
      </w:r>
    </w:p>
    <w:p>
      <w:pPr>
        <w:jc w:val="left"/>
        <w:rPr>
          <w:rFonts w:hint="eastAsia" w:ascii="仿宋_GB2312" w:hAnsi="宋体" w:eastAsia="仿宋_GB2312"/>
          <w:sz w:val="28"/>
          <w:szCs w:val="32"/>
        </w:rPr>
      </w:pPr>
    </w:p>
    <w:p>
      <w:pPr>
        <w:pStyle w:val="2"/>
        <w:rPr>
          <w:rFonts w:hint="eastAsia"/>
        </w:rPr>
      </w:pPr>
    </w:p>
    <w:p>
      <w:pPr>
        <w:widowControl/>
        <w:spacing w:line="600" w:lineRule="exact"/>
        <w:jc w:val="both"/>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sz w:val="28"/>
          <w:szCs w:val="28"/>
        </w:rPr>
        <w:sectPr>
          <w:pgSz w:w="11906" w:h="16838"/>
          <w:pgMar w:top="1440" w:right="1689" w:bottom="1440" w:left="1689" w:header="851" w:footer="992" w:gutter="0"/>
          <w:cols w:space="720" w:num="1"/>
          <w:docGrid w:type="lines" w:linePitch="312" w:charSpace="0"/>
        </w:sectPr>
      </w:pPr>
      <w:r>
        <w:rPr>
          <w:rFonts w:hint="eastAsia" w:ascii="黑体" w:hAnsi="黑体" w:eastAsia="黑体" w:cs="黑体"/>
          <w:bCs/>
          <w:kern w:val="0"/>
          <w:sz w:val="44"/>
          <w:szCs w:val="44"/>
        </w:rPr>
        <w:t xml:space="preserve">第二部分 </w:t>
      </w:r>
      <w:r>
        <w:rPr>
          <w:rFonts w:hint="eastAsia" w:ascii="黑体" w:hAnsi="黑体" w:eastAsia="黑体" w:cs="黑体"/>
          <w:bCs/>
          <w:kern w:val="0"/>
          <w:sz w:val="44"/>
          <w:szCs w:val="44"/>
          <w:lang w:val="en-US" w:eastAsia="zh-CN"/>
        </w:rPr>
        <w:t>2021</w:t>
      </w:r>
      <w:r>
        <w:rPr>
          <w:rFonts w:hint="eastAsia" w:ascii="黑体" w:hAnsi="黑体" w:eastAsia="黑体" w:cs="黑体"/>
          <w:bCs/>
          <w:kern w:val="0"/>
          <w:sz w:val="44"/>
          <w:szCs w:val="44"/>
        </w:rPr>
        <w:t>年部门决算表</w:t>
      </w:r>
    </w:p>
    <w:p>
      <w:pPr>
        <w:jc w:val="both"/>
        <w:rPr>
          <w:rFonts w:hint="eastAsia" w:ascii="黑体" w:hAnsi="黑体" w:eastAsia="黑体"/>
          <w:sz w:val="28"/>
          <w:szCs w:val="28"/>
        </w:rPr>
      </w:pPr>
    </w:p>
    <w:p>
      <w:pPr>
        <w:widowControl/>
        <w:spacing w:line="600" w:lineRule="exact"/>
        <w:jc w:val="center"/>
        <w:rPr>
          <w:rFonts w:hint="eastAsia" w:ascii="方正小标宋_GBK" w:hAnsi="黑体" w:eastAsia="方正小标宋_GBK"/>
          <w:sz w:val="36"/>
          <w:szCs w:val="32"/>
        </w:rPr>
      </w:pPr>
      <w:r>
        <w:rPr>
          <w:rFonts w:hint="eastAsia" w:ascii="方正小标宋_GBK" w:hAnsi="黑体" w:eastAsia="方正小标宋_GBK"/>
          <w:sz w:val="36"/>
          <w:szCs w:val="32"/>
        </w:rPr>
        <w:t>部门收支决算总表</w:t>
      </w:r>
    </w:p>
    <w:p>
      <w:pPr>
        <w:widowControl/>
        <w:spacing w:line="320" w:lineRule="exact"/>
        <w:ind w:right="198" w:firstLine="735" w:firstLineChars="350"/>
        <w:rPr>
          <w:rFonts w:hint="eastAsia" w:eastAsia="仿宋_GB2312"/>
          <w:color w:val="000000"/>
          <w:kern w:val="0"/>
          <w:szCs w:val="21"/>
        </w:rPr>
      </w:pPr>
      <w:r>
        <w:rPr>
          <w:rFonts w:hint="eastAsia" w:eastAsia="仿宋_GB2312"/>
          <w:color w:val="000000"/>
          <w:kern w:val="0"/>
          <w:szCs w:val="21"/>
        </w:rPr>
        <w:t>部门：湘潭县拘留所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01</w:t>
      </w:r>
      <w:r>
        <w:rPr>
          <w:rFonts w:hint="eastAsia" w:eastAsia="仿宋_GB2312"/>
          <w:color w:val="000000"/>
          <w:kern w:val="0"/>
          <w:szCs w:val="21"/>
        </w:rPr>
        <w:t>表</w:t>
      </w:r>
    </w:p>
    <w:p>
      <w:pPr>
        <w:widowControl/>
        <w:spacing w:line="320" w:lineRule="exact"/>
        <w:ind w:right="198"/>
        <w:jc w:val="right"/>
        <w:rPr>
          <w:rFonts w:eastAsia="仿宋_GB2312"/>
          <w:color w:val="000000"/>
          <w:kern w:val="0"/>
          <w:szCs w:val="21"/>
        </w:rPr>
      </w:pPr>
      <w:r>
        <w:rPr>
          <w:rFonts w:hint="eastAsia" w:eastAsia="仿宋_GB2312"/>
          <w:color w:val="000000"/>
          <w:kern w:val="0"/>
          <w:szCs w:val="21"/>
        </w:rPr>
        <w:t>单位：万元</w:t>
      </w:r>
    </w:p>
    <w:tbl>
      <w:tblPr>
        <w:tblStyle w:val="7"/>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行次</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决算数</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行次</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决算数</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pPr>
              <w:jc w:val="center"/>
              <w:rPr>
                <w:rFonts w:eastAsia="仿宋_GB2312"/>
                <w:kern w:val="0"/>
                <w:szCs w:val="21"/>
              </w:rPr>
            </w:pP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95.00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一、一般公共服务支出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14</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二、外交支出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15</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三、上级补助收入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三、国防支出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16</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四、事业收入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四、公共安全支出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17</w:t>
            </w:r>
          </w:p>
        </w:tc>
        <w:tc>
          <w:tcPr>
            <w:tcW w:w="1681"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96.17</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五、经营收入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五、教育支出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18</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六、附属单位上缴收入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六、科学技术支出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19</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七、其他收入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7</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1.17</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七、</w:t>
            </w:r>
            <w:r>
              <w:rPr>
                <w:rFonts w:eastAsia="仿宋_GB2312"/>
                <w:kern w:val="0"/>
                <w:szCs w:val="21"/>
              </w:rPr>
              <w:t>……</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20</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8</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21</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本年收入合计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9</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96.17</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本年支出合计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22</w:t>
            </w:r>
          </w:p>
        </w:tc>
        <w:tc>
          <w:tcPr>
            <w:tcW w:w="1681"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用事业基金弥补收支差额</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10</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结余分配</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23</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年初结转和结余</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11</w:t>
            </w:r>
          </w:p>
        </w:tc>
        <w:tc>
          <w:tcPr>
            <w:tcW w:w="1224" w:type="dxa"/>
            <w:tcBorders>
              <w:top w:val="nil"/>
              <w:left w:val="nil"/>
              <w:bottom w:val="single" w:color="auto" w:sz="4" w:space="0"/>
              <w:right w:val="single" w:color="auto" w:sz="4" w:space="0"/>
            </w:tcBorders>
            <w:noWrap/>
            <w:vAlign w:val="top"/>
          </w:tcPr>
          <w:p>
            <w:pPr>
              <w:jc w:val="center"/>
              <w:rPr>
                <w:rFonts w:hint="default" w:eastAsia="宋体"/>
                <w:lang w:val="en-US" w:eastAsia="zh-CN"/>
              </w:rPr>
            </w:pPr>
            <w:r>
              <w:rPr>
                <w:rFonts w:hint="eastAsia" w:eastAsia="仿宋_GB2312"/>
                <w:kern w:val="0"/>
                <w:szCs w:val="21"/>
                <w:lang w:val="en-US" w:eastAsia="zh-CN"/>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年末结转和结余</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24</w:t>
            </w:r>
          </w:p>
        </w:tc>
        <w:tc>
          <w:tcPr>
            <w:tcW w:w="1681"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12</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25</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13</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96.17</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26</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kern w:val="0"/>
                <w:szCs w:val="21"/>
                <w:lang w:val="en-US" w:eastAsia="zh-CN"/>
              </w:rPr>
              <w:t>96.17</w:t>
            </w:r>
          </w:p>
        </w:tc>
      </w:tr>
    </w:tbl>
    <w:p>
      <w:pPr>
        <w:widowControl/>
        <w:ind w:firstLine="840" w:firstLineChars="400"/>
        <w:jc w:val="left"/>
        <w:rPr>
          <w:rFonts w:eastAsia="仿宋_GB2312"/>
          <w:kern w:val="0"/>
          <w:szCs w:val="21"/>
        </w:rPr>
      </w:pPr>
      <w:r>
        <w:rPr>
          <w:rFonts w:hint="eastAsia" w:eastAsia="仿宋_GB2312"/>
          <w:kern w:val="0"/>
          <w:szCs w:val="21"/>
        </w:rPr>
        <w:t>注：本表反映部门本年度的总收支和年末结转结余情况。</w:t>
      </w:r>
    </w:p>
    <w:p>
      <w:pPr>
        <w:widowControl/>
        <w:jc w:val="left"/>
        <w:rPr>
          <w:rFonts w:eastAsia="黑体"/>
          <w:bCs/>
          <w:kern w:val="0"/>
          <w:sz w:val="32"/>
          <w:szCs w:val="32"/>
        </w:rPr>
      </w:pPr>
      <w:r>
        <w:rPr>
          <w:rFonts w:eastAsia="黑体"/>
          <w:bCs/>
          <w:kern w:val="0"/>
          <w:sz w:val="32"/>
          <w:szCs w:val="32"/>
        </w:rPr>
        <w:br w:type="page"/>
      </w:r>
    </w:p>
    <w:p>
      <w:pPr>
        <w:jc w:val="center"/>
        <w:rPr>
          <w:rFonts w:ascii="方正小标宋_GBK" w:hAnsi="黑体" w:eastAsia="方正小标宋_GBK"/>
          <w:sz w:val="36"/>
          <w:szCs w:val="32"/>
        </w:rPr>
      </w:pPr>
      <w:r>
        <w:rPr>
          <w:rFonts w:hint="eastAsia" w:ascii="方正小标宋_GBK" w:hAnsi="黑体" w:eastAsia="方正小标宋_GBK"/>
          <w:sz w:val="36"/>
          <w:szCs w:val="32"/>
        </w:rPr>
        <w:t>部门收入决算表</w:t>
      </w:r>
    </w:p>
    <w:p>
      <w:pPr>
        <w:widowControl/>
        <w:ind w:firstLine="630" w:firstLineChars="3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02</w:t>
      </w:r>
      <w:r>
        <w:rPr>
          <w:rFonts w:hint="eastAsia" w:eastAsia="仿宋_GB2312"/>
          <w:color w:val="000000"/>
          <w:kern w:val="0"/>
          <w:szCs w:val="21"/>
        </w:rPr>
        <w:t>表</w:t>
      </w:r>
    </w:p>
    <w:p>
      <w:pPr>
        <w:widowControl/>
        <w:ind w:right="630"/>
        <w:jc w:val="right"/>
        <w:rPr>
          <w:rFonts w:eastAsia="仿宋_GB2312"/>
          <w:color w:val="000000"/>
          <w:kern w:val="0"/>
          <w:szCs w:val="21"/>
        </w:rPr>
      </w:pPr>
      <w:r>
        <w:rPr>
          <w:rFonts w:hint="eastAsia" w:eastAsia="仿宋_GB2312"/>
          <w:color w:val="000000"/>
          <w:kern w:val="0"/>
          <w:szCs w:val="21"/>
        </w:rPr>
        <w:t>单位：万元</w:t>
      </w:r>
    </w:p>
    <w:tbl>
      <w:tblPr>
        <w:tblStyle w:val="7"/>
        <w:tblW w:w="13813" w:type="dxa"/>
        <w:jc w:val="center"/>
        <w:tblLayout w:type="autofit"/>
        <w:tblCellMar>
          <w:top w:w="0" w:type="dxa"/>
          <w:left w:w="108" w:type="dxa"/>
          <w:bottom w:w="0" w:type="dxa"/>
          <w:right w:w="108" w:type="dxa"/>
        </w:tblCellMar>
      </w:tblPr>
      <w:tblGrid>
        <w:gridCol w:w="1051"/>
        <w:gridCol w:w="1559"/>
        <w:gridCol w:w="1451"/>
        <w:gridCol w:w="1595"/>
        <w:gridCol w:w="1676"/>
        <w:gridCol w:w="1382"/>
        <w:gridCol w:w="1412"/>
        <w:gridCol w:w="1676"/>
        <w:gridCol w:w="2011"/>
      </w:tblGrid>
      <w:tr>
        <w:tblPrEx>
          <w:tblCellMar>
            <w:top w:w="0" w:type="dxa"/>
            <w:left w:w="108" w:type="dxa"/>
            <w:bottom w:w="0" w:type="dxa"/>
            <w:right w:w="108" w:type="dxa"/>
          </w:tblCellMar>
        </w:tblPrEx>
        <w:trPr>
          <w:trHeight w:val="450" w:hRule="atLeast"/>
          <w:jc w:val="center"/>
        </w:trPr>
        <w:tc>
          <w:tcPr>
            <w:tcW w:w="2610" w:type="dxa"/>
            <w:gridSpan w:val="2"/>
            <w:tcBorders>
              <w:top w:val="single" w:color="auto" w:sz="8" w:space="0"/>
              <w:left w:val="single" w:color="auto" w:sz="8" w:space="0"/>
              <w:bottom w:val="single" w:color="auto" w:sz="4" w:space="0"/>
              <w:right w:val="nil"/>
            </w:tcBorders>
            <w:noWrap w:val="0"/>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451"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hint="eastAsia" w:eastAsia="仿宋_GB2312"/>
                <w:kern w:val="0"/>
                <w:szCs w:val="21"/>
              </w:rPr>
            </w:pPr>
            <w:r>
              <w:rPr>
                <w:rFonts w:hint="eastAsia" w:eastAsia="仿宋_GB2312"/>
                <w:kern w:val="0"/>
                <w:szCs w:val="21"/>
              </w:rPr>
              <w:t>本年收入</w:t>
            </w:r>
          </w:p>
          <w:p>
            <w:pPr>
              <w:widowControl/>
              <w:jc w:val="center"/>
              <w:rPr>
                <w:rFonts w:eastAsia="仿宋_GB2312"/>
                <w:kern w:val="0"/>
                <w:szCs w:val="21"/>
              </w:rPr>
            </w:pPr>
            <w:r>
              <w:rPr>
                <w:rFonts w:hint="eastAsia" w:eastAsia="仿宋_GB2312"/>
                <w:kern w:val="0"/>
                <w:szCs w:val="21"/>
              </w:rPr>
              <w:t>合计</w:t>
            </w:r>
          </w:p>
        </w:tc>
        <w:tc>
          <w:tcPr>
            <w:tcW w:w="1595"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财政拨款收入</w:t>
            </w:r>
          </w:p>
        </w:tc>
        <w:tc>
          <w:tcPr>
            <w:tcW w:w="1676"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上级补助收入</w:t>
            </w:r>
          </w:p>
        </w:tc>
        <w:tc>
          <w:tcPr>
            <w:tcW w:w="1382"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事业收入</w:t>
            </w:r>
          </w:p>
        </w:tc>
        <w:tc>
          <w:tcPr>
            <w:tcW w:w="1412"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经营收入</w:t>
            </w:r>
          </w:p>
        </w:tc>
        <w:tc>
          <w:tcPr>
            <w:tcW w:w="1676"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附属单位上缴收入</w:t>
            </w:r>
          </w:p>
        </w:tc>
        <w:tc>
          <w:tcPr>
            <w:tcW w:w="2011" w:type="dxa"/>
            <w:vMerge w:val="restart"/>
            <w:tcBorders>
              <w:top w:val="single" w:color="auto" w:sz="8" w:space="0"/>
              <w:left w:val="single" w:color="auto" w:sz="4" w:space="0"/>
              <w:bottom w:val="single" w:color="000000"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其他收入</w:t>
            </w:r>
          </w:p>
        </w:tc>
      </w:tr>
      <w:tr>
        <w:tblPrEx>
          <w:tblCellMar>
            <w:top w:w="0" w:type="dxa"/>
            <w:left w:w="108" w:type="dxa"/>
            <w:bottom w:w="0" w:type="dxa"/>
            <w:right w:w="108" w:type="dxa"/>
          </w:tblCellMar>
        </w:tblPrEx>
        <w:trPr>
          <w:trHeight w:val="450" w:hRule="atLeast"/>
          <w:jc w:val="center"/>
        </w:trPr>
        <w:tc>
          <w:tcPr>
            <w:tcW w:w="1051" w:type="dxa"/>
            <w:vMerge w:val="restart"/>
            <w:tcBorders>
              <w:top w:val="single" w:color="auto" w:sz="4" w:space="0"/>
              <w:left w:val="single" w:color="auto" w:sz="8" w:space="0"/>
              <w:bottom w:val="single" w:color="000000" w:sz="4" w:space="0"/>
              <w:right w:val="nil"/>
            </w:tcBorders>
            <w:noWrap w:val="0"/>
            <w:vAlign w:val="center"/>
          </w:tcPr>
          <w:p>
            <w:pPr>
              <w:widowControl/>
              <w:jc w:val="center"/>
              <w:rPr>
                <w:rFonts w:eastAsia="仿宋_GB2312"/>
                <w:kern w:val="0"/>
                <w:szCs w:val="21"/>
              </w:rPr>
            </w:pPr>
            <w:r>
              <w:rPr>
                <w:rFonts w:hint="eastAsia" w:eastAsia="仿宋_GB2312"/>
                <w:kern w:val="0"/>
                <w:szCs w:val="21"/>
              </w:rPr>
              <w:t>功能分类科目编码</w:t>
            </w:r>
          </w:p>
        </w:tc>
        <w:tc>
          <w:tcPr>
            <w:tcW w:w="1559"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科目名称</w:t>
            </w:r>
          </w:p>
        </w:tc>
        <w:tc>
          <w:tcPr>
            <w:tcW w:w="1451" w:type="dxa"/>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8" w:space="0"/>
            </w:tcBorders>
            <w:noWrap w:val="0"/>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1051" w:type="dxa"/>
            <w:vMerge w:val="continue"/>
            <w:tcBorders>
              <w:top w:val="single" w:color="auto" w:sz="4" w:space="0"/>
              <w:left w:val="single" w:color="auto" w:sz="8" w:space="0"/>
              <w:bottom w:val="single" w:color="000000" w:sz="4" w:space="0"/>
              <w:right w:val="nil"/>
            </w:tcBorders>
            <w:noWrap w:val="0"/>
            <w:vAlign w:val="center"/>
          </w:tcPr>
          <w:p>
            <w:pPr>
              <w:widowControl/>
              <w:jc w:val="left"/>
              <w:rPr>
                <w:rFonts w:eastAsia="仿宋_GB2312"/>
                <w:kern w:val="0"/>
                <w:szCs w:val="21"/>
              </w:rPr>
            </w:pPr>
          </w:p>
        </w:tc>
        <w:tc>
          <w:tcPr>
            <w:tcW w:w="1559"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1451" w:type="dxa"/>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8" w:space="0"/>
            </w:tcBorders>
            <w:noWrap w:val="0"/>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2610" w:type="dxa"/>
            <w:gridSpan w:val="2"/>
            <w:tcBorders>
              <w:top w:val="single" w:color="auto" w:sz="4" w:space="0"/>
              <w:left w:val="single" w:color="auto" w:sz="8" w:space="0"/>
              <w:bottom w:val="single" w:color="auto" w:sz="4" w:space="0"/>
              <w:right w:val="single" w:color="000000" w:sz="4" w:space="0"/>
            </w:tcBorders>
            <w:noWrap/>
            <w:vAlign w:val="center"/>
          </w:tcPr>
          <w:p>
            <w:pPr>
              <w:widowControl/>
              <w:jc w:val="center"/>
              <w:rPr>
                <w:rFonts w:eastAsia="仿宋_GB2312"/>
                <w:kern w:val="0"/>
                <w:szCs w:val="21"/>
              </w:rPr>
            </w:pPr>
            <w:r>
              <w:rPr>
                <w:rFonts w:hint="eastAsia" w:eastAsia="仿宋_GB2312"/>
                <w:kern w:val="0"/>
                <w:szCs w:val="21"/>
              </w:rPr>
              <w:t>栏次</w:t>
            </w:r>
          </w:p>
        </w:tc>
        <w:tc>
          <w:tcPr>
            <w:tcW w:w="145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1595"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w:t>
            </w:r>
          </w:p>
        </w:tc>
        <w:tc>
          <w:tcPr>
            <w:tcW w:w="2011"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r>
              <w:rPr>
                <w:rFonts w:eastAsia="仿宋_GB2312"/>
                <w:kern w:val="0"/>
                <w:szCs w:val="21"/>
              </w:rPr>
              <w:t>7</w:t>
            </w:r>
          </w:p>
        </w:tc>
      </w:tr>
      <w:tr>
        <w:tblPrEx>
          <w:tblCellMar>
            <w:top w:w="0" w:type="dxa"/>
            <w:left w:w="108" w:type="dxa"/>
            <w:bottom w:w="0" w:type="dxa"/>
            <w:right w:w="108" w:type="dxa"/>
          </w:tblCellMar>
        </w:tblPrEx>
        <w:trPr>
          <w:trHeight w:val="90" w:hRule="atLeast"/>
          <w:jc w:val="center"/>
        </w:trPr>
        <w:tc>
          <w:tcPr>
            <w:tcW w:w="2610" w:type="dxa"/>
            <w:gridSpan w:val="2"/>
            <w:tcBorders>
              <w:top w:val="nil"/>
              <w:left w:val="single" w:color="auto" w:sz="8" w:space="0"/>
              <w:bottom w:val="single" w:color="auto" w:sz="4" w:space="0"/>
              <w:right w:val="single" w:color="000000" w:sz="4" w:space="0"/>
            </w:tcBorders>
            <w:noWrap/>
            <w:vAlign w:val="center"/>
          </w:tcPr>
          <w:p>
            <w:pPr>
              <w:widowControl/>
              <w:jc w:val="center"/>
              <w:rPr>
                <w:rFonts w:eastAsia="仿宋_GB2312"/>
                <w:kern w:val="0"/>
                <w:szCs w:val="21"/>
              </w:rPr>
            </w:pPr>
            <w:r>
              <w:rPr>
                <w:rFonts w:hint="eastAsia" w:eastAsia="仿宋_GB2312"/>
                <w:kern w:val="0"/>
                <w:szCs w:val="21"/>
              </w:rPr>
              <w:t>合计</w:t>
            </w: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rP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204</w:t>
            </w:r>
          </w:p>
        </w:tc>
        <w:tc>
          <w:tcPr>
            <w:tcW w:w="1559"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公共安全支出</w:t>
            </w: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20402</w:t>
            </w:r>
          </w:p>
        </w:tc>
        <w:tc>
          <w:tcPr>
            <w:tcW w:w="1559"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公安</w:t>
            </w: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2040299</w:t>
            </w:r>
          </w:p>
        </w:tc>
        <w:tc>
          <w:tcPr>
            <w:tcW w:w="1559"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其他公安支出</w:t>
            </w:r>
          </w:p>
        </w:tc>
        <w:tc>
          <w:tcPr>
            <w:tcW w:w="1451"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p>
        </w:tc>
        <w:tc>
          <w:tcPr>
            <w:tcW w:w="1559"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p>
        </w:tc>
        <w:tc>
          <w:tcPr>
            <w:tcW w:w="1595"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2011"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615" w:hRule="atLeast"/>
          <w:jc w:val="center"/>
        </w:trPr>
        <w:tc>
          <w:tcPr>
            <w:tcW w:w="13813" w:type="dxa"/>
            <w:gridSpan w:val="9"/>
            <w:tcBorders>
              <w:top w:val="single" w:color="auto" w:sz="8" w:space="0"/>
              <w:left w:val="nil"/>
              <w:bottom w:val="nil"/>
              <w:right w:val="nil"/>
            </w:tcBorders>
            <w:noWrap w:val="0"/>
            <w:vAlign w:val="center"/>
          </w:tcPr>
          <w:p>
            <w:pPr>
              <w:widowControl/>
              <w:jc w:val="left"/>
              <w:rPr>
                <w:rFonts w:eastAsia="仿宋_GB2312"/>
                <w:kern w:val="0"/>
                <w:szCs w:val="21"/>
              </w:rPr>
            </w:pPr>
            <w:r>
              <w:rPr>
                <w:rFonts w:hint="eastAsia" w:eastAsia="仿宋_GB2312"/>
                <w:kern w:val="0"/>
                <w:szCs w:val="21"/>
              </w:rPr>
              <w:t>注：本表反映部门本年度取得的各项收入情况。</w:t>
            </w:r>
          </w:p>
        </w:tc>
      </w:tr>
    </w:tbl>
    <w:p>
      <w:pPr>
        <w:widowControl/>
        <w:jc w:val="left"/>
        <w:rPr>
          <w:rFonts w:eastAsia="黑体"/>
          <w:bCs/>
          <w:kern w:val="0"/>
          <w:sz w:val="32"/>
          <w:szCs w:val="32"/>
        </w:rPr>
      </w:pPr>
      <w:r>
        <w:rPr>
          <w:rFonts w:eastAsia="黑体"/>
          <w:bCs/>
          <w:kern w:val="0"/>
          <w:sz w:val="32"/>
          <w:szCs w:val="32"/>
        </w:rPr>
        <w:br w:type="page"/>
      </w:r>
    </w:p>
    <w:p>
      <w:pPr>
        <w:widowControl/>
        <w:rPr>
          <w:rFonts w:eastAsia="方正小标宋_GBK"/>
          <w:color w:val="000000"/>
          <w:kern w:val="0"/>
          <w:sz w:val="36"/>
          <w:szCs w:val="36"/>
        </w:rPr>
      </w:pPr>
    </w:p>
    <w:p>
      <w:pPr>
        <w:widowControl/>
        <w:jc w:val="center"/>
        <w:rPr>
          <w:rFonts w:eastAsia="方正小标宋_GBK"/>
          <w:color w:val="000000"/>
          <w:kern w:val="0"/>
          <w:sz w:val="36"/>
          <w:szCs w:val="36"/>
        </w:rPr>
      </w:pPr>
      <w:r>
        <w:rPr>
          <w:rFonts w:hint="eastAsia" w:eastAsia="方正小标宋_GBK"/>
          <w:color w:val="000000"/>
          <w:kern w:val="0"/>
          <w:sz w:val="36"/>
          <w:szCs w:val="36"/>
        </w:rPr>
        <w:t>部门支出决算表</w:t>
      </w:r>
    </w:p>
    <w:p>
      <w:pPr>
        <w:widowControl/>
        <w:spacing w:line="400" w:lineRule="exact"/>
        <w:ind w:firstLine="600" w:firstLineChars="300"/>
        <w:jc w:val="left"/>
        <w:rPr>
          <w:rFonts w:eastAsia="仿宋_GB2312"/>
          <w:color w:val="000000"/>
          <w:kern w:val="0"/>
          <w:sz w:val="20"/>
          <w:szCs w:val="20"/>
        </w:rPr>
      </w:pPr>
      <w:r>
        <w:rPr>
          <w:rFonts w:hint="eastAsia" w:eastAsia="仿宋_GB2312"/>
          <w:color w:val="000000"/>
          <w:kern w:val="0"/>
          <w:sz w:val="20"/>
          <w:szCs w:val="20"/>
        </w:rPr>
        <w:t>部门：</w:t>
      </w:r>
      <w:r>
        <w:rPr>
          <w:rFonts w:eastAsia="仿宋_GB2312"/>
          <w:color w:val="000000"/>
          <w:kern w:val="0"/>
          <w:sz w:val="20"/>
          <w:szCs w:val="20"/>
        </w:rPr>
        <w:t xml:space="preserve">   </w:t>
      </w:r>
      <w:r>
        <w:rPr>
          <w:rFonts w:hint="eastAsia" w:eastAsia="仿宋_GB2312"/>
          <w:color w:val="000000"/>
          <w:kern w:val="0"/>
          <w:szCs w:val="21"/>
        </w:rPr>
        <w:t>湘潭县拘留所</w:t>
      </w:r>
      <w:r>
        <w:rPr>
          <w:rFonts w:eastAsia="仿宋_GB2312"/>
          <w:color w:val="000000"/>
          <w:kern w:val="0"/>
          <w:sz w:val="20"/>
          <w:szCs w:val="20"/>
        </w:rPr>
        <w:t xml:space="preserve">                                                                                                                 </w:t>
      </w:r>
      <w:r>
        <w:rPr>
          <w:rFonts w:hint="eastAsia" w:eastAsia="仿宋_GB2312"/>
          <w:color w:val="000000"/>
          <w:kern w:val="0"/>
          <w:sz w:val="20"/>
          <w:szCs w:val="20"/>
        </w:rPr>
        <w:t>公开</w:t>
      </w:r>
      <w:r>
        <w:rPr>
          <w:rFonts w:eastAsia="仿宋_GB2312"/>
          <w:color w:val="000000"/>
          <w:kern w:val="0"/>
          <w:sz w:val="20"/>
          <w:szCs w:val="20"/>
        </w:rPr>
        <w:t>03</w:t>
      </w:r>
      <w:r>
        <w:rPr>
          <w:rFonts w:hint="eastAsia" w:eastAsia="仿宋_GB2312"/>
          <w:color w:val="000000"/>
          <w:kern w:val="0"/>
          <w:sz w:val="20"/>
          <w:szCs w:val="20"/>
        </w:rPr>
        <w:t>表</w:t>
      </w:r>
    </w:p>
    <w:p>
      <w:pPr>
        <w:widowControl/>
        <w:spacing w:line="400" w:lineRule="exact"/>
        <w:ind w:right="700"/>
        <w:jc w:val="right"/>
        <w:rPr>
          <w:rFonts w:eastAsia="仿宋_GB2312"/>
          <w:color w:val="000000"/>
          <w:kern w:val="0"/>
          <w:sz w:val="20"/>
          <w:szCs w:val="20"/>
        </w:rPr>
      </w:pPr>
      <w:r>
        <w:rPr>
          <w:rFonts w:hint="eastAsia" w:eastAsia="仿宋_GB2312"/>
          <w:color w:val="000000"/>
          <w:kern w:val="0"/>
          <w:sz w:val="20"/>
          <w:szCs w:val="20"/>
        </w:rPr>
        <w:t>单位：万元</w:t>
      </w:r>
    </w:p>
    <w:tbl>
      <w:tblPr>
        <w:tblStyle w:val="7"/>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1481"/>
        <w:gridCol w:w="1543"/>
        <w:gridCol w:w="1985"/>
        <w:gridCol w:w="1842"/>
        <w:gridCol w:w="1843"/>
        <w:gridCol w:w="1985"/>
        <w:gridCol w:w="23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583"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543"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本年支出合计</w:t>
            </w:r>
          </w:p>
        </w:tc>
        <w:tc>
          <w:tcPr>
            <w:tcW w:w="1985"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基本支出</w:t>
            </w:r>
          </w:p>
        </w:tc>
        <w:tc>
          <w:tcPr>
            <w:tcW w:w="1842"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项目支出</w:t>
            </w:r>
          </w:p>
        </w:tc>
        <w:tc>
          <w:tcPr>
            <w:tcW w:w="1843"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上缴上级支出</w:t>
            </w:r>
          </w:p>
        </w:tc>
        <w:tc>
          <w:tcPr>
            <w:tcW w:w="1985"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经营支出</w:t>
            </w:r>
          </w:p>
        </w:tc>
        <w:tc>
          <w:tcPr>
            <w:tcW w:w="2308"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功能分类科目编码</w:t>
            </w:r>
          </w:p>
        </w:tc>
        <w:tc>
          <w:tcPr>
            <w:tcW w:w="1481"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科目名称</w:t>
            </w:r>
          </w:p>
        </w:tc>
        <w:tc>
          <w:tcPr>
            <w:tcW w:w="15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2308"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481"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5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2308"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583" w:type="dxa"/>
            <w:gridSpan w:val="2"/>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栏次</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3</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4</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5</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583" w:type="dxa"/>
            <w:gridSpan w:val="2"/>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合计</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204</w:t>
            </w: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公共安全支出</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20402</w:t>
            </w: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公安</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2040299</w:t>
            </w: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其他公安支出</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bl>
    <w:p>
      <w:pPr>
        <w:widowControl/>
        <w:ind w:firstLine="630" w:firstLineChars="300"/>
        <w:jc w:val="left"/>
        <w:rPr>
          <w:rFonts w:eastAsia="仿宋_GB2312"/>
          <w:kern w:val="0"/>
          <w:szCs w:val="21"/>
        </w:rPr>
      </w:pPr>
      <w:r>
        <w:rPr>
          <w:rFonts w:hint="eastAsia" w:eastAsia="仿宋_GB2312"/>
          <w:kern w:val="0"/>
          <w:szCs w:val="21"/>
        </w:rPr>
        <w:t>注：本表反映部门本年度各项支出情况。</w:t>
      </w:r>
    </w:p>
    <w:p>
      <w:pPr>
        <w:widowControl/>
        <w:jc w:val="left"/>
        <w:rPr>
          <w:rFonts w:eastAsia="仿宋_GB2312"/>
          <w:bCs/>
          <w:kern w:val="0"/>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eastAsia="方正小标宋_GBK"/>
          <w:color w:val="000000"/>
          <w:kern w:val="0"/>
          <w:sz w:val="36"/>
          <w:szCs w:val="21"/>
        </w:rPr>
      </w:pPr>
      <w:r>
        <w:rPr>
          <w:rFonts w:hint="eastAsia" w:eastAsia="方正小标宋_GBK"/>
          <w:color w:val="000000"/>
          <w:kern w:val="0"/>
          <w:sz w:val="36"/>
          <w:szCs w:val="21"/>
        </w:rPr>
        <w:t>财政拨款收支决算总表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szCs w:val="21"/>
        </w:rPr>
      </w:pPr>
      <w:r>
        <w:rPr>
          <w:rFonts w:hint="eastAsia"/>
          <w:color w:val="000000"/>
          <w:kern w:val="0"/>
          <w:szCs w:val="21"/>
        </w:rPr>
        <w:t>公开</w:t>
      </w:r>
      <w:r>
        <w:rPr>
          <w:color w:val="000000"/>
          <w:kern w:val="0"/>
          <w:szCs w:val="21"/>
        </w:rPr>
        <w:t>04</w:t>
      </w:r>
      <w:r>
        <w:rPr>
          <w:rFonts w:hint="eastAsia"/>
          <w:color w:val="000000"/>
          <w:kern w:val="0"/>
          <w:szCs w:val="21"/>
        </w:rPr>
        <w:t>表</w:t>
      </w:r>
    </w:p>
    <w:p>
      <w:pPr>
        <w:widowControl/>
        <w:tabs>
          <w:tab w:val="left" w:pos="13725"/>
          <w:tab w:val="left" w:pos="13755"/>
          <w:tab w:val="left" w:pos="13800"/>
        </w:tabs>
        <w:spacing w:line="240" w:lineRule="exact"/>
        <w:ind w:left="91" w:firstLine="315" w:firstLineChars="150"/>
        <w:jc w:val="left"/>
        <w:rPr>
          <w:rFonts w:eastAsia="仿宋_GB2312"/>
          <w:color w:val="000000"/>
          <w:kern w:val="0"/>
          <w:szCs w:val="21"/>
        </w:rPr>
      </w:pPr>
      <w:r>
        <w:rPr>
          <w:rFonts w:hint="eastAsia" w:eastAsia="仿宋_GB2312"/>
          <w:color w:val="000000"/>
          <w:kern w:val="0"/>
          <w:szCs w:val="21"/>
        </w:rPr>
        <w:t>部门：湘潭县拘留所</w:t>
      </w:r>
      <w:r>
        <w:rPr>
          <w:rFonts w:eastAsia="仿宋_GB2312"/>
          <w:color w:val="000000"/>
          <w:kern w:val="0"/>
          <w:sz w:val="20"/>
          <w:szCs w:val="20"/>
        </w:rPr>
        <w:t xml:space="preserve"> </w:t>
      </w:r>
      <w:r>
        <w:rPr>
          <w:rFonts w:eastAsia="仿宋_GB2312"/>
          <w:color w:val="000000"/>
          <w:kern w:val="0"/>
          <w:szCs w:val="21"/>
        </w:rPr>
        <w:tab/>
      </w:r>
      <w:r>
        <w:rPr>
          <w:rFonts w:hint="eastAsia" w:eastAsia="仿宋_GB2312"/>
          <w:color w:val="000000"/>
          <w:kern w:val="0"/>
          <w:szCs w:val="21"/>
        </w:rPr>
        <w:t>单位：万元</w:t>
      </w:r>
    </w:p>
    <w:tbl>
      <w:tblPr>
        <w:tblStyle w:val="7"/>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合计</w:t>
            </w:r>
          </w:p>
        </w:tc>
        <w:tc>
          <w:tcPr>
            <w:tcW w:w="166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一般公共预算财政拨款</w:t>
            </w:r>
          </w:p>
        </w:tc>
        <w:tc>
          <w:tcPr>
            <w:tcW w:w="1572"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3</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二、外交支出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三、国防支出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四、公共安全支出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五、教育支出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19</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六、科学技术支出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20</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七、</w:t>
            </w:r>
            <w:r>
              <w:rPr>
                <w:rFonts w:eastAsia="仿宋_GB2312"/>
                <w:kern w:val="0"/>
                <w:szCs w:val="21"/>
              </w:rPr>
              <w:t>…</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9</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10</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val="0"/>
                <w:bCs w:val="0"/>
                <w:kern w:val="0"/>
                <w:szCs w:val="21"/>
              </w:rPr>
              <w:t>0.00</w:t>
            </w:r>
          </w:p>
        </w:tc>
      </w:tr>
    </w:tbl>
    <w:p>
      <w:pPr>
        <w:widowControl/>
        <w:jc w:val="left"/>
        <w:rPr>
          <w:rFonts w:eastAsia="仿宋_GB2312"/>
          <w:kern w:val="0"/>
          <w:szCs w:val="21"/>
        </w:rPr>
      </w:pPr>
      <w:r>
        <w:rPr>
          <w:rFonts w:hint="eastAsia" w:eastAsia="仿宋_GB2312"/>
          <w:kern w:val="0"/>
          <w:szCs w:val="21"/>
        </w:rPr>
        <w:t>注：本表反映部门本年度一般公共预算财政拨款和政府性基金预算财政拨款的总收支和年末结转结余情况。</w:t>
      </w:r>
    </w:p>
    <w:p>
      <w:pPr>
        <w:widowControl/>
        <w:jc w:val="left"/>
        <w:rPr>
          <w:rFonts w:eastAsia="仿宋_GB2312"/>
          <w:kern w:val="0"/>
          <w:szCs w:val="21"/>
        </w:rPr>
      </w:pPr>
      <w:r>
        <w:rPr>
          <w:rFonts w:eastAsia="仿宋_GB2312"/>
          <w:kern w:val="0"/>
          <w:szCs w:val="21"/>
        </w:rPr>
        <w:br w:type="page"/>
      </w:r>
    </w:p>
    <w:p>
      <w:pPr>
        <w:widowControl/>
        <w:jc w:val="center"/>
        <w:rPr>
          <w:rFonts w:eastAsia="方正小标宋_GBK"/>
          <w:kern w:val="0"/>
          <w:sz w:val="36"/>
          <w:szCs w:val="36"/>
        </w:rPr>
      </w:pPr>
      <w:r>
        <w:rPr>
          <w:rFonts w:hint="eastAsia" w:eastAsia="方正小标宋_GBK"/>
          <w:kern w:val="0"/>
          <w:sz w:val="36"/>
          <w:szCs w:val="36"/>
        </w:rPr>
        <w:t>一般公共预算财政拨款支出决算表</w:t>
      </w:r>
      <w:bookmarkStart w:id="0" w:name="RANGE!A1:F16"/>
      <w:bookmarkEnd w:id="0"/>
    </w:p>
    <w:p>
      <w:pPr>
        <w:widowControl/>
        <w:spacing w:before="156" w:beforeLines="5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05</w:t>
      </w:r>
      <w:r>
        <w:rPr>
          <w:rFonts w:hint="eastAsia" w:eastAsia="仿宋_GB2312"/>
          <w:color w:val="000000"/>
          <w:kern w:val="0"/>
          <w:szCs w:val="21"/>
        </w:rPr>
        <w:t>表</w:t>
      </w:r>
    </w:p>
    <w:p>
      <w:pPr>
        <w:widowControl/>
        <w:jc w:val="left"/>
        <w:rPr>
          <w:color w:val="000000"/>
          <w:kern w:val="0"/>
          <w:sz w:val="20"/>
          <w:szCs w:val="20"/>
        </w:rPr>
      </w:pPr>
      <w:r>
        <w:rPr>
          <w:rFonts w:eastAsia="仿宋_GB2312"/>
          <w:color w:val="000000"/>
          <w:kern w:val="0"/>
          <w:szCs w:val="21"/>
        </w:rPr>
        <w:t xml:space="preserve">                                                                                                                                  </w:t>
      </w:r>
      <w:r>
        <w:rPr>
          <w:rFonts w:hint="eastAsia" w:eastAsia="仿宋_GB2312"/>
          <w:color w:val="000000"/>
          <w:kern w:val="0"/>
          <w:szCs w:val="21"/>
        </w:rPr>
        <w:t>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9492" w:type="dxa"/>
            <w:gridSpan w:val="3"/>
            <w:tcBorders>
              <w:top w:val="single" w:color="auto" w:sz="8" w:space="0"/>
              <w:left w:val="nil"/>
              <w:bottom w:val="single" w:color="auto" w:sz="4" w:space="0"/>
              <w:right w:val="single" w:color="000000" w:sz="8" w:space="0"/>
            </w:tcBorders>
            <w:noWrap w:val="0"/>
            <w:vAlign w:val="center"/>
          </w:tcPr>
          <w:p>
            <w:pPr>
              <w:widowControl/>
              <w:jc w:val="center"/>
              <w:rPr>
                <w:rFonts w:eastAsia="仿宋_GB2312"/>
                <w:b/>
                <w:kern w:val="0"/>
                <w:szCs w:val="21"/>
              </w:rPr>
            </w:pPr>
            <w:r>
              <w:rPr>
                <w:rFonts w:hint="eastAsia" w:eastAsia="仿宋_GB2312"/>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科目名称</w:t>
            </w:r>
          </w:p>
        </w:tc>
        <w:tc>
          <w:tcPr>
            <w:tcW w:w="300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项目支出</w:t>
            </w:r>
          </w:p>
        </w:tc>
      </w:tr>
      <w:tr>
        <w:tblPrEx>
          <w:tblCellMar>
            <w:top w:w="0" w:type="dxa"/>
            <w:left w:w="108" w:type="dxa"/>
            <w:bottom w:w="0" w:type="dxa"/>
            <w:right w:w="108" w:type="dxa"/>
          </w:tblCellMar>
        </w:tblPrEx>
        <w:trPr>
          <w:trHeight w:val="360" w:hRule="atLeas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noWrap w:val="0"/>
            <w:vAlign w:val="center"/>
          </w:tcPr>
          <w:p>
            <w:pPr>
              <w:widowControl/>
              <w:jc w:val="left"/>
              <w:rPr>
                <w:rFonts w:eastAsia="仿宋_GB2312"/>
                <w:b/>
                <w:kern w:val="0"/>
                <w:szCs w:val="21"/>
              </w:rPr>
            </w:pPr>
          </w:p>
        </w:tc>
      </w:tr>
      <w:tr>
        <w:tblPrEx>
          <w:tblCellMar>
            <w:top w:w="0" w:type="dxa"/>
            <w:left w:w="108" w:type="dxa"/>
            <w:bottom w:w="0" w:type="dxa"/>
            <w:right w:w="108" w:type="dxa"/>
          </w:tblCellMar>
        </w:tblPrEx>
        <w:trPr>
          <w:trHeight w:val="450" w:hRule="atLeas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noWrap w:val="0"/>
            <w:vAlign w:val="center"/>
          </w:tcPr>
          <w:p>
            <w:pPr>
              <w:widowControl/>
              <w:jc w:val="left"/>
              <w:rPr>
                <w:rFonts w:eastAsia="仿宋_GB2312"/>
                <w:b/>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栏次</w:t>
            </w:r>
          </w:p>
        </w:tc>
        <w:tc>
          <w:tcPr>
            <w:tcW w:w="300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2</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300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204</w:t>
            </w:r>
          </w:p>
        </w:tc>
        <w:tc>
          <w:tcPr>
            <w:tcW w:w="3527"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公共安全支出</w:t>
            </w:r>
          </w:p>
        </w:tc>
        <w:tc>
          <w:tcPr>
            <w:tcW w:w="3000" w:type="dxa"/>
            <w:tcBorders>
              <w:top w:val="nil"/>
              <w:left w:val="nil"/>
              <w:bottom w:val="single" w:color="auto" w:sz="4" w:space="0"/>
              <w:right w:val="single" w:color="auto" w:sz="4" w:space="0"/>
            </w:tcBorders>
            <w:noWrap w:val="0"/>
            <w:vAlign w:val="top"/>
          </w:tcPr>
          <w:p>
            <w:pPr>
              <w:jc w:val="cente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20402</w:t>
            </w:r>
          </w:p>
        </w:tc>
        <w:tc>
          <w:tcPr>
            <w:tcW w:w="3527"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公安</w:t>
            </w:r>
          </w:p>
        </w:tc>
        <w:tc>
          <w:tcPr>
            <w:tcW w:w="3000" w:type="dxa"/>
            <w:tcBorders>
              <w:top w:val="nil"/>
              <w:left w:val="nil"/>
              <w:bottom w:val="single" w:color="auto" w:sz="4" w:space="0"/>
              <w:right w:val="single" w:color="auto" w:sz="4" w:space="0"/>
            </w:tcBorders>
            <w:noWrap w:val="0"/>
            <w:vAlign w:val="top"/>
          </w:tcPr>
          <w:p>
            <w:pPr>
              <w:jc w:val="cente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eastAsia="仿宋_GB2312"/>
                <w:kern w:val="0"/>
                <w:szCs w:val="21"/>
              </w:rPr>
              <w:t>2040299</w:t>
            </w:r>
          </w:p>
        </w:tc>
        <w:tc>
          <w:tcPr>
            <w:tcW w:w="3527"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rPr>
              <w:t>其他公安支出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p>
        </w:tc>
        <w:tc>
          <w:tcPr>
            <w:tcW w:w="3527"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p>
        </w:tc>
        <w:tc>
          <w:tcPr>
            <w:tcW w:w="300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3527" w:type="dxa"/>
            <w:tcBorders>
              <w:top w:val="nil"/>
              <w:left w:val="nil"/>
              <w:bottom w:val="single" w:color="auto" w:sz="4"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4"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492" w:type="dxa"/>
            <w:tcBorders>
              <w:top w:val="nil"/>
              <w:left w:val="nil"/>
              <w:bottom w:val="single" w:color="auto" w:sz="4"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4"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3527" w:type="dxa"/>
            <w:tcBorders>
              <w:top w:val="nil"/>
              <w:left w:val="nil"/>
              <w:bottom w:val="single" w:color="auto" w:sz="8"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8"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492" w:type="dxa"/>
            <w:tcBorders>
              <w:top w:val="nil"/>
              <w:left w:val="nil"/>
              <w:bottom w:val="single" w:color="auto" w:sz="8"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noWrap w:val="0"/>
            <w:vAlign w:val="center"/>
          </w:tcPr>
          <w:p>
            <w:pPr>
              <w:widowControl/>
              <w:jc w:val="left"/>
              <w:rPr>
                <w:rFonts w:eastAsia="仿宋_GB2312"/>
                <w:kern w:val="0"/>
                <w:szCs w:val="21"/>
              </w:rPr>
            </w:pPr>
            <w:r>
              <w:rPr>
                <w:rFonts w:hint="eastAsia" w:eastAsia="仿宋_GB2312"/>
                <w:kern w:val="0"/>
                <w:szCs w:val="21"/>
              </w:rPr>
              <w:t>注：本表反映部门本年度一般公共预算财政拨款支出情况。</w:t>
            </w:r>
          </w:p>
        </w:tc>
      </w:tr>
    </w:tbl>
    <w:p>
      <w:pPr>
        <w:widowControl/>
        <w:jc w:val="left"/>
        <w:rPr>
          <w:rFonts w:eastAsia="仿宋_GB2312"/>
          <w:bCs/>
          <w:kern w:val="0"/>
          <w:szCs w:val="21"/>
        </w:rPr>
      </w:pPr>
    </w:p>
    <w:p>
      <w:pPr>
        <w:widowControl/>
        <w:jc w:val="left"/>
        <w:rPr>
          <w:rFonts w:eastAsia="仿宋_GB2312"/>
          <w:bCs/>
          <w:kern w:val="0"/>
          <w:szCs w:val="21"/>
        </w:rPr>
      </w:pPr>
      <w:r>
        <w:rPr>
          <w:rFonts w:eastAsia="仿宋_GB2312"/>
          <w:bCs/>
          <w:kern w:val="0"/>
          <w:szCs w:val="21"/>
        </w:rPr>
        <w:br w:type="page"/>
      </w:r>
    </w:p>
    <w:p>
      <w:pPr>
        <w:widowControl/>
        <w:jc w:val="center"/>
        <w:rPr>
          <w:rFonts w:eastAsia="方正小标宋_GBK"/>
          <w:color w:val="000000"/>
          <w:kern w:val="0"/>
          <w:sz w:val="28"/>
          <w:szCs w:val="36"/>
        </w:rPr>
      </w:pPr>
      <w:r>
        <w:rPr>
          <w:rFonts w:hint="eastAsia" w:eastAsia="方正小标宋_GBK"/>
          <w:color w:val="000000"/>
          <w:kern w:val="0"/>
          <w:sz w:val="28"/>
          <w:szCs w:val="36"/>
        </w:rPr>
        <w:t>一般公共预算财政拨款基本支出决算表</w:t>
      </w:r>
      <w:bookmarkStart w:id="1" w:name="RANGE!A1:I39"/>
      <w:bookmarkEnd w:id="1"/>
    </w:p>
    <w:p>
      <w:pPr>
        <w:widowControl/>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06</w:t>
      </w:r>
      <w:r>
        <w:rPr>
          <w:rFonts w:hint="eastAsia" w:eastAsia="仿宋_GB2312"/>
          <w:color w:val="000000"/>
          <w:kern w:val="0"/>
          <w:szCs w:val="21"/>
        </w:rPr>
        <w:t>表</w:t>
      </w:r>
    </w:p>
    <w:p>
      <w:pPr>
        <w:widowControl/>
        <w:jc w:val="right"/>
        <w:rPr>
          <w:rFonts w:eastAsia="仿宋_GB2312"/>
          <w:color w:val="000000"/>
          <w:kern w:val="0"/>
          <w:szCs w:val="21"/>
        </w:rPr>
      </w:pPr>
      <w:r>
        <w:rPr>
          <w:rFonts w:hint="eastAsia" w:eastAsia="仿宋_GB2312"/>
          <w:color w:val="000000"/>
          <w:kern w:val="0"/>
          <w:szCs w:val="21"/>
        </w:rPr>
        <w:t>单位：万元</w:t>
      </w:r>
    </w:p>
    <w:tbl>
      <w:tblPr>
        <w:tblStyle w:val="7"/>
        <w:tblW w:w="15900" w:type="dxa"/>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4394"/>
        <w:gridCol w:w="856"/>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4394"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w:t>
            </w:r>
          </w:p>
        </w:tc>
        <w:tc>
          <w:tcPr>
            <w:tcW w:w="330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noWrap/>
            <w:vAlign w:val="to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w:t>
            </w:r>
          </w:p>
        </w:tc>
        <w:tc>
          <w:tcPr>
            <w:tcW w:w="2297"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noWrap/>
            <w:vAlign w:val="to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307</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30101</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基本工资</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30201</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30701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国内债务付息</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30102</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津贴补贴</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30202</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印刷费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30702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国外债务付息</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30103</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30203</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咨询费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30106</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伙食补助费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30204</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手续费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房屋建筑物购建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30107</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绩效工资</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30205</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办公设备购置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30108</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机关事业单位基本养老保险费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30206</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电费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31003</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专用设备购置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30109</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职业年金缴费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30207</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邮电费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31005</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基础设施建设</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30110</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职工基本医疗保险缴费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30208</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取暖费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31006</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大型修缮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30111</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公务员医疗补助缴费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30209</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物业管理费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31007</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信息网络及软件购置更新</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30112</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其他社会保障缴费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30211</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差旅费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31008</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物资储备</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30113</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住房公积金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30212</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因公出国（境）费用</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31009</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土地补偿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30114</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30213</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维修（护）费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31010</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安置补助</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30199</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其他工资福利支出</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30214</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租赁费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地上附着物和青苗补偿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w:t>
            </w:r>
          </w:p>
        </w:tc>
        <w:tc>
          <w:tcPr>
            <w:tcW w:w="330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noWrap/>
            <w:vAlign w:val="to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30215</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会议费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拆迁补偿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30301</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离休费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30216</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培训费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31013</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公务用车购置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30302</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退休费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30217</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公务接待费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31019</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其他交通工具购置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30303</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退职（役）费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30218</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专用材料费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31021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文物和陈列品购置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30304</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抚恤金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30224</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被装购置费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31022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无形资产购置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30305</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生活补助</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30225</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专用燃料费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31099</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其他资本性支出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30306</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救济费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30226</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劳务费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30307</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医疗费补助</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30227</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委托业务费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39906</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赠与</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30308</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助学金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30228</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工会经费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39907</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国家赔偿费用支出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奖励金</w:t>
            </w:r>
          </w:p>
        </w:tc>
        <w:tc>
          <w:tcPr>
            <w:tcW w:w="856" w:type="dxa"/>
            <w:tcBorders>
              <w:top w:val="nil"/>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39908</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110" w:type="dxa"/>
            <w:tcBorders>
              <w:top w:val="single" w:color="auto" w:sz="8" w:space="0"/>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07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4394" w:type="dxa"/>
            <w:tcBorders>
              <w:top w:val="single" w:color="auto" w:sz="8" w:space="0"/>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bl>
    <w:p>
      <w:pPr>
        <w:widowControl/>
        <w:jc w:val="left"/>
        <w:rPr>
          <w:rFonts w:hint="eastAsia" w:ascii="楷体_GB2312" w:hAnsi="黑体" w:eastAsia="楷体_GB2312"/>
          <w:szCs w:val="21"/>
        </w:rPr>
      </w:pPr>
      <w:r>
        <w:rPr>
          <w:rFonts w:hint="eastAsia" w:ascii="楷体_GB2312" w:hAnsi="黑体" w:eastAsia="楷体_GB2312"/>
          <w:szCs w:val="21"/>
        </w:rPr>
        <w:t>注：本表反映部门年度一般公共预算财政拨款基本支出明细情况。</w:t>
      </w:r>
      <w:r>
        <w:rPr>
          <w:rFonts w:hint="eastAsia" w:ascii="楷体_GB2312" w:hAnsi="黑体" w:eastAsia="楷体_GB2312"/>
          <w:szCs w:val="21"/>
        </w:rPr>
        <w:br w:type="page"/>
      </w:r>
    </w:p>
    <w:p>
      <w:pPr>
        <w:widowControl/>
        <w:jc w:val="center"/>
        <w:rPr>
          <w:rFonts w:hint="eastAsia" w:eastAsia="方正小标宋_GBK"/>
          <w:color w:val="000000"/>
          <w:kern w:val="0"/>
          <w:sz w:val="36"/>
          <w:szCs w:val="36"/>
        </w:rPr>
      </w:pPr>
      <w:r>
        <w:rPr>
          <w:rFonts w:hint="eastAsia" w:eastAsia="方正小标宋_GBK"/>
          <w:color w:val="000000"/>
          <w:kern w:val="0"/>
          <w:sz w:val="36"/>
          <w:szCs w:val="36"/>
        </w:rPr>
        <w:t>一般公共预算财政拨款“三公”经费支出决算表</w:t>
      </w:r>
    </w:p>
    <w:p>
      <w:pPr>
        <w:widowControl/>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07</w:t>
      </w:r>
      <w:r>
        <w:rPr>
          <w:rFonts w:hint="eastAsia" w:eastAsia="仿宋_GB2312"/>
          <w:color w:val="000000"/>
          <w:kern w:val="0"/>
          <w:szCs w:val="21"/>
        </w:rPr>
        <w:t>表</w:t>
      </w:r>
    </w:p>
    <w:p>
      <w:pPr>
        <w:widowControl/>
        <w:ind w:right="420"/>
        <w:jc w:val="right"/>
        <w:rPr>
          <w:rFonts w:eastAsia="仿宋_GB2312"/>
          <w:color w:val="000000"/>
          <w:kern w:val="0"/>
          <w:szCs w:val="21"/>
        </w:rPr>
      </w:pPr>
      <w:r>
        <w:rPr>
          <w:rFonts w:hint="eastAsia" w:eastAsia="仿宋_GB2312"/>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noWrap w:val="0"/>
            <w:vAlign w:val="center"/>
          </w:tcPr>
          <w:p>
            <w:pPr>
              <w:widowControl/>
              <w:jc w:val="center"/>
              <w:rPr>
                <w:rFonts w:eastAsia="仿宋_GB2312"/>
                <w:kern w:val="0"/>
                <w:szCs w:val="21"/>
              </w:rPr>
            </w:pPr>
            <w:r>
              <w:rPr>
                <w:rFonts w:hint="eastAsia" w:eastAsia="仿宋_GB2312"/>
                <w:kern w:val="0"/>
                <w:szCs w:val="21"/>
              </w:rPr>
              <w:t>预算数</w:t>
            </w:r>
          </w:p>
        </w:tc>
        <w:tc>
          <w:tcPr>
            <w:tcW w:w="7320" w:type="dxa"/>
            <w:gridSpan w:val="6"/>
            <w:tcBorders>
              <w:top w:val="single" w:color="auto" w:sz="8" w:space="0"/>
              <w:left w:val="nil"/>
              <w:bottom w:val="single" w:color="auto" w:sz="4" w:space="0"/>
              <w:right w:val="single" w:color="000000" w:sz="8" w:space="0"/>
            </w:tcBorders>
            <w:noWrap w:val="0"/>
            <w:vAlign w:val="center"/>
          </w:tcPr>
          <w:p>
            <w:pPr>
              <w:widowControl/>
              <w:jc w:val="center"/>
              <w:rPr>
                <w:rFonts w:eastAsia="仿宋_GB2312"/>
                <w:kern w:val="0"/>
                <w:szCs w:val="21"/>
              </w:rPr>
            </w:pPr>
            <w:r>
              <w:rPr>
                <w:rFonts w:hint="eastAsia" w:eastAsia="仿宋_GB2312"/>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eastAsia="仿宋_GB2312"/>
                <w:kern w:val="0"/>
                <w:szCs w:val="21"/>
              </w:rPr>
            </w:pPr>
            <w:r>
              <w:rPr>
                <w:rFonts w:hint="eastAsia" w:eastAsia="仿宋_GB2312"/>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公务</w:t>
            </w:r>
          </w:p>
          <w:p>
            <w:pPr>
              <w:widowControl/>
              <w:jc w:val="center"/>
              <w:rPr>
                <w:rFonts w:eastAsia="仿宋_GB2312"/>
                <w:kern w:val="0"/>
                <w:szCs w:val="21"/>
              </w:rPr>
            </w:pPr>
            <w:r>
              <w:rPr>
                <w:rFonts w:hint="eastAsia" w:eastAsia="仿宋_GB2312"/>
                <w:kern w:val="0"/>
                <w:szCs w:val="21"/>
              </w:rPr>
              <w:t>接待费</w:t>
            </w:r>
          </w:p>
        </w:tc>
        <w:tc>
          <w:tcPr>
            <w:tcW w:w="1220" w:type="dxa"/>
            <w:vMerge w:val="restart"/>
            <w:tcBorders>
              <w:top w:val="nil"/>
              <w:left w:val="nil"/>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eastAsia="仿宋_GB2312"/>
                <w:kern w:val="0"/>
                <w:szCs w:val="21"/>
              </w:rPr>
            </w:pPr>
            <w:r>
              <w:rPr>
                <w:rFonts w:hint="eastAsia" w:eastAsia="仿宋_GB2312"/>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公务</w:t>
            </w:r>
          </w:p>
          <w:p>
            <w:pPr>
              <w:widowControl/>
              <w:jc w:val="center"/>
              <w:rPr>
                <w:rFonts w:eastAsia="仿宋_GB2312"/>
                <w:kern w:val="0"/>
                <w:szCs w:val="21"/>
              </w:rPr>
            </w:pPr>
            <w:r>
              <w:rPr>
                <w:rFonts w:hint="eastAsia" w:eastAsia="仿宋_GB2312"/>
                <w:kern w:val="0"/>
                <w:szCs w:val="21"/>
              </w:rPr>
              <w:t>接待费</w:t>
            </w:r>
          </w:p>
        </w:tc>
      </w:tr>
      <w:tr>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小计</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购置费</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运行费</w:t>
            </w: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小计</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购置费</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运行费</w:t>
            </w:r>
          </w:p>
        </w:tc>
        <w:tc>
          <w:tcPr>
            <w:tcW w:w="0" w:type="auto"/>
            <w:vMerge w:val="continue"/>
            <w:tcBorders>
              <w:top w:val="nil"/>
              <w:left w:val="single" w:color="auto" w:sz="4" w:space="0"/>
              <w:bottom w:val="single" w:color="000000" w:sz="4" w:space="0"/>
              <w:right w:val="single" w:color="auto" w:sz="8" w:space="0"/>
            </w:tcBorders>
            <w:noWrap w:val="0"/>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nil"/>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single" w:color="auto" w:sz="4" w:space="0"/>
              <w:bottom w:val="single" w:color="auto" w:sz="8" w:space="0"/>
              <w:right w:val="single" w:color="auto" w:sz="8"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r>
    </w:tbl>
    <w:p>
      <w:pPr>
        <w:autoSpaceDE w:val="0"/>
        <w:autoSpaceDN w:val="0"/>
        <w:adjustRightInd w:val="0"/>
        <w:ind w:left="315" w:leftChars="150"/>
        <w:jc w:val="left"/>
        <w:rPr>
          <w:rFonts w:hint="eastAsia" w:ascii="楷体_GB2312" w:hAnsi="Calibri" w:eastAsia="楷体_GB2312" w:cs="宋体"/>
          <w:kern w:val="0"/>
          <w:sz w:val="24"/>
        </w:rPr>
      </w:pPr>
      <w:r>
        <w:rPr>
          <w:rFonts w:hint="eastAsia" w:ascii="楷体_GB2312" w:eastAsia="楷体_GB2312" w:cs="宋体"/>
          <w:kern w:val="0"/>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hint="eastAsia" w:ascii="宋体" w:cs="宋体"/>
          <w:kern w:val="0"/>
          <w:sz w:val="24"/>
        </w:rPr>
      </w:pPr>
      <w:r>
        <w:rPr>
          <w:rFonts w:hint="eastAsia" w:ascii="宋体" w:cs="宋体"/>
          <w:kern w:val="0"/>
          <w:sz w:val="24"/>
        </w:rPr>
        <w:br w:type="page"/>
      </w:r>
    </w:p>
    <w:p>
      <w:pPr>
        <w:autoSpaceDE w:val="0"/>
        <w:autoSpaceDN w:val="0"/>
        <w:adjustRightInd w:val="0"/>
        <w:ind w:left="315" w:leftChars="150"/>
        <w:jc w:val="left"/>
        <w:rPr>
          <w:rFonts w:hint="eastAsia" w:ascii="宋体" w:cs="宋体"/>
          <w:kern w:val="0"/>
          <w:sz w:val="24"/>
        </w:rPr>
      </w:pPr>
    </w:p>
    <w:p>
      <w:pPr>
        <w:widowControl/>
        <w:jc w:val="center"/>
        <w:rPr>
          <w:rFonts w:hint="eastAsia" w:eastAsia="方正小标宋_GBK"/>
          <w:kern w:val="0"/>
          <w:sz w:val="36"/>
          <w:szCs w:val="36"/>
        </w:rPr>
      </w:pPr>
      <w:r>
        <w:rPr>
          <w:rFonts w:hint="eastAsia" w:eastAsia="方正小标宋_GBK"/>
          <w:kern w:val="0"/>
          <w:sz w:val="36"/>
          <w:szCs w:val="36"/>
        </w:rPr>
        <w:t>政府性基金预算财政拨款收支决算表</w:t>
      </w:r>
    </w:p>
    <w:p>
      <w:pPr>
        <w:widowControl/>
        <w:wordWrap w:val="0"/>
        <w:jc w:val="righ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08</w:t>
      </w:r>
      <w:r>
        <w:rPr>
          <w:rFonts w:hint="eastAsia" w:eastAsia="仿宋_GB2312"/>
          <w:color w:val="000000"/>
          <w:kern w:val="0"/>
          <w:szCs w:val="21"/>
        </w:rPr>
        <w:t>表</w:t>
      </w:r>
    </w:p>
    <w:p>
      <w:pPr>
        <w:widowControl/>
        <w:jc w:val="right"/>
        <w:rPr>
          <w:rFonts w:eastAsia="仿宋_GB2312"/>
          <w:color w:val="000000"/>
          <w:kern w:val="0"/>
          <w:szCs w:val="21"/>
        </w:rPr>
      </w:pPr>
      <w:r>
        <w:rPr>
          <w:rFonts w:hint="eastAsia" w:eastAsia="仿宋_GB2312"/>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年初结转和结余</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本年收入</w:t>
            </w:r>
          </w:p>
        </w:tc>
        <w:tc>
          <w:tcPr>
            <w:tcW w:w="6000" w:type="dxa"/>
            <w:gridSpan w:val="3"/>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本年支出</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功能分类科目编码</w:t>
            </w:r>
          </w:p>
        </w:tc>
        <w:tc>
          <w:tcPr>
            <w:tcW w:w="132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科目名称</w:t>
            </w: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小计</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基本支出</w:t>
            </w:r>
            <w:r>
              <w:rPr>
                <w:rFonts w:eastAsia="仿宋_GB2312"/>
                <w:b/>
                <w:kern w:val="0"/>
                <w:szCs w:val="21"/>
              </w:rPr>
              <w:t xml:space="preserve">  </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项目支出</w:t>
            </w: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栏次</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1</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2</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3</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4</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5</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bl>
    <w:p>
      <w:pPr>
        <w:widowControl/>
        <w:jc w:val="left"/>
        <w:rPr>
          <w:rFonts w:eastAsia="仿宋_GB2312"/>
          <w:kern w:val="0"/>
          <w:szCs w:val="21"/>
        </w:rPr>
      </w:pPr>
      <w:r>
        <w:rPr>
          <w:rFonts w:hint="eastAsia" w:eastAsia="仿宋_GB2312"/>
          <w:kern w:val="0"/>
          <w:szCs w:val="21"/>
        </w:rPr>
        <w:t>注：</w:t>
      </w:r>
      <w:r>
        <w:rPr>
          <w:rFonts w:hint="eastAsia" w:eastAsia="仿宋_GB2312"/>
          <w:kern w:val="0"/>
          <w:szCs w:val="21"/>
          <w:lang w:eastAsia="zh-CN"/>
        </w:rPr>
        <w:t>湘潭县拘留所</w:t>
      </w:r>
      <w:r>
        <w:rPr>
          <w:rFonts w:hint="eastAsia" w:eastAsia="仿宋_GB2312"/>
          <w:kern w:val="0"/>
          <w:szCs w:val="21"/>
        </w:rPr>
        <w:t>单位</w:t>
      </w:r>
      <w:r>
        <w:rPr>
          <w:rFonts w:hint="eastAsia" w:eastAsia="仿宋_GB2312"/>
          <w:kern w:val="0"/>
          <w:szCs w:val="21"/>
          <w:lang w:eastAsia="zh-CN"/>
        </w:rPr>
        <w:t>没有</w:t>
      </w:r>
      <w:r>
        <w:rPr>
          <w:rFonts w:hint="eastAsia" w:eastAsia="仿宋_GB2312"/>
          <w:kern w:val="0"/>
          <w:szCs w:val="21"/>
        </w:rPr>
        <w:t>政府性基金收入，也没有使用政府性基金安排的支出，故本表无数据。</w:t>
      </w:r>
    </w:p>
    <w:p>
      <w:pPr>
        <w:widowControl/>
        <w:jc w:val="left"/>
        <w:rPr>
          <w:rFonts w:ascii="黑体" w:hAnsi="黑体" w:eastAsia="黑体"/>
          <w:szCs w:val="21"/>
        </w:rPr>
      </w:pPr>
    </w:p>
    <w:p>
      <w:pPr>
        <w:pStyle w:val="2"/>
        <w:rPr>
          <w:rFonts w:ascii="黑体" w:hAnsi="黑体" w:eastAsia="黑体"/>
          <w:szCs w:val="21"/>
        </w:rPr>
      </w:pPr>
    </w:p>
    <w:p>
      <w:pPr>
        <w:pStyle w:val="2"/>
        <w:rPr>
          <w:rFonts w:ascii="黑体" w:hAnsi="黑体" w:eastAsia="黑体"/>
          <w:szCs w:val="21"/>
        </w:rPr>
      </w:pPr>
    </w:p>
    <w:p>
      <w:pPr>
        <w:pStyle w:val="2"/>
        <w:rPr>
          <w:rFonts w:ascii="黑体" w:hAnsi="黑体" w:eastAsia="黑体"/>
          <w:szCs w:val="21"/>
        </w:rPr>
      </w:pPr>
    </w:p>
    <w:p>
      <w:pPr>
        <w:pStyle w:val="2"/>
        <w:rPr>
          <w:rFonts w:ascii="黑体" w:hAnsi="黑体" w:eastAsia="黑体"/>
          <w:szCs w:val="21"/>
        </w:rPr>
      </w:pPr>
    </w:p>
    <w:tbl>
      <w:tblPr>
        <w:tblStyle w:val="7"/>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noWrap w:val="0"/>
            <w:vAlign w:val="center"/>
          </w:tcPr>
          <w:p>
            <w:pPr>
              <w:widowControl/>
              <w:jc w:val="center"/>
              <w:rPr>
                <w:rFonts w:ascii="华文中宋" w:hAnsi="华文中宋" w:eastAsia="华文中宋" w:cs="宋体"/>
                <w:kern w:val="0"/>
                <w:sz w:val="32"/>
                <w:szCs w:val="32"/>
              </w:rPr>
            </w:pPr>
            <w:r>
              <w:rPr>
                <w:rFonts w:hint="eastAsia" w:ascii="黑体" w:hAnsi="黑体" w:eastAsia="黑体" w:cs="黑体"/>
                <w:color w:val="000000"/>
                <w:kern w:val="0"/>
                <w:sz w:val="36"/>
                <w:szCs w:val="36"/>
              </w:rPr>
              <w:t>国有资本经营预算财政拨款支出决算表</w:t>
            </w:r>
          </w:p>
        </w:tc>
      </w:tr>
      <w:tr>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372" w:type="dxa"/>
            <w:tcBorders>
              <w:top w:val="nil"/>
              <w:left w:val="nil"/>
              <w:bottom w:val="nil"/>
              <w:right w:val="nil"/>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3187" w:type="dxa"/>
            <w:gridSpan w:val="2"/>
            <w:tcBorders>
              <w:top w:val="nil"/>
              <w:left w:val="nil"/>
              <w:bottom w:val="nil"/>
              <w:right w:val="nil"/>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1215" w:type="dxa"/>
            <w:tcBorders>
              <w:top w:val="nil"/>
              <w:left w:val="nil"/>
              <w:bottom w:val="nil"/>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2596" w:type="dxa"/>
            <w:gridSpan w:val="2"/>
            <w:tcBorders>
              <w:top w:val="nil"/>
              <w:left w:val="nil"/>
              <w:bottom w:val="nil"/>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6272" w:type="dxa"/>
            <w:gridSpan w:val="2"/>
            <w:tcBorders>
              <w:top w:val="nil"/>
              <w:left w:val="nil"/>
              <w:bottom w:val="nil"/>
              <w:right w:val="nil"/>
            </w:tcBorders>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公开09表</w:t>
            </w:r>
          </w:p>
        </w:tc>
      </w:tr>
      <w:tr>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pPr>
              <w:widowControl/>
              <w:jc w:val="left"/>
              <w:rPr>
                <w:rFonts w:hint="eastAsia" w:ascii="宋体" w:hAnsi="宋体" w:eastAsia="宋体" w:cs="宋体"/>
                <w:color w:val="000000"/>
                <w:kern w:val="0"/>
                <w:sz w:val="20"/>
                <w:szCs w:val="20"/>
              </w:rPr>
            </w:pPr>
            <w:r>
              <w:rPr>
                <w:rFonts w:hint="eastAsia" w:ascii="Times New Roman" w:hAnsi="Times New Roman" w:eastAsia="仿宋_GB2312" w:cs="Times New Roman"/>
                <w:kern w:val="0"/>
                <w:szCs w:val="21"/>
              </w:rPr>
              <w:t>部门：</w:t>
            </w:r>
          </w:p>
        </w:tc>
        <w:tc>
          <w:tcPr>
            <w:tcW w:w="3559" w:type="dxa"/>
            <w:gridSpan w:val="3"/>
            <w:tcBorders>
              <w:top w:val="nil"/>
              <w:left w:val="nil"/>
              <w:bottom w:val="nil"/>
              <w:right w:val="nil"/>
            </w:tcBorders>
            <w:noWrap w:val="0"/>
            <w:vAlign w:val="center"/>
          </w:tcPr>
          <w:p>
            <w:pPr>
              <w:widowControl/>
              <w:jc w:val="both"/>
              <w:rPr>
                <w:rFonts w:hint="eastAsia" w:ascii="宋体" w:hAnsi="宋体" w:eastAsia="宋体" w:cs="宋体"/>
                <w:kern w:val="0"/>
                <w:sz w:val="20"/>
                <w:szCs w:val="20"/>
              </w:rPr>
            </w:pPr>
            <w:r>
              <w:rPr>
                <w:rFonts w:hint="eastAsia" w:eastAsia="仿宋_GB2312"/>
                <w:color w:val="000000"/>
                <w:kern w:val="0"/>
                <w:szCs w:val="21"/>
              </w:rPr>
              <w:t>湘潭县拘留所</w:t>
            </w:r>
          </w:p>
        </w:tc>
        <w:tc>
          <w:tcPr>
            <w:tcW w:w="1215" w:type="dxa"/>
            <w:tcBorders>
              <w:top w:val="nil"/>
              <w:left w:val="nil"/>
              <w:bottom w:val="single" w:color="auto" w:sz="8" w:space="0"/>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2596" w:type="dxa"/>
            <w:gridSpan w:val="2"/>
            <w:tcBorders>
              <w:top w:val="nil"/>
              <w:left w:val="nil"/>
              <w:bottom w:val="single" w:color="auto" w:sz="8" w:space="0"/>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6272" w:type="dxa"/>
            <w:gridSpan w:val="2"/>
            <w:tcBorders>
              <w:top w:val="nil"/>
              <w:left w:val="nil"/>
              <w:bottom w:val="nil"/>
              <w:right w:val="nil"/>
            </w:tcBorders>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单位：万元</w:t>
            </w:r>
          </w:p>
        </w:tc>
      </w:tr>
      <w:tr>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项    目</w:t>
            </w:r>
          </w:p>
        </w:tc>
        <w:tc>
          <w:tcPr>
            <w:tcW w:w="10083" w:type="dxa"/>
            <w:gridSpan w:val="5"/>
            <w:tcBorders>
              <w:top w:val="single" w:color="auto" w:sz="8"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本年支出</w:t>
            </w:r>
          </w:p>
        </w:tc>
      </w:tr>
      <w:tr>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功能分类科目编码</w:t>
            </w:r>
          </w:p>
        </w:tc>
        <w:tc>
          <w:tcPr>
            <w:tcW w:w="2109"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科目名称</w:t>
            </w:r>
          </w:p>
        </w:tc>
        <w:tc>
          <w:tcPr>
            <w:tcW w:w="2883"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合计</w:t>
            </w:r>
          </w:p>
        </w:tc>
        <w:tc>
          <w:tcPr>
            <w:tcW w:w="3225"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 xml:space="preserve">基本支出  </w:t>
            </w:r>
          </w:p>
        </w:tc>
        <w:tc>
          <w:tcPr>
            <w:tcW w:w="39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项目支出</w:t>
            </w: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栏次</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合计</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eastAsia="仿宋_GB2312" w:cs="Times New Roman"/>
                <w:kern w:val="0"/>
                <w:szCs w:val="21"/>
                <w:lang w:val="en-US" w:eastAsia="zh-CN"/>
              </w:rPr>
              <w:t>0</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eastAsia="仿宋_GB2312" w:cs="Times New Roman"/>
                <w:kern w:val="0"/>
                <w:szCs w:val="21"/>
                <w:lang w:val="en-US" w:eastAsia="zh-CN"/>
              </w:rPr>
              <w:t>0</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noWrap w:val="0"/>
            <w:vAlign w:val="center"/>
          </w:tcPr>
          <w:p>
            <w:pPr>
              <w:widowControl/>
              <w:jc w:val="left"/>
              <w:rPr>
                <w:rFonts w:hint="eastAsia" w:ascii="宋体" w:hAnsi="宋体" w:eastAsia="宋体" w:cs="宋体"/>
                <w:kern w:val="0"/>
                <w:sz w:val="20"/>
                <w:szCs w:val="20"/>
              </w:rPr>
            </w:pPr>
            <w:r>
              <w:rPr>
                <w:rFonts w:hint="eastAsia" w:ascii="Times New Roman" w:hAnsi="Times New Roman" w:eastAsia="仿宋_GB2312" w:cs="Times New Roman"/>
                <w:kern w:val="0"/>
                <w:szCs w:val="21"/>
              </w:rPr>
              <w:t>注：</w:t>
            </w:r>
            <w:r>
              <w:rPr>
                <w:rFonts w:hint="eastAsia" w:eastAsia="仿宋_GB2312"/>
                <w:kern w:val="0"/>
                <w:szCs w:val="21"/>
                <w:lang w:eastAsia="zh-CN"/>
              </w:rPr>
              <w:t>湘潭县拘留所</w:t>
            </w:r>
            <w:r>
              <w:rPr>
                <w:rFonts w:hint="eastAsia" w:eastAsia="仿宋_GB2312"/>
                <w:kern w:val="0"/>
                <w:szCs w:val="21"/>
              </w:rPr>
              <w:t>单位</w:t>
            </w:r>
            <w:r>
              <w:rPr>
                <w:rFonts w:hint="eastAsia" w:eastAsia="仿宋_GB2312"/>
                <w:kern w:val="0"/>
                <w:szCs w:val="21"/>
                <w:lang w:eastAsia="zh-CN"/>
              </w:rPr>
              <w:t>没有</w:t>
            </w:r>
            <w:r>
              <w:rPr>
                <w:rFonts w:hint="eastAsia" w:ascii="Times New Roman" w:hAnsi="Times New Roman" w:eastAsia="仿宋_GB2312" w:cs="Times New Roman"/>
                <w:kern w:val="0"/>
                <w:szCs w:val="21"/>
              </w:rPr>
              <w:t>国有资本经营预算财政拨款支出</w:t>
            </w:r>
            <w:r>
              <w:rPr>
                <w:rFonts w:hint="eastAsia" w:eastAsia="仿宋_GB2312" w:cs="Times New Roman"/>
                <w:kern w:val="0"/>
                <w:szCs w:val="21"/>
                <w:lang w:val="en-US" w:eastAsia="zh-CN"/>
              </w:rPr>
              <w:t>,</w:t>
            </w:r>
            <w:r>
              <w:rPr>
                <w:rFonts w:hint="eastAsia" w:eastAsia="仿宋_GB2312"/>
                <w:kern w:val="0"/>
                <w:szCs w:val="21"/>
              </w:rPr>
              <w:t>故本表无数据</w:t>
            </w:r>
            <w:r>
              <w:rPr>
                <w:rFonts w:hint="eastAsia" w:ascii="Times New Roman" w:hAnsi="Times New Roman" w:eastAsia="仿宋_GB2312" w:cs="Times New Roman"/>
                <w:kern w:val="0"/>
                <w:szCs w:val="21"/>
              </w:rPr>
              <w:t>。</w:t>
            </w:r>
          </w:p>
        </w:tc>
      </w:tr>
    </w:tbl>
    <w:p>
      <w:pPr>
        <w:pStyle w:val="2"/>
        <w:rPr>
          <w:rFonts w:ascii="黑体" w:hAnsi="黑体" w:eastAsia="黑体"/>
          <w:szCs w:val="21"/>
        </w:rPr>
        <w:sectPr>
          <w:pgSz w:w="16838" w:h="11906" w:orient="landscape"/>
          <w:pgMar w:top="720" w:right="720" w:bottom="720" w:left="720" w:header="851" w:footer="992" w:gutter="0"/>
          <w:cols w:space="720" w:num="1"/>
          <w:docGrid w:type="lines" w:linePitch="312" w:charSpace="0"/>
        </w:sectPr>
      </w:pPr>
    </w:p>
    <w:p>
      <w:pPr>
        <w:widowControl/>
        <w:spacing w:line="600" w:lineRule="exact"/>
        <w:jc w:val="center"/>
        <w:rPr>
          <w:rFonts w:hint="eastAsia" w:eastAsia="方正小标宋_GBK"/>
          <w:bCs/>
          <w:kern w:val="0"/>
          <w:sz w:val="36"/>
          <w:szCs w:val="36"/>
        </w:rPr>
      </w:pPr>
      <w:r>
        <w:rPr>
          <w:rFonts w:hint="eastAsia" w:eastAsia="方正小标宋_GBK"/>
          <w:bCs/>
          <w:kern w:val="0"/>
          <w:sz w:val="36"/>
          <w:szCs w:val="36"/>
        </w:rPr>
        <w:t xml:space="preserve">第三部分 </w:t>
      </w:r>
      <w:r>
        <w:rPr>
          <w:rFonts w:hint="eastAsia" w:eastAsia="仿宋_GB2312"/>
          <w:b/>
          <w:bCs/>
          <w:kern w:val="0"/>
          <w:sz w:val="32"/>
          <w:szCs w:val="32"/>
          <w:lang w:eastAsia="zh-CN"/>
        </w:rPr>
        <w:t>2021</w:t>
      </w:r>
      <w:r>
        <w:rPr>
          <w:rFonts w:hint="eastAsia" w:eastAsia="方正小标宋_GBK"/>
          <w:bCs/>
          <w:kern w:val="0"/>
          <w:sz w:val="36"/>
          <w:szCs w:val="36"/>
        </w:rPr>
        <w:t>年度部门决算情况说明</w:t>
      </w:r>
    </w:p>
    <w:p>
      <w:pPr>
        <w:widowControl/>
        <w:jc w:val="left"/>
        <w:rPr>
          <w:rFonts w:hint="eastAsia" w:ascii="黑体" w:eastAsia="黑体" w:cs="黑体"/>
          <w:color w:val="000000"/>
          <w:kern w:val="0"/>
          <w:sz w:val="70"/>
          <w:szCs w:val="70"/>
        </w:rPr>
      </w:pP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一、收入支出决算总体情况说明</w:t>
      </w:r>
    </w:p>
    <w:p>
      <w:pPr>
        <w:pStyle w:val="10"/>
        <w:spacing w:line="600" w:lineRule="exact"/>
        <w:ind w:firstLine="643"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lang w:eastAsia="zh-CN"/>
        </w:rPr>
        <w:t>2021</w:t>
      </w:r>
      <w:r>
        <w:rPr>
          <w:rFonts w:hint="eastAsia" w:ascii="Times New Roman" w:hAnsi="Times New Roman" w:eastAsia="仿宋_GB2312" w:cs="Times New Roman"/>
          <w:bCs/>
          <w:color w:val="auto"/>
          <w:sz w:val="32"/>
          <w:szCs w:val="32"/>
        </w:rPr>
        <w:t>年度</w:t>
      </w:r>
      <w:r>
        <w:rPr>
          <w:rFonts w:ascii="Times New Roman" w:hAnsi="Times New Roman" w:eastAsia="仿宋_GB2312" w:cs="Times New Roman"/>
          <w:color w:val="auto"/>
          <w:sz w:val="32"/>
          <w:szCs w:val="32"/>
        </w:rPr>
        <w:t>收、支总计</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61.52</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39.01</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eastAsia="zh-CN"/>
        </w:rPr>
        <w:t>严控一般公共预算财政拨款支出</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二、收入决算情况说明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lang w:val="en-US" w:eastAsia="zh-CN"/>
        </w:rPr>
        <w:t>98.78</w:t>
      </w:r>
      <w:r>
        <w:rPr>
          <w:rFonts w:ascii="Times New Roman" w:hAnsi="Times New Roman" w:eastAsia="仿宋_GB2312" w:cs="Times New Roman"/>
          <w:color w:val="auto"/>
          <w:sz w:val="32"/>
          <w:szCs w:val="32"/>
        </w:rPr>
        <w:t>%；上级补助收入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%；事业收入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%；经营收入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%；附属单位上缴收入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%；其他收入</w:t>
      </w:r>
      <w:r>
        <w:rPr>
          <w:rFonts w:hint="eastAsia" w:ascii="Times New Roman" w:hAnsi="Times New Roman" w:eastAsia="仿宋_GB2312" w:cs="Times New Roman"/>
          <w:color w:val="auto"/>
          <w:sz w:val="32"/>
          <w:szCs w:val="32"/>
          <w:u w:val="none"/>
          <w:lang w:val="en-US" w:eastAsia="zh-CN"/>
        </w:rPr>
        <w:t>1.17</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lang w:val="en-US" w:eastAsia="zh-CN"/>
        </w:rPr>
        <w:t>1.22</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三、支出决算情况说明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100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%；上缴上级支出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%；经营支出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%；对附属单位补助支出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四、财政拨款收入支出决算总体情况说明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u w:val="none"/>
          <w:lang w:val="en-US" w:eastAsia="zh-CN"/>
        </w:rPr>
        <w:t>5.38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5.36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eastAsia="zh-CN"/>
        </w:rPr>
        <w:t>严控一般公共预算财政拨款支出，压缩经费</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五、一般公共预算财政拨款支出决算情况说明</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（一）财政拨款支出决算总体情况</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万元，占本年支出合计的</w:t>
      </w:r>
      <w:r>
        <w:rPr>
          <w:rFonts w:hint="eastAsia" w:ascii="Times New Roman" w:hAnsi="Times New Roman" w:eastAsia="仿宋_GB2312" w:cs="Times New Roman"/>
          <w:color w:val="auto"/>
          <w:sz w:val="32"/>
          <w:szCs w:val="32"/>
          <w:u w:val="none"/>
          <w:lang w:val="en-US" w:eastAsia="zh-CN"/>
        </w:rPr>
        <w:t>98.78</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年相比，财政拨款支出</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5.38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5.36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eastAsia="zh-CN"/>
        </w:rPr>
        <w:t>严控一般公共预算财政拨款支出</w:t>
      </w:r>
      <w:r>
        <w:rPr>
          <w:rFonts w:hint="eastAsia" w:ascii="Times New Roman" w:hAnsi="Times New Roman" w:eastAsia="仿宋_GB2312" w:cs="Times New Roman"/>
          <w:color w:val="auto"/>
          <w:sz w:val="32"/>
          <w:szCs w:val="32"/>
        </w:rPr>
        <w:t>。</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（二）财政拨款支出决算结构情况</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万元，主要用于以下方面：一般公共服务（类）支出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%；教育（类）支出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公安监所公共安全支出</w:t>
      </w:r>
      <w:r>
        <w:rPr>
          <w:rFonts w:hint="eastAsia" w:ascii="Times New Roman" w:hAnsi="Times New Roman" w:eastAsia="仿宋_GB2312" w:cs="Times New Roman"/>
          <w:color w:val="auto"/>
          <w:sz w:val="32"/>
          <w:szCs w:val="32"/>
          <w:u w:val="none"/>
          <w:lang w:val="en-US" w:eastAsia="zh-CN"/>
        </w:rPr>
        <w:t>95</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100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（三）财政拨款支出决算具体情况</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年度财政拨款支出年初预算数为</w:t>
      </w:r>
      <w:r>
        <w:rPr>
          <w:rFonts w:hint="eastAsia" w:ascii="Times New Roman" w:hAnsi="Times New Roman" w:eastAsia="仿宋_GB2312" w:cs="Times New Roman"/>
          <w:color w:val="auto"/>
          <w:sz w:val="32"/>
          <w:szCs w:val="32"/>
          <w:u w:val="none"/>
          <w:lang w:val="en-US" w:eastAsia="zh-CN"/>
        </w:rPr>
        <w:t>85</w:t>
      </w:r>
      <w:r>
        <w:rPr>
          <w:rFonts w:ascii="Times New Roman" w:hAnsi="Times New Roman" w:eastAsia="仿宋_GB2312" w:cs="Times New Roman"/>
          <w:color w:val="auto"/>
          <w:sz w:val="32"/>
          <w:szCs w:val="32"/>
        </w:rPr>
        <w:t>万元，支出决算数为</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u w:val="none"/>
          <w:lang w:val="en-US" w:eastAsia="zh-CN"/>
        </w:rPr>
        <w:t>111.76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kern w:val="0"/>
          <w:sz w:val="32"/>
          <w:szCs w:val="32"/>
          <w:lang w:eastAsia="zh-CN"/>
        </w:rPr>
        <w:t>决算数大于预算数，主要原因为年中追加预算，</w:t>
      </w:r>
      <w:r>
        <w:rPr>
          <w:rFonts w:ascii="Times New Roman" w:hAnsi="Times New Roman" w:eastAsia="仿宋_GB2312" w:cs="Times New Roman"/>
          <w:color w:val="auto"/>
          <w:sz w:val="32"/>
          <w:szCs w:val="32"/>
        </w:rPr>
        <w:t>其中：</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公共安全支出（类）公安（款）</w:t>
      </w:r>
      <w:r>
        <w:rPr>
          <w:rFonts w:hint="eastAsia" w:ascii="Times New Roman" w:hAnsi="Times New Roman" w:eastAsia="仿宋_GB2312" w:cs="Times New Roman"/>
          <w:color w:val="auto"/>
          <w:sz w:val="32"/>
          <w:szCs w:val="32"/>
          <w:lang w:eastAsia="zh-CN"/>
        </w:rPr>
        <w:t>其他公安支出</w:t>
      </w:r>
      <w:r>
        <w:rPr>
          <w:rFonts w:hint="eastAsia" w:ascii="Times New Roman" w:hAnsi="Times New Roman" w:eastAsia="仿宋_GB2312" w:cs="Times New Roman"/>
          <w:color w:val="auto"/>
          <w:sz w:val="32"/>
          <w:szCs w:val="32"/>
        </w:rPr>
        <w:t>（项）。</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u w:val="none"/>
          <w:lang w:val="en-US" w:eastAsia="zh-CN"/>
        </w:rPr>
        <w:t>85</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95</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u w:val="none"/>
          <w:lang w:val="en-US" w:eastAsia="zh-CN"/>
        </w:rPr>
        <w:t>111.76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，决算数大于预算数，原因为年中追加预算</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年度财政拨款基本支出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万元，公用经费</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（本单位无基本支出，仅项目支出）。</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七、一般公共预算财政拨款三公经费支出决算情况说明</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“三公”经费财政拨款支出预算为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其中：</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因公出国（境）费支出预算为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万元，与上年相比</w:t>
      </w:r>
      <w:r>
        <w:rPr>
          <w:rFonts w:hint="eastAsia" w:ascii="Times New Roman" w:hAnsi="Times New Roman" w:eastAsia="仿宋_GB2312" w:cs="Times New Roman"/>
          <w:color w:val="auto"/>
          <w:sz w:val="32"/>
          <w:szCs w:val="32"/>
          <w:lang w:eastAsia="zh-CN"/>
        </w:rPr>
        <w:t>持平</w:t>
      </w:r>
      <w:r>
        <w:rPr>
          <w:rFonts w:ascii="Times New Roman" w:hAnsi="Times New Roman" w:eastAsia="仿宋_GB2312" w:cs="Times New Roman"/>
          <w:color w:val="auto"/>
          <w:sz w:val="32"/>
          <w:szCs w:val="32"/>
        </w:rPr>
        <w:t>。</w:t>
      </w:r>
    </w:p>
    <w:p>
      <w:pPr>
        <w:pStyle w:val="10"/>
        <w:spacing w:line="600" w:lineRule="exact"/>
        <w:ind w:firstLine="640" w:firstLineChars="200"/>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公务接待费支出预算</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与上年相比持平。</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与上年相比持平。</w:t>
      </w:r>
    </w:p>
    <w:p>
      <w:pPr>
        <w:pStyle w:val="10"/>
        <w:spacing w:line="600" w:lineRule="exact"/>
        <w:ind w:firstLine="321" w:firstLineChars="1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万元，因公出国（境）费支出决算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万元，公务用车购置费及运行维护费支出决算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万元。其中：</w:t>
      </w:r>
    </w:p>
    <w:p>
      <w:pPr>
        <w:pStyle w:val="10"/>
        <w:spacing w:line="600" w:lineRule="exact"/>
        <w:ind w:firstLine="640" w:firstLineChars="200"/>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1、因公出国（境）费支出决算为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万元，全年安排因公出国（境）团组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个，累计</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人次</w:t>
      </w:r>
      <w:r>
        <w:rPr>
          <w:rFonts w:hint="eastAsia" w:ascii="Times New Roman" w:hAnsi="Times New Roman" w:eastAsia="仿宋_GB2312" w:cs="Times New Roman"/>
          <w:color w:val="auto"/>
          <w:sz w:val="32"/>
          <w:szCs w:val="32"/>
          <w:lang w:eastAsia="zh-CN"/>
        </w:rPr>
        <w:t>。</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2、公务接待费支出决算为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万元，全年共接待来访团组   个、来宾</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人次。</w:t>
      </w:r>
    </w:p>
    <w:p>
      <w:pPr>
        <w:pStyle w:val="10"/>
        <w:spacing w:line="600" w:lineRule="exact"/>
        <w:ind w:firstLine="640" w:firstLineChars="200"/>
        <w:rPr>
          <w:rFonts w:eastAsia="仿宋_GB2312"/>
          <w:sz w:val="32"/>
          <w:szCs w:val="32"/>
        </w:rPr>
      </w:pPr>
      <w:r>
        <w:rPr>
          <w:rFonts w:eastAsia="仿宋_GB2312"/>
          <w:sz w:val="32"/>
          <w:szCs w:val="32"/>
        </w:rPr>
        <w:t>3、公务用车购置费及运行维护费支出决算为</w:t>
      </w:r>
      <w:r>
        <w:rPr>
          <w:rFonts w:hint="eastAsia" w:eastAsia="仿宋_GB2312"/>
          <w:sz w:val="32"/>
          <w:szCs w:val="32"/>
          <w:u w:val="none"/>
          <w:lang w:val="en-US" w:eastAsia="zh-CN"/>
        </w:rPr>
        <w:t>0</w:t>
      </w:r>
      <w:r>
        <w:rPr>
          <w:rFonts w:eastAsia="仿宋_GB2312"/>
          <w:sz w:val="32"/>
          <w:szCs w:val="32"/>
        </w:rPr>
        <w:t>万元，其中：公务用车购置费</w:t>
      </w:r>
      <w:r>
        <w:rPr>
          <w:rFonts w:hint="eastAsia" w:eastAsia="仿宋_GB2312"/>
          <w:sz w:val="32"/>
          <w:szCs w:val="32"/>
          <w:u w:val="none"/>
          <w:lang w:val="en-US" w:eastAsia="zh-CN"/>
        </w:rPr>
        <w:t>0</w:t>
      </w:r>
      <w:r>
        <w:rPr>
          <w:rFonts w:eastAsia="仿宋_GB2312"/>
          <w:sz w:val="32"/>
          <w:szCs w:val="32"/>
        </w:rPr>
        <w:t>万元</w:t>
      </w:r>
      <w:r>
        <w:rPr>
          <w:rFonts w:hint="eastAsia" w:eastAsia="仿宋_GB2312"/>
          <w:sz w:val="32"/>
          <w:szCs w:val="32"/>
          <w:lang w:eastAsia="zh-CN"/>
        </w:rPr>
        <w:t>，</w:t>
      </w:r>
      <w:r>
        <w:rPr>
          <w:rFonts w:eastAsia="仿宋_GB2312"/>
          <w:sz w:val="32"/>
          <w:szCs w:val="32"/>
        </w:rPr>
        <w:t>更新公务用车</w:t>
      </w:r>
      <w:r>
        <w:rPr>
          <w:rFonts w:hint="eastAsia" w:eastAsia="仿宋_GB2312"/>
          <w:sz w:val="32"/>
          <w:szCs w:val="32"/>
          <w:u w:val="none"/>
          <w:lang w:val="en-US" w:eastAsia="zh-CN"/>
        </w:rPr>
        <w:t>0</w:t>
      </w:r>
      <w:r>
        <w:rPr>
          <w:rFonts w:eastAsia="仿宋_GB2312"/>
          <w:sz w:val="32"/>
          <w:szCs w:val="32"/>
        </w:rPr>
        <w:t>辆。公务用车运行维护费</w:t>
      </w:r>
      <w:r>
        <w:rPr>
          <w:rFonts w:hint="eastAsia" w:eastAsia="仿宋_GB2312"/>
          <w:sz w:val="32"/>
          <w:szCs w:val="32"/>
          <w:u w:val="none"/>
          <w:lang w:val="en-US" w:eastAsia="zh-CN"/>
        </w:rPr>
        <w:t>0</w:t>
      </w:r>
      <w:r>
        <w:rPr>
          <w:rFonts w:eastAsia="仿宋_GB2312"/>
          <w:sz w:val="32"/>
          <w:szCs w:val="32"/>
        </w:rPr>
        <w:t>万元，截止</w:t>
      </w:r>
      <w:r>
        <w:rPr>
          <w:rFonts w:hint="eastAsia" w:eastAsia="仿宋_GB2312"/>
          <w:sz w:val="32"/>
          <w:szCs w:val="32"/>
          <w:lang w:val="en-US" w:eastAsia="zh-CN"/>
        </w:rPr>
        <w:t>2021</w:t>
      </w:r>
      <w:r>
        <w:rPr>
          <w:rFonts w:eastAsia="仿宋_GB2312"/>
          <w:sz w:val="32"/>
          <w:szCs w:val="32"/>
        </w:rPr>
        <w:t>年12月31日，我单位开支财政拨款的公务用车保有量为</w:t>
      </w:r>
      <w:r>
        <w:rPr>
          <w:rFonts w:hint="eastAsia" w:eastAsia="仿宋_GB2312"/>
          <w:sz w:val="32"/>
          <w:szCs w:val="32"/>
          <w:u w:val="none"/>
          <w:lang w:val="en-US" w:eastAsia="zh-CN"/>
        </w:rPr>
        <w:t>0</w:t>
      </w:r>
      <w:r>
        <w:rPr>
          <w:rFonts w:eastAsia="仿宋_GB2312"/>
          <w:sz w:val="32"/>
          <w:szCs w:val="32"/>
        </w:rPr>
        <w:t>辆。</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八、政府性基金预算收入支出决算情况</w:t>
      </w:r>
    </w:p>
    <w:p>
      <w:pPr>
        <w:pStyle w:val="10"/>
        <w:spacing w:line="600" w:lineRule="exact"/>
        <w:ind w:firstLine="640" w:firstLineChars="200"/>
        <w:rPr>
          <w:rFonts w:hint="eastAsia" w:eastAsia="仿宋_GB2312"/>
          <w:sz w:val="32"/>
          <w:szCs w:val="32"/>
        </w:rPr>
      </w:pPr>
      <w:r>
        <w:rPr>
          <w:rFonts w:eastAsia="仿宋_GB2312"/>
          <w:sz w:val="32"/>
          <w:szCs w:val="32"/>
        </w:rPr>
        <w:t>本单位无政府性基金收支</w:t>
      </w:r>
      <w:r>
        <w:rPr>
          <w:rFonts w:hint="eastAsia" w:eastAsia="仿宋_GB2312"/>
          <w:sz w:val="32"/>
          <w:szCs w:val="32"/>
        </w:rPr>
        <w:t>。</w:t>
      </w:r>
    </w:p>
    <w:p>
      <w:pPr>
        <w:pStyle w:val="10"/>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lang w:eastAsia="zh-CN"/>
        </w:rPr>
        <w:t>九</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pPr>
        <w:pStyle w:val="10"/>
        <w:spacing w:line="600" w:lineRule="exact"/>
        <w:ind w:firstLine="640" w:firstLineChars="200"/>
        <w:rPr>
          <w:rFonts w:hint="eastAsia" w:eastAsia="仿宋_GB2312"/>
          <w:sz w:val="32"/>
          <w:szCs w:val="32"/>
        </w:rPr>
      </w:pPr>
      <w:r>
        <w:rPr>
          <w:rFonts w:eastAsia="仿宋_GB2312"/>
          <w:sz w:val="32"/>
          <w:szCs w:val="32"/>
        </w:rPr>
        <w:t>本单位无</w:t>
      </w:r>
      <w:r>
        <w:rPr>
          <w:rFonts w:hint="eastAsia" w:eastAsia="仿宋_GB2312"/>
          <w:sz w:val="32"/>
          <w:szCs w:val="32"/>
          <w:lang w:eastAsia="zh-CN"/>
        </w:rPr>
        <w:t>国有资本经营预算支出。</w:t>
      </w:r>
    </w:p>
    <w:p>
      <w:pPr>
        <w:pStyle w:val="10"/>
        <w:spacing w:line="600" w:lineRule="exact"/>
        <w:ind w:firstLine="640" w:firstLineChars="200"/>
        <w:rPr>
          <w:rFonts w:hAnsi="黑体" w:cs="Times New Roman"/>
          <w:color w:val="auto"/>
          <w:sz w:val="32"/>
          <w:szCs w:val="32"/>
        </w:rPr>
      </w:pPr>
      <w:r>
        <w:rPr>
          <w:rFonts w:hint="eastAsia" w:hAnsi="黑体" w:cs="Times New Roman"/>
          <w:color w:val="auto"/>
          <w:sz w:val="32"/>
          <w:szCs w:val="32"/>
          <w:lang w:eastAsia="zh-CN"/>
        </w:rPr>
        <w:t>十</w:t>
      </w:r>
      <w:r>
        <w:rPr>
          <w:rFonts w:hAnsi="黑体" w:cs="Times New Roman"/>
          <w:color w:val="auto"/>
          <w:sz w:val="32"/>
          <w:szCs w:val="32"/>
        </w:rPr>
        <w:t>、关于</w:t>
      </w:r>
      <w:r>
        <w:rPr>
          <w:rFonts w:hint="eastAsia" w:hAnsi="黑体" w:cs="Times New Roman"/>
          <w:color w:val="auto"/>
          <w:sz w:val="32"/>
          <w:szCs w:val="32"/>
          <w:lang w:eastAsia="zh-CN"/>
        </w:rPr>
        <w:t>2021</w:t>
      </w:r>
      <w:r>
        <w:rPr>
          <w:rFonts w:hAnsi="黑体" w:cs="Times New Roman"/>
          <w:color w:val="auto"/>
          <w:sz w:val="32"/>
          <w:szCs w:val="32"/>
        </w:rPr>
        <w:t>年度预算绩效情况说明</w:t>
      </w:r>
    </w:p>
    <w:p>
      <w:pPr>
        <w:pStyle w:val="10"/>
        <w:spacing w:line="600" w:lineRule="exact"/>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根据县财政局《湘潭县2021年度预算绩效管理工作方案》要求，我单位单位成立了绩效自评工作领导小组，根据工作计划对项目绩效进行审核、完善，通过核查、汇总、综合分析，对2021年部门整体支出进行了绩效评价，撰写了自评报告，及时报送了相关资料，本单位无重点项目绩效评价。</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lang w:eastAsia="zh-CN"/>
        </w:rPr>
        <w:t>一</w:t>
      </w:r>
      <w:r>
        <w:rPr>
          <w:rFonts w:hAnsi="黑体" w:cs="Times New Roman"/>
          <w:color w:val="auto"/>
          <w:sz w:val="32"/>
          <w:szCs w:val="32"/>
        </w:rPr>
        <w:t>、其他重要事项情况说明</w:t>
      </w:r>
    </w:p>
    <w:p>
      <w:pPr>
        <w:spacing w:line="600" w:lineRule="exact"/>
        <w:ind w:firstLine="643" w:firstLineChars="200"/>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pPr>
        <w:spacing w:line="600" w:lineRule="exact"/>
        <w:ind w:firstLine="640" w:firstLineChars="200"/>
        <w:rPr>
          <w:rFonts w:hint="eastAsia" w:eastAsia="仿宋_GB2312"/>
          <w:kern w:val="0"/>
          <w:sz w:val="32"/>
          <w:szCs w:val="32"/>
        </w:rPr>
      </w:pPr>
      <w:r>
        <w:rPr>
          <w:rFonts w:hint="eastAsia" w:eastAsia="仿宋_GB2312"/>
          <w:kern w:val="0"/>
          <w:sz w:val="32"/>
          <w:szCs w:val="32"/>
        </w:rPr>
        <w:t>本部门2021年度机关运行经费支出0万元，与年初预算数持平。</w:t>
      </w:r>
    </w:p>
    <w:p>
      <w:pPr>
        <w:spacing w:line="600" w:lineRule="exact"/>
        <w:ind w:firstLine="643" w:firstLineChars="200"/>
        <w:rPr>
          <w:rFonts w:hint="eastAsia" w:ascii="楷体_GB2312" w:eastAsia="楷体_GB2312"/>
          <w:b/>
          <w:kern w:val="0"/>
          <w:sz w:val="32"/>
          <w:szCs w:val="32"/>
        </w:rPr>
      </w:pPr>
      <w:r>
        <w:rPr>
          <w:rFonts w:hint="eastAsia" w:ascii="楷体_GB2312" w:eastAsia="楷体_GB2312"/>
          <w:b/>
          <w:kern w:val="0"/>
          <w:sz w:val="32"/>
          <w:szCs w:val="32"/>
        </w:rPr>
        <w:t>（二）一般性支出情况</w:t>
      </w:r>
    </w:p>
    <w:p>
      <w:pPr>
        <w:spacing w:line="600" w:lineRule="exact"/>
        <w:ind w:firstLine="960" w:firstLineChars="300"/>
        <w:rPr>
          <w:rFonts w:hint="eastAsia" w:eastAsia="仿宋_GB2312"/>
          <w:kern w:val="0"/>
          <w:sz w:val="32"/>
          <w:szCs w:val="32"/>
          <w:lang w:eastAsia="zh-CN"/>
        </w:rPr>
      </w:pPr>
      <w:r>
        <w:rPr>
          <w:rFonts w:hint="eastAsia" w:eastAsia="仿宋_GB2312"/>
          <w:kern w:val="0"/>
          <w:sz w:val="32"/>
          <w:szCs w:val="32"/>
          <w:lang w:val="en-US" w:eastAsia="zh-CN"/>
        </w:rPr>
        <w:t>2021</w:t>
      </w:r>
      <w:r>
        <w:rPr>
          <w:rFonts w:eastAsia="仿宋_GB2312"/>
          <w:kern w:val="0"/>
          <w:sz w:val="32"/>
          <w:szCs w:val="32"/>
        </w:rPr>
        <w:t>年本部门开支会议费</w:t>
      </w:r>
      <w:r>
        <w:rPr>
          <w:rFonts w:hint="eastAsia" w:eastAsia="仿宋_GB2312"/>
          <w:sz w:val="32"/>
          <w:szCs w:val="32"/>
          <w:u w:val="none"/>
          <w:lang w:val="en-US" w:eastAsia="zh-CN"/>
        </w:rPr>
        <w:t>0</w:t>
      </w:r>
      <w:r>
        <w:rPr>
          <w:rFonts w:eastAsia="仿宋_GB2312"/>
          <w:kern w:val="0"/>
          <w:sz w:val="32"/>
          <w:szCs w:val="32"/>
        </w:rPr>
        <w:t>万元；开支培训费</w:t>
      </w:r>
      <w:r>
        <w:rPr>
          <w:rFonts w:hint="eastAsia" w:eastAsia="仿宋_GB2312"/>
          <w:sz w:val="32"/>
          <w:szCs w:val="32"/>
          <w:u w:val="none"/>
          <w:lang w:val="en-US" w:eastAsia="zh-CN"/>
        </w:rPr>
        <w:t>0</w:t>
      </w:r>
      <w:r>
        <w:rPr>
          <w:rFonts w:eastAsia="仿宋_GB2312"/>
          <w:kern w:val="0"/>
          <w:sz w:val="32"/>
          <w:szCs w:val="32"/>
        </w:rPr>
        <w:t>万元；举办节庆、晚会、论坛、赛事活动，开支</w:t>
      </w:r>
      <w:r>
        <w:rPr>
          <w:rFonts w:hint="eastAsia" w:eastAsia="仿宋_GB2312"/>
          <w:sz w:val="32"/>
          <w:szCs w:val="32"/>
          <w:u w:val="none"/>
          <w:lang w:val="en-US" w:eastAsia="zh-CN"/>
        </w:rPr>
        <w:t>0</w:t>
      </w:r>
      <w:r>
        <w:rPr>
          <w:rFonts w:eastAsia="仿宋_GB2312"/>
          <w:kern w:val="0"/>
          <w:sz w:val="32"/>
          <w:szCs w:val="32"/>
        </w:rPr>
        <w:t>万元</w:t>
      </w:r>
      <w:r>
        <w:rPr>
          <w:rFonts w:hint="eastAsia" w:eastAsia="仿宋_GB2312"/>
          <w:kern w:val="0"/>
          <w:sz w:val="32"/>
          <w:szCs w:val="32"/>
          <w:lang w:eastAsia="zh-CN"/>
        </w:rPr>
        <w:t>。</w:t>
      </w:r>
    </w:p>
    <w:p>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pPr>
        <w:numPr>
          <w:ilvl w:val="0"/>
          <w:numId w:val="0"/>
        </w:numPr>
        <w:spacing w:line="600" w:lineRule="exact"/>
        <w:ind w:firstLine="640" w:firstLineChars="200"/>
        <w:rPr>
          <w:rFonts w:hint="eastAsia" w:ascii="楷体_GB2312" w:eastAsia="仿宋_GB2312"/>
          <w:b/>
          <w:kern w:val="0"/>
          <w:sz w:val="32"/>
          <w:szCs w:val="32"/>
        </w:rPr>
      </w:pPr>
      <w:r>
        <w:rPr>
          <w:rFonts w:eastAsia="仿宋_GB2312"/>
          <w:kern w:val="0"/>
          <w:sz w:val="32"/>
          <w:szCs w:val="32"/>
        </w:rPr>
        <w:t>本部门</w:t>
      </w:r>
      <w:r>
        <w:rPr>
          <w:rFonts w:hint="eastAsia" w:eastAsia="仿宋_GB2312"/>
          <w:kern w:val="0"/>
          <w:sz w:val="32"/>
          <w:szCs w:val="32"/>
          <w:lang w:val="en-US" w:eastAsia="zh-CN"/>
        </w:rPr>
        <w:t>2021</w:t>
      </w:r>
      <w:r>
        <w:rPr>
          <w:rFonts w:eastAsia="仿宋_GB2312"/>
          <w:kern w:val="0"/>
          <w:sz w:val="32"/>
          <w:szCs w:val="32"/>
        </w:rPr>
        <w:t>年度政府采购支出总额</w:t>
      </w:r>
      <w:r>
        <w:rPr>
          <w:rFonts w:hint="eastAsia" w:eastAsia="仿宋_GB2312"/>
          <w:sz w:val="32"/>
          <w:szCs w:val="32"/>
          <w:u w:val="none"/>
          <w:lang w:val="en-US" w:eastAsia="zh-CN"/>
        </w:rPr>
        <w:t>0</w:t>
      </w:r>
      <w:r>
        <w:rPr>
          <w:rFonts w:eastAsia="仿宋_GB2312"/>
          <w:kern w:val="0"/>
          <w:sz w:val="32"/>
          <w:szCs w:val="32"/>
        </w:rPr>
        <w:t>万元，其中：政府采购货物支出</w:t>
      </w:r>
      <w:r>
        <w:rPr>
          <w:rFonts w:hint="eastAsia" w:eastAsia="仿宋_GB2312"/>
          <w:sz w:val="32"/>
          <w:szCs w:val="32"/>
          <w:u w:val="none"/>
          <w:lang w:val="en-US" w:eastAsia="zh-CN"/>
        </w:rPr>
        <w:t>0</w:t>
      </w:r>
      <w:r>
        <w:rPr>
          <w:rFonts w:eastAsia="仿宋_GB2312"/>
          <w:kern w:val="0"/>
          <w:sz w:val="32"/>
          <w:szCs w:val="32"/>
        </w:rPr>
        <w:t>万元、政府采购工程支出</w:t>
      </w:r>
      <w:r>
        <w:rPr>
          <w:rFonts w:hint="eastAsia" w:eastAsia="仿宋_GB2312"/>
          <w:sz w:val="32"/>
          <w:szCs w:val="32"/>
          <w:u w:val="none"/>
          <w:lang w:val="en-US" w:eastAsia="zh-CN"/>
        </w:rPr>
        <w:t>0</w:t>
      </w:r>
      <w:r>
        <w:rPr>
          <w:rFonts w:eastAsia="仿宋_GB2312"/>
          <w:kern w:val="0"/>
          <w:sz w:val="32"/>
          <w:szCs w:val="32"/>
        </w:rPr>
        <w:t>万元、政府采购服务支出</w:t>
      </w:r>
      <w:r>
        <w:rPr>
          <w:rFonts w:hint="eastAsia" w:eastAsia="仿宋_GB2312"/>
          <w:sz w:val="32"/>
          <w:szCs w:val="32"/>
          <w:u w:val="none"/>
          <w:lang w:val="en-US" w:eastAsia="zh-CN"/>
        </w:rPr>
        <w:t>0</w:t>
      </w:r>
      <w:r>
        <w:rPr>
          <w:rFonts w:eastAsia="仿宋_GB2312"/>
          <w:kern w:val="0"/>
          <w:sz w:val="32"/>
          <w:szCs w:val="32"/>
        </w:rPr>
        <w:t>万元。</w:t>
      </w:r>
      <w:r>
        <w:rPr>
          <w:rFonts w:hint="eastAsia" w:eastAsia="仿宋_GB2312"/>
          <w:kern w:val="0"/>
          <w:sz w:val="32"/>
          <w:szCs w:val="32"/>
        </w:rPr>
        <w:t>授予中小企业合同金额0万元，占政府采购支出总额的百分比因支出总额为0无法计算，其中：授予小微企业合同金额0万元，占政府采购支出总额的百分比因支出总额为0无法计算。</w:t>
      </w:r>
    </w:p>
    <w:p>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pPr>
        <w:spacing w:line="600" w:lineRule="exact"/>
        <w:ind w:firstLine="640" w:firstLineChars="200"/>
        <w:rPr>
          <w:rFonts w:eastAsia="仿宋_GB2312"/>
          <w:kern w:val="0"/>
          <w:sz w:val="32"/>
          <w:szCs w:val="32"/>
        </w:rPr>
      </w:pPr>
      <w:r>
        <w:rPr>
          <w:rFonts w:eastAsia="仿宋_GB2312"/>
          <w:kern w:val="0"/>
          <w:sz w:val="32"/>
          <w:szCs w:val="32"/>
        </w:rPr>
        <w:t>截至</w:t>
      </w:r>
      <w:r>
        <w:rPr>
          <w:rFonts w:hint="eastAsia" w:eastAsia="仿宋_GB2312"/>
          <w:kern w:val="0"/>
          <w:sz w:val="32"/>
          <w:szCs w:val="32"/>
          <w:lang w:eastAsia="zh-CN"/>
        </w:rPr>
        <w:t>2021</w:t>
      </w:r>
      <w:r>
        <w:rPr>
          <w:rFonts w:eastAsia="仿宋_GB2312"/>
          <w:kern w:val="0"/>
          <w:sz w:val="32"/>
          <w:szCs w:val="32"/>
        </w:rPr>
        <w:t>年12月31日，本单位共有车辆</w:t>
      </w:r>
      <w:r>
        <w:rPr>
          <w:rFonts w:hint="eastAsia" w:eastAsia="仿宋_GB2312"/>
          <w:sz w:val="32"/>
          <w:szCs w:val="32"/>
          <w:u w:val="none"/>
        </w:rPr>
        <w:t>0</w:t>
      </w:r>
      <w:r>
        <w:rPr>
          <w:rFonts w:eastAsia="仿宋_GB2312"/>
          <w:kern w:val="0"/>
          <w:sz w:val="32"/>
          <w:szCs w:val="32"/>
        </w:rPr>
        <w:t>辆，其中，领导干部用车</w:t>
      </w:r>
      <w:r>
        <w:rPr>
          <w:rFonts w:hint="eastAsia" w:eastAsia="仿宋_GB2312"/>
          <w:sz w:val="32"/>
          <w:szCs w:val="32"/>
          <w:u w:val="none"/>
        </w:rPr>
        <w:t>0</w:t>
      </w:r>
      <w:r>
        <w:rPr>
          <w:rFonts w:eastAsia="仿宋_GB2312"/>
          <w:kern w:val="0"/>
          <w:sz w:val="32"/>
          <w:szCs w:val="32"/>
        </w:rPr>
        <w:t>辆、机要通信用车</w:t>
      </w:r>
      <w:r>
        <w:rPr>
          <w:rFonts w:hint="eastAsia" w:eastAsia="仿宋_GB2312"/>
          <w:sz w:val="32"/>
          <w:szCs w:val="32"/>
          <w:u w:val="none"/>
        </w:rPr>
        <w:t>0</w:t>
      </w:r>
      <w:r>
        <w:rPr>
          <w:rFonts w:eastAsia="仿宋_GB2312"/>
          <w:kern w:val="0"/>
          <w:sz w:val="32"/>
          <w:szCs w:val="32"/>
        </w:rPr>
        <w:t>辆、应急保障用车</w:t>
      </w:r>
      <w:r>
        <w:rPr>
          <w:rFonts w:hint="eastAsia" w:eastAsia="仿宋_GB2312"/>
          <w:sz w:val="32"/>
          <w:szCs w:val="32"/>
          <w:u w:val="none"/>
          <w:lang w:val="en-US" w:eastAsia="zh-CN"/>
        </w:rPr>
        <w:t>0</w:t>
      </w:r>
      <w:r>
        <w:rPr>
          <w:rFonts w:eastAsia="仿宋_GB2312"/>
          <w:kern w:val="0"/>
          <w:sz w:val="32"/>
          <w:szCs w:val="32"/>
        </w:rPr>
        <w:t>辆、执法执勤用车</w:t>
      </w:r>
      <w:r>
        <w:rPr>
          <w:rFonts w:hint="eastAsia" w:eastAsia="仿宋_GB2312"/>
          <w:sz w:val="32"/>
          <w:szCs w:val="32"/>
          <w:u w:val="none"/>
        </w:rPr>
        <w:t>0</w:t>
      </w:r>
      <w:r>
        <w:rPr>
          <w:rFonts w:eastAsia="仿宋_GB2312"/>
          <w:kern w:val="0"/>
          <w:sz w:val="32"/>
          <w:szCs w:val="32"/>
        </w:rPr>
        <w:t>辆、特种专业技术用车</w:t>
      </w:r>
      <w:r>
        <w:rPr>
          <w:rFonts w:hint="eastAsia" w:eastAsia="仿宋_GB2312"/>
          <w:sz w:val="32"/>
          <w:szCs w:val="32"/>
          <w:u w:val="none"/>
        </w:rPr>
        <w:t>0</w:t>
      </w:r>
      <w:r>
        <w:rPr>
          <w:rFonts w:eastAsia="仿宋_GB2312"/>
          <w:kern w:val="0"/>
          <w:sz w:val="32"/>
          <w:szCs w:val="32"/>
        </w:rPr>
        <w:t>辆、其他用车</w:t>
      </w:r>
      <w:r>
        <w:rPr>
          <w:rFonts w:hint="eastAsia" w:eastAsia="仿宋_GB2312"/>
          <w:sz w:val="32"/>
          <w:szCs w:val="32"/>
          <w:u w:val="none"/>
        </w:rPr>
        <w:t>0</w:t>
      </w:r>
      <w:r>
        <w:rPr>
          <w:rFonts w:eastAsia="仿宋_GB2312"/>
          <w:kern w:val="0"/>
          <w:sz w:val="32"/>
          <w:szCs w:val="32"/>
        </w:rPr>
        <w:t>辆</w:t>
      </w:r>
      <w:r>
        <w:rPr>
          <w:rFonts w:hint="eastAsia" w:eastAsia="仿宋_GB2312"/>
          <w:kern w:val="0"/>
          <w:sz w:val="32"/>
          <w:szCs w:val="32"/>
        </w:rPr>
        <w:t>；</w:t>
      </w:r>
      <w:r>
        <w:rPr>
          <w:rFonts w:eastAsia="仿宋_GB2312"/>
          <w:kern w:val="0"/>
          <w:sz w:val="32"/>
          <w:szCs w:val="32"/>
        </w:rPr>
        <w:t>单位价值50万元以上通用设备</w:t>
      </w:r>
      <w:r>
        <w:rPr>
          <w:rFonts w:hint="eastAsia" w:eastAsia="仿宋_GB2312"/>
          <w:sz w:val="32"/>
          <w:szCs w:val="32"/>
          <w:u w:val="none"/>
        </w:rPr>
        <w:t>0</w:t>
      </w:r>
      <w:r>
        <w:rPr>
          <w:rFonts w:eastAsia="仿宋_GB2312"/>
          <w:kern w:val="0"/>
          <w:sz w:val="32"/>
          <w:szCs w:val="32"/>
        </w:rPr>
        <w:t>台（套）；单位价值100万元以上专用设备</w:t>
      </w:r>
      <w:r>
        <w:rPr>
          <w:rFonts w:hint="eastAsia" w:eastAsia="仿宋_GB2312"/>
          <w:sz w:val="32"/>
          <w:szCs w:val="32"/>
          <w:u w:val="none"/>
        </w:rPr>
        <w:t>0</w:t>
      </w:r>
      <w:r>
        <w:rPr>
          <w:rFonts w:eastAsia="仿宋_GB2312"/>
          <w:kern w:val="0"/>
          <w:sz w:val="32"/>
          <w:szCs w:val="32"/>
        </w:rPr>
        <w:t>台（套）。</w:t>
      </w:r>
    </w:p>
    <w:p>
      <w:pPr>
        <w:widowControl/>
        <w:spacing w:line="600" w:lineRule="exact"/>
        <w:jc w:val="left"/>
        <w:rPr>
          <w:rFonts w:hint="eastAsia" w:eastAsia="仿宋_GB2312"/>
          <w:color w:val="000000"/>
          <w:kern w:val="0"/>
          <w:sz w:val="32"/>
          <w:szCs w:val="32"/>
        </w:rPr>
      </w:pPr>
    </w:p>
    <w:p>
      <w:pPr>
        <w:widowControl/>
        <w:spacing w:line="600" w:lineRule="exact"/>
        <w:jc w:val="left"/>
        <w:rPr>
          <w:rFonts w:hint="eastAsia" w:eastAsia="仿宋_GB2312"/>
          <w:color w:val="000000"/>
          <w:kern w:val="0"/>
          <w:sz w:val="32"/>
          <w:szCs w:val="32"/>
        </w:rPr>
      </w:pPr>
    </w:p>
    <w:p>
      <w:pPr>
        <w:widowControl/>
        <w:spacing w:line="600" w:lineRule="exact"/>
        <w:jc w:val="center"/>
        <w:outlineLvl w:val="0"/>
        <w:rPr>
          <w:rFonts w:hint="eastAsia" w:ascii="黑体" w:hAnsi="黑体" w:eastAsia="黑体" w:cs="黑体"/>
          <w:b/>
          <w:bCs w:val="0"/>
          <w:kern w:val="0"/>
          <w:sz w:val="44"/>
          <w:szCs w:val="44"/>
        </w:rPr>
      </w:pPr>
      <w:r>
        <w:rPr>
          <w:rFonts w:hint="eastAsia" w:eastAsia="仿宋_GB2312"/>
          <w:color w:val="000000"/>
          <w:kern w:val="0"/>
          <w:sz w:val="32"/>
          <w:szCs w:val="32"/>
          <w:lang w:val="en-US" w:eastAsia="zh-CN"/>
        </w:rPr>
        <w:t xml:space="preserve">    </w:t>
      </w:r>
      <w:r>
        <w:rPr>
          <w:rFonts w:hint="eastAsia" w:ascii="黑体" w:hAnsi="黑体" w:eastAsia="黑体" w:cs="黑体"/>
          <w:b/>
          <w:bCs w:val="0"/>
          <w:kern w:val="0"/>
          <w:sz w:val="44"/>
          <w:szCs w:val="44"/>
        </w:rPr>
        <w:t>第四部分 名词解释</w:t>
      </w:r>
    </w:p>
    <w:p>
      <w:pPr>
        <w:widowControl/>
        <w:spacing w:line="600" w:lineRule="exact"/>
        <w:jc w:val="left"/>
        <w:rPr>
          <w:rFonts w:hint="default" w:eastAsia="仿宋_GB2312"/>
          <w:color w:val="000000"/>
          <w:kern w:val="0"/>
          <w:sz w:val="32"/>
          <w:szCs w:val="32"/>
          <w:lang w:val="en-US" w:eastAsia="zh-CN"/>
        </w:rPr>
      </w:pP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一）机关运行经费：是指各部门的公用经费，包括办公及印刷费、邮电费、差旅费、会议费、福利费、日常维修费、专用设备及信息网络、办公用房水电费、办公用房物业管理费、公务用车运行维护费以及其他费用。</w:t>
      </w: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（三）基本支出：是指为保障机构正常运转、完成日常工作任务而发生的人员支出和公用支出。</w:t>
      </w: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（四）项目支出：是指在基本支出之外为完成特定行政任务和事业发展目标所发生的支出。</w:t>
      </w: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bookmarkStart w:id="2" w:name="_GoBack"/>
      <w:bookmarkEnd w:id="2"/>
      <w:r>
        <w:rPr>
          <w:rFonts w:hint="eastAsia" w:ascii="黑体" w:hAnsi="黑体" w:eastAsia="黑体" w:cs="黑体"/>
          <w:b/>
          <w:bCs w:val="0"/>
          <w:kern w:val="0"/>
          <w:sz w:val="44"/>
          <w:szCs w:val="44"/>
        </w:rPr>
        <w:t>第五部分 附件</w:t>
      </w:r>
    </w:p>
    <w:p>
      <w:pPr>
        <w:jc w:val="center"/>
        <w:rPr>
          <w:rFonts w:hint="eastAsia" w:ascii="黑体" w:eastAsia="黑体" w:cs="黑体"/>
          <w:color w:val="000000"/>
          <w:kern w:val="0"/>
          <w:sz w:val="70"/>
          <w:szCs w:val="70"/>
        </w:rPr>
      </w:pPr>
    </w:p>
    <w:p>
      <w:pPr>
        <w:ind w:firstLine="1600" w:firstLineChars="500"/>
        <w:jc w:val="left"/>
        <w:rPr>
          <w:rFonts w:hint="eastAsia" w:ascii="黑体" w:hAnsi="黑体" w:eastAsia="黑体" w:cs="黑体"/>
          <w:color w:val="000000"/>
          <w:kern w:val="0"/>
          <w:sz w:val="32"/>
          <w:szCs w:val="32"/>
        </w:rPr>
      </w:pPr>
      <w:r>
        <w:rPr>
          <w:rFonts w:hint="eastAsia" w:ascii="黑体" w:hAnsi="黑体" w:eastAsia="黑体"/>
          <w:kern w:val="0"/>
          <w:sz w:val="32"/>
          <w:szCs w:val="32"/>
          <w:lang w:val="en-US" w:eastAsia="zh-CN"/>
        </w:rPr>
        <w:t>2021</w:t>
      </w:r>
      <w:r>
        <w:rPr>
          <w:rFonts w:hint="eastAsia" w:ascii="黑体" w:hAnsi="黑体" w:eastAsia="黑体" w:cs="黑体"/>
          <w:color w:val="000000"/>
          <w:kern w:val="0"/>
          <w:sz w:val="32"/>
          <w:szCs w:val="32"/>
        </w:rPr>
        <w:t>年度部门整体支出绩效评价报告</w:t>
      </w:r>
    </w:p>
    <w:p>
      <w:pPr>
        <w:widowControl/>
        <w:spacing w:line="600" w:lineRule="exact"/>
        <w:jc w:val="left"/>
        <w:rPr>
          <w:rFonts w:hint="default" w:eastAsia="仿宋_GB2312"/>
          <w:color w:val="000000"/>
          <w:kern w:val="0"/>
          <w:sz w:val="32"/>
          <w:szCs w:val="32"/>
          <w:lang w:val="en-US" w:eastAsia="zh-CN"/>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tbl>
      <w:tblPr>
        <w:tblStyle w:val="7"/>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236"/>
        <w:gridCol w:w="2006"/>
        <w:gridCol w:w="570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5" w:hRule="atLeast"/>
        </w:trPr>
        <w:tc>
          <w:tcPr>
            <w:tcW w:w="12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bCs/>
                <w:kern w:val="0"/>
                <w:sz w:val="32"/>
                <w:szCs w:val="32"/>
                <w:lang w:val="en-US" w:eastAsia="zh-CN"/>
              </w:rPr>
              <w:t>部门概况</w:t>
            </w:r>
          </w:p>
        </w:tc>
        <w:tc>
          <w:tcPr>
            <w:tcW w:w="200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单位名称</w:t>
            </w:r>
          </w:p>
        </w:tc>
        <w:tc>
          <w:tcPr>
            <w:tcW w:w="570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lang w:eastAsia="zh-CN"/>
              </w:rPr>
            </w:pPr>
            <w:r>
              <w:rPr>
                <w:rFonts w:hint="eastAsia" w:ascii="宋体" w:hAnsi="宋体" w:eastAsia="宋体" w:cs="宋体"/>
                <w:i w:val="0"/>
                <w:iCs w:val="0"/>
                <w:caps w:val="0"/>
                <w:color w:val="333333"/>
                <w:spacing w:val="0"/>
                <w:sz w:val="28"/>
                <w:szCs w:val="28"/>
                <w:lang w:eastAsia="zh-CN"/>
              </w:rPr>
              <w:t>湘潭县</w:t>
            </w:r>
            <w:r>
              <w:rPr>
                <w:rFonts w:hint="eastAsia" w:cs="宋体"/>
                <w:i w:val="0"/>
                <w:iCs w:val="0"/>
                <w:caps w:val="0"/>
                <w:color w:val="333333"/>
                <w:spacing w:val="0"/>
                <w:sz w:val="28"/>
                <w:szCs w:val="28"/>
                <w:lang w:eastAsia="zh-CN"/>
              </w:rPr>
              <w:t>拘留所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55" w:hRule="atLeast"/>
        </w:trPr>
        <w:tc>
          <w:tcPr>
            <w:tcW w:w="12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年度预算金额</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95万元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atLeast"/>
        </w:trPr>
        <w:tc>
          <w:tcPr>
            <w:tcW w:w="12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主管部门</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lang w:eastAsia="zh-CN"/>
              </w:rPr>
              <w:t>湘潭县</w:t>
            </w:r>
            <w:r>
              <w:rPr>
                <w:rFonts w:hint="eastAsia" w:ascii="宋体" w:hAnsi="宋体" w:eastAsia="宋体" w:cs="宋体"/>
                <w:i w:val="0"/>
                <w:iCs w:val="0"/>
                <w:caps w:val="0"/>
                <w:color w:val="333333"/>
                <w:spacing w:val="0"/>
                <w:sz w:val="28"/>
                <w:szCs w:val="28"/>
              </w:rPr>
              <w:t>公安局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atLeast"/>
        </w:trPr>
        <w:tc>
          <w:tcPr>
            <w:tcW w:w="12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单位基本职能</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拘留所主要职责是对行政拘留人员进行教育转化、惩戒；保障被拘留人员安全，杜绝恶性事故。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5" w:hRule="atLeast"/>
        </w:trPr>
        <w:tc>
          <w:tcPr>
            <w:tcW w:w="1236"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绩效完成情况</w:t>
            </w: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部门整体支出管理和使用基本情况</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spacing w:line="600" w:lineRule="exact"/>
              <w:ind w:left="420" w:leftChars="200" w:firstLine="480" w:firstLineChars="150"/>
              <w:jc w:val="left"/>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一、预算情况：2021年安排了拘留所专项经费</w:t>
            </w:r>
            <w:r>
              <w:rPr>
                <w:rFonts w:hint="eastAsia" w:eastAsia="仿宋_GB2312" w:cs="Times New Roman"/>
                <w:color w:val="000000"/>
                <w:kern w:val="0"/>
                <w:sz w:val="32"/>
                <w:szCs w:val="32"/>
                <w:lang w:val="en-US" w:eastAsia="zh-CN" w:bidi="ar-SA"/>
              </w:rPr>
              <w:t>95</w:t>
            </w:r>
            <w:r>
              <w:rPr>
                <w:rFonts w:hint="eastAsia" w:ascii="Times New Roman" w:hAnsi="Times New Roman" w:eastAsia="仿宋_GB2312" w:cs="Times New Roman"/>
                <w:color w:val="000000"/>
                <w:kern w:val="0"/>
                <w:sz w:val="32"/>
                <w:szCs w:val="32"/>
                <w:lang w:val="en-US" w:eastAsia="zh-CN" w:bidi="ar-SA"/>
              </w:rPr>
              <w:t>万元（其中：</w:t>
            </w:r>
            <w:r>
              <w:rPr>
                <w:rFonts w:hint="eastAsia" w:eastAsia="仿宋_GB2312" w:cs="Times New Roman"/>
                <w:color w:val="000000"/>
                <w:kern w:val="0"/>
                <w:sz w:val="32"/>
                <w:szCs w:val="32"/>
                <w:lang w:val="en-US" w:eastAsia="zh-CN" w:bidi="ar-SA"/>
              </w:rPr>
              <w:t>年初预算85万元，年中调整预算10万</w:t>
            </w:r>
            <w:r>
              <w:rPr>
                <w:rFonts w:hint="eastAsia" w:ascii="Times New Roman" w:hAnsi="Times New Roman" w:eastAsia="仿宋_GB2312" w:cs="Times New Roman"/>
                <w:color w:val="000000"/>
                <w:kern w:val="0"/>
                <w:sz w:val="32"/>
                <w:szCs w:val="32"/>
                <w:lang w:val="en-US" w:eastAsia="zh-CN" w:bidi="ar-SA"/>
              </w:rPr>
              <w:t>元）。根据公安部令第126号公布《</w:t>
            </w:r>
            <w:r>
              <w:rPr>
                <w:rFonts w:hint="eastAsia" w:eastAsia="仿宋_GB2312" w:cs="Times New Roman"/>
                <w:color w:val="000000"/>
                <w:kern w:val="0"/>
                <w:sz w:val="32"/>
                <w:szCs w:val="32"/>
                <w:lang w:val="en-US" w:eastAsia="zh-CN" w:bidi="ar-SA"/>
              </w:rPr>
              <w:t>拘留所条例实施办法</w:t>
            </w:r>
            <w:r>
              <w:rPr>
                <w:rFonts w:hint="eastAsia" w:ascii="Times New Roman" w:hAnsi="Times New Roman" w:eastAsia="仿宋_GB2312" w:cs="Times New Roman"/>
                <w:color w:val="000000"/>
                <w:kern w:val="0"/>
                <w:sz w:val="32"/>
                <w:szCs w:val="32"/>
                <w:lang w:val="en-US" w:eastAsia="zh-CN" w:bidi="ar-SA"/>
              </w:rPr>
              <w:t>》，拘留所经费的开支范围是：人犯给养费、公务费、装备购置费、装备消耗费、修缮费及其他费用，是用于拘留所监管看守、教育人犯、做好人犯生活卫生和保障刑事诉讼活动顺利进行的专项经费。</w:t>
            </w:r>
          </w:p>
          <w:p>
            <w:pPr>
              <w:spacing w:line="600" w:lineRule="exact"/>
              <w:ind w:left="420" w:leftChars="200" w:firstLine="480" w:firstLineChars="150"/>
              <w:jc w:val="left"/>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二、预算执行情况：2021年财政拨款经费支出</w:t>
            </w:r>
            <w:r>
              <w:rPr>
                <w:rFonts w:hint="eastAsia" w:eastAsia="仿宋_GB2312" w:cs="Times New Roman"/>
                <w:color w:val="000000"/>
                <w:kern w:val="0"/>
                <w:sz w:val="32"/>
                <w:szCs w:val="32"/>
                <w:lang w:val="en-US" w:eastAsia="zh-CN" w:bidi="ar-SA"/>
              </w:rPr>
              <w:t>95</w:t>
            </w:r>
            <w:r>
              <w:rPr>
                <w:rFonts w:hint="eastAsia" w:ascii="Times New Roman" w:hAnsi="Times New Roman" w:eastAsia="仿宋_GB2312" w:cs="Times New Roman"/>
                <w:color w:val="000000"/>
                <w:kern w:val="0"/>
                <w:sz w:val="32"/>
                <w:szCs w:val="32"/>
                <w:lang w:val="en-US" w:eastAsia="zh-CN" w:bidi="ar-SA"/>
              </w:rPr>
              <w:t>万元，其中财政拨款基本支出0万元，财政拨款业务性专项支出</w:t>
            </w:r>
            <w:r>
              <w:rPr>
                <w:rFonts w:hint="eastAsia" w:eastAsia="仿宋_GB2312" w:cs="Times New Roman"/>
                <w:color w:val="000000"/>
                <w:kern w:val="0"/>
                <w:sz w:val="32"/>
                <w:szCs w:val="32"/>
                <w:lang w:val="en-US" w:eastAsia="zh-CN" w:bidi="ar-SA"/>
              </w:rPr>
              <w:t>95</w:t>
            </w:r>
            <w:r>
              <w:rPr>
                <w:rFonts w:hint="eastAsia" w:ascii="Times New Roman" w:hAnsi="Times New Roman" w:eastAsia="仿宋_GB2312" w:cs="Times New Roman"/>
                <w:color w:val="000000"/>
                <w:kern w:val="0"/>
                <w:sz w:val="32"/>
                <w:szCs w:val="32"/>
                <w:lang w:val="en-US" w:eastAsia="zh-CN" w:bidi="ar-SA"/>
              </w:rPr>
              <w:t>万元。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559" w:leftChars="266" w:right="0" w:firstLine="0" w:firstLineChars="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三、三公经费支出情况：2021年“三公”经费预算0万元，其中公务接待费预算0万元，公务用车运行维护费预算0万元；2021年“三公”经费实际支出约0万元，其中公务接待费实际支出0元；公务用车运行维护费实际支出0万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四、支出管理措施：（1）2021年我所完善了财务管理制度和会计核算等管理制度，加强内部控制制度的建设和内部风险的防控；一切支出按照国家财经法规和财务管理制度规定以及专项资金管理办法的规定办理，财务人员认真审核算每笔业务的合法性、真实性、手续完整性和资料的准确性。健全会计核算，依照规定进行会计处理，保证会计指标的口径一致。支出符合部门预算批复的用途，资金使用无截留、挤占挪用、虚列支出等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⑵业务性专项分项目单独核算。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⑶按规定内容和规定时限公开了预决算信息；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30" w:hRule="atLeast"/>
        </w:trPr>
        <w:tc>
          <w:tcPr>
            <w:tcW w:w="123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绩效目标完成情况</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项目绩效总目标为：确保监所安全、保障刑事诉讼活动顺利进行、确保全县社会治安大局稳定。项目绩效阶段性目标为：稳定监区秩序，加强经费保障和管理，保障在押人员的正常生活，服务好公检法司等部门的办案需求，保障刑事诉讼活动顺利进行。通过一系列的管理 ，能够达到警示教育、预防犯罪、提高全民遵纪守法意识的目的，进而彰显政府的公信力、执行力，为湘潭县的经济发展创造良好环境，推进平安湘潭的发展。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项目实施情况分析：2021年度财政预算安排拘留所专项经费95万元，均已按时足额下达到位，我所2021年已按月投入使用95万元。对于该项专项资金，我所制定了完整的资金使用计划及管理规定，做到专项专用，发挥资金的最大效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2021年，由于有财政专项资金的保障和合理的使用，实时保障了在押人员的正常生活，连续保持了监所20年安全无事故，服务满足了公检法司等部门的办案需求，切实保障了刑事诉讼活动顺利进行。2021年湘潭县拘留所警务调查群众满意率达到了98%。</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0" w:hRule="atLeast"/>
        </w:trPr>
        <w:tc>
          <w:tcPr>
            <w:tcW w:w="1236"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存在的问题分析及改进措施</w:t>
            </w: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存在的问题</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1、2021年绩效目标申报仅对预算的85万元进行申报，因而专项工作经费支出产生了偏差；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2、本着厉行节约原则，规范支出，紧缩开支，因而部份支出减少。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3、在当前形式下，随着社会经济的发展，人民生活水平和物价的提高，在押人员给养费标准远远低于本地物价水平的发展，公务行政成本也不断提高，拘留所年关押量逐年增加，房屋设备逐年老化，要保证拘留所正常运转所必须的专项经费还存在相当大的缺口，建议适当增加拘留所专项经费预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90" w:hRule="atLeast"/>
        </w:trPr>
        <w:tc>
          <w:tcPr>
            <w:tcW w:w="123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改进措施</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1、加强预算管理，降低偏差；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2、进一步规范支出，节约财政资金；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3、加强单位内控制度建设，完善相关内部管理制度。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00" w:hRule="atLeast"/>
        </w:trPr>
        <w:tc>
          <w:tcPr>
            <w:tcW w:w="123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其他需要说明问题</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无</w:t>
            </w:r>
          </w:p>
        </w:tc>
      </w:tr>
    </w:tbl>
    <w:p>
      <w:pPr>
        <w:keepNext w:val="0"/>
        <w:keepLines w:val="0"/>
        <w:widowControl w:val="0"/>
        <w:suppressLineNumbers w:val="0"/>
        <w:spacing w:before="0" w:beforeAutospacing="0" w:after="0" w:afterAutospacing="0" w:line="560" w:lineRule="exact"/>
        <w:ind w:left="0" w:right="0"/>
        <w:jc w:val="both"/>
        <w:rPr>
          <w:rFonts w:ascii="宋体" w:cs="Times New Roman"/>
          <w:color w:val="000000"/>
          <w:kern w:val="0"/>
          <w:sz w:val="32"/>
          <w:szCs w:val="32"/>
        </w:rPr>
      </w:pPr>
    </w:p>
    <w:p>
      <w:pPr>
        <w:pStyle w:val="2"/>
      </w:pPr>
    </w:p>
    <w:sectPr>
      <w:headerReference r:id="rId3" w:type="default"/>
      <w:footerReference r:id="rId4" w:type="default"/>
      <w:footerReference r:id="rId5" w:type="even"/>
      <w:pgSz w:w="11905" w:h="16837"/>
      <w:pgMar w:top="1418" w:right="1588" w:bottom="1418" w:left="1588" w:header="720" w:footer="1701" w:gutter="0"/>
      <w:pgNumType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firstLine="360"/>
      <w:rPr>
        <w:rFonts w:hint="eastAsia"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280" w:firstLineChars="100"/>
      <w:rPr>
        <w:rFonts w:hint="eastAsia" w:ascii="宋体" w:hAnsi="宋体"/>
        <w:sz w:val="28"/>
        <w:szCs w:val="28"/>
      </w:rPr>
    </w:pPr>
    <w:r>
      <w:rPr>
        <w:rStyle w:val="9"/>
        <w:rFonts w:hint="eastAsia" w:ascii="宋体" w:hAnsi="宋体"/>
        <w:sz w:val="28"/>
        <w:szCs w:val="28"/>
      </w:rPr>
      <w:t>—</w:t>
    </w:r>
    <w:r>
      <w:rPr>
        <w:rFonts w:ascii="宋体" w:hAnsi="宋体"/>
        <w:sz w:val="28"/>
        <w:szCs w:val="28"/>
      </w:rPr>
      <w:fldChar w:fldCharType="begin"/>
    </w:r>
    <w:r>
      <w:rPr>
        <w:rStyle w:val="9"/>
        <w:rFonts w:ascii="宋体" w:hAnsi="宋体"/>
        <w:sz w:val="28"/>
        <w:szCs w:val="28"/>
      </w:rPr>
      <w:instrText xml:space="preserve"> PAGE </w:instrText>
    </w:r>
    <w:r>
      <w:rPr>
        <w:rFonts w:ascii="宋体" w:hAnsi="宋体"/>
        <w:sz w:val="28"/>
        <w:szCs w:val="28"/>
      </w:rPr>
      <w:fldChar w:fldCharType="separate"/>
    </w:r>
    <w:r>
      <w:rPr>
        <w:rStyle w:val="9"/>
        <w:rFonts w:ascii="宋体" w:hAnsi="宋体"/>
        <w:sz w:val="28"/>
        <w:szCs w:val="28"/>
      </w:rPr>
      <w:t>2</w:t>
    </w:r>
    <w:r>
      <w:rPr>
        <w:rFonts w:ascii="宋体" w:hAnsi="宋体"/>
        <w:sz w:val="28"/>
        <w:szCs w:val="28"/>
      </w:rPr>
      <w:fldChar w:fldCharType="end"/>
    </w:r>
    <w:r>
      <w:rPr>
        <w:rStyle w:val="9"/>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lYTM5ZWVlYmNmYjc1MGQ3MTQ1ZDkwNTIzYWUxZmYifQ=="/>
  </w:docVars>
  <w:rsids>
    <w:rsidRoot w:val="4E4F4DBF"/>
    <w:rsid w:val="075E138C"/>
    <w:rsid w:val="081B78D9"/>
    <w:rsid w:val="09352DA0"/>
    <w:rsid w:val="0A7720B8"/>
    <w:rsid w:val="0CC12CB6"/>
    <w:rsid w:val="0DAC5BCB"/>
    <w:rsid w:val="0E771263"/>
    <w:rsid w:val="11967036"/>
    <w:rsid w:val="1BA4072D"/>
    <w:rsid w:val="1F422604"/>
    <w:rsid w:val="24E65D62"/>
    <w:rsid w:val="263F0099"/>
    <w:rsid w:val="27195593"/>
    <w:rsid w:val="28A63567"/>
    <w:rsid w:val="2F5B129F"/>
    <w:rsid w:val="2FA90995"/>
    <w:rsid w:val="35B0223F"/>
    <w:rsid w:val="3DF20672"/>
    <w:rsid w:val="458156DF"/>
    <w:rsid w:val="475E20AB"/>
    <w:rsid w:val="48B50C05"/>
    <w:rsid w:val="4A1E2B55"/>
    <w:rsid w:val="4B00559A"/>
    <w:rsid w:val="4E4F4DBF"/>
    <w:rsid w:val="4F6E14BD"/>
    <w:rsid w:val="4F9126A2"/>
    <w:rsid w:val="51706AD0"/>
    <w:rsid w:val="579150B6"/>
    <w:rsid w:val="587C3A38"/>
    <w:rsid w:val="595D514E"/>
    <w:rsid w:val="5AB50A2B"/>
    <w:rsid w:val="5C9516AC"/>
    <w:rsid w:val="5D4E6794"/>
    <w:rsid w:val="5E487CFE"/>
    <w:rsid w:val="5FB878EA"/>
    <w:rsid w:val="66774832"/>
    <w:rsid w:val="66FF25CF"/>
    <w:rsid w:val="674C0450"/>
    <w:rsid w:val="68292144"/>
    <w:rsid w:val="69391A4D"/>
    <w:rsid w:val="6AE1011F"/>
    <w:rsid w:val="6C525B53"/>
    <w:rsid w:val="6C89458A"/>
    <w:rsid w:val="6FE86682"/>
    <w:rsid w:val="7422779D"/>
    <w:rsid w:val="746A288C"/>
    <w:rsid w:val="76EC30A5"/>
    <w:rsid w:val="78423C70"/>
    <w:rsid w:val="785A0336"/>
    <w:rsid w:val="7C6C7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99"/>
    <w:pPr>
      <w:ind w:firstLine="420" w:firstLineChars="200"/>
    </w:pPr>
    <w:rPr>
      <w:b/>
      <w:bCs/>
      <w:kern w:val="44"/>
      <w:sz w:val="32"/>
      <w:szCs w:val="44"/>
    </w:rPr>
  </w:style>
  <w:style w:type="paragraph" w:customStyle="1" w:styleId="3">
    <w:name w:val="BodyTextIndent"/>
    <w:basedOn w:val="1"/>
    <w:qFormat/>
    <w:uiPriority w:val="99"/>
    <w:pPr>
      <w:spacing w:after="120"/>
      <w:ind w:left="420" w:leftChars="200"/>
      <w:textAlignment w:val="baseline"/>
    </w:pPr>
    <w:rPr>
      <w:kern w:val="0"/>
      <w:sz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0"/>
  </w:style>
  <w:style w:type="paragraph" w:customStyle="1" w:styleId="1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34"/>
    <w:pPr>
      <w:ind w:firstLine="420" w:firstLineChars="200"/>
    </w:pPr>
    <w:rPr>
      <w:rFonts w:ascii="Calibri" w:hAnsi="Calibri"/>
      <w:szCs w:val="22"/>
    </w:rPr>
  </w:style>
  <w:style w:type="paragraph" w:styleId="12">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6436</Words>
  <Characters>7411</Characters>
  <Lines>0</Lines>
  <Paragraphs>0</Paragraphs>
  <TotalTime>4</TotalTime>
  <ScaleCrop>false</ScaleCrop>
  <LinksUpToDate>false</LinksUpToDate>
  <CharactersWithSpaces>8826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2022-06-12T14:22:00Z</dcterms:created>
  <dc:creator>A维维佗 </dc:creator>
  <cp:lastModifiedBy>王嘉雨</cp:lastModifiedBy>
  <dcterms:modified xsi:type="dcterms:W3CDTF">2023-10-08T13:43:47Z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216D6C2E957A4C1AA349FA3F8AFDA89F_13</vt:lpwstr>
  </property>
</Properties>
</file>