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17" w:lineRule="atLeast"/>
        <w:jc w:val="center"/>
        <w:rPr>
          <w:rFonts w:hint="default" w:ascii="方正小标宋简体" w:hAnsi="黑体" w:eastAsia="方正小标宋简体" w:cs="微软雅黑"/>
          <w:color w:val="000000"/>
          <w:w w:val="90"/>
          <w:sz w:val="44"/>
          <w:szCs w:val="44"/>
          <w:shd w:val="clear" w:color="auto" w:fill="FFFFFF"/>
        </w:rPr>
      </w:pPr>
      <w:r>
        <w:rPr>
          <w:rFonts w:ascii="方正小标宋简体" w:hAnsi="黑体" w:eastAsia="方正小标宋简体" w:cs="微软雅黑"/>
          <w:color w:val="000000"/>
          <w:w w:val="90"/>
          <w:sz w:val="44"/>
          <w:szCs w:val="44"/>
          <w:shd w:val="clear" w:color="auto" w:fill="FFFFFF"/>
        </w:rPr>
        <w:t>2021年湘潭县禁毒委员会办公室部门决算公开</w:t>
      </w:r>
    </w:p>
    <w:p>
      <w:pPr>
        <w:pStyle w:val="14"/>
        <w:spacing w:line="500" w:lineRule="exact"/>
        <w:jc w:val="center"/>
        <w:rPr>
          <w:rFonts w:hAnsi="黑体" w:cs="Times New Roman"/>
          <w:b/>
          <w:bCs/>
          <w:sz w:val="32"/>
          <w:szCs w:val="32"/>
        </w:rPr>
      </w:pPr>
      <w:r>
        <w:rPr>
          <w:rFonts w:hint="eastAsia" w:hAnsi="黑体"/>
          <w:b/>
          <w:bCs/>
          <w:sz w:val="32"/>
          <w:szCs w:val="32"/>
        </w:rPr>
        <w:t>目录</w:t>
      </w:r>
    </w:p>
    <w:p>
      <w:pPr>
        <w:pStyle w:val="6"/>
        <w:shd w:val="clear" w:color="auto" w:fill="FFFFFF"/>
        <w:spacing w:before="0" w:beforeAutospacing="0" w:after="0" w:afterAutospacing="0" w:line="33" w:lineRule="atLeast"/>
        <w:rPr>
          <w:rFonts w:ascii="楷体_GB2312" w:eastAsia="楷体_GB2312"/>
          <w:b/>
          <w:color w:val="333333"/>
          <w:sz w:val="32"/>
          <w:szCs w:val="32"/>
        </w:rPr>
      </w:pPr>
      <w:r>
        <w:rPr>
          <w:rFonts w:hint="eastAsia" w:ascii="楷体_GB2312" w:eastAsia="楷体_GB2312"/>
          <w:b/>
          <w:color w:val="333333"/>
          <w:sz w:val="32"/>
          <w:szCs w:val="32"/>
          <w:shd w:val="clear" w:color="auto" w:fill="FFFFFF"/>
        </w:rPr>
        <w:t>第一部分湘潭县禁毒委员会办公室概况</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1.部门职责</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2.机构设置</w:t>
      </w:r>
    </w:p>
    <w:p>
      <w:pPr>
        <w:pStyle w:val="6"/>
        <w:shd w:val="clear" w:color="auto" w:fill="FFFFFF"/>
        <w:spacing w:before="0" w:beforeAutospacing="0" w:after="0" w:afterAutospacing="0" w:line="33" w:lineRule="atLeast"/>
        <w:rPr>
          <w:rFonts w:ascii="楷体_GB2312" w:eastAsia="楷体_GB2312"/>
          <w:b/>
          <w:color w:val="333333"/>
          <w:sz w:val="32"/>
          <w:szCs w:val="32"/>
        </w:rPr>
      </w:pPr>
      <w:r>
        <w:rPr>
          <w:rFonts w:hint="eastAsia" w:ascii="楷体_GB2312" w:eastAsia="楷体_GB2312"/>
          <w:b/>
          <w:color w:val="333333"/>
          <w:sz w:val="32"/>
          <w:szCs w:val="32"/>
          <w:shd w:val="clear" w:color="auto" w:fill="FFFFFF"/>
        </w:rPr>
        <w:t>第二部分2021年部门决算表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1.收入支出决算总表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2.收入决算表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3.支出决算表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4.财政拨款收入支出决算总表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5.一般公共预算财政拨款支出决算表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6.一般公共预算财政拨款基本支出决算表</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7.一般公共预算财政拨款“三公”经费支出决算表</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8.政府性基金预算财政拨款收入支出决算表</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9.国有资本经营预算财政拨款支出决算表</w:t>
      </w:r>
    </w:p>
    <w:p>
      <w:pPr>
        <w:pStyle w:val="6"/>
        <w:shd w:val="clear" w:color="auto" w:fill="FFFFFF"/>
        <w:spacing w:before="0" w:beforeAutospacing="0" w:after="0" w:afterAutospacing="0" w:line="33" w:lineRule="atLeast"/>
        <w:rPr>
          <w:rFonts w:ascii="楷体_GB2312" w:eastAsia="楷体_GB2312"/>
          <w:b/>
          <w:color w:val="333333"/>
          <w:sz w:val="32"/>
          <w:szCs w:val="32"/>
        </w:rPr>
      </w:pPr>
      <w:r>
        <w:rPr>
          <w:rFonts w:hint="eastAsia" w:ascii="楷体_GB2312" w:eastAsia="楷体_GB2312"/>
          <w:b/>
          <w:color w:val="333333"/>
          <w:sz w:val="32"/>
          <w:szCs w:val="32"/>
          <w:shd w:val="clear" w:color="auto" w:fill="FFFFFF"/>
        </w:rPr>
        <w:t>第三部分2021年度部门决算情况说明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1.收入支出决算总体情况说明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2.收入决算情况说明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3.支出决算情况说明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4.财政拨款收入支出决算总体情况说明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5.一般公共预算财政拨款支出决算情况说明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6.一般公共预算财政拨款基本支出决算情况说明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7.一般公共预算财政拨款三公经费支出决算情况说明</w:t>
      </w:r>
    </w:p>
    <w:p>
      <w:pPr>
        <w:pStyle w:val="6"/>
        <w:shd w:val="clear" w:color="auto" w:fill="FFFFFF"/>
        <w:spacing w:before="0" w:beforeAutospacing="0" w:after="0" w:afterAutospacing="0" w:line="33" w:lineRule="atLeast"/>
        <w:rPr>
          <w:rFonts w:ascii="仿宋_GB2312" w:eastAsia="仿宋_GB2312"/>
          <w:color w:val="333333"/>
          <w:sz w:val="32"/>
          <w:szCs w:val="32"/>
        </w:rPr>
      </w:pPr>
      <w:r>
        <w:rPr>
          <w:rFonts w:hint="eastAsia" w:ascii="仿宋_GB2312" w:eastAsia="仿宋_GB2312"/>
          <w:color w:val="333333"/>
          <w:sz w:val="32"/>
          <w:szCs w:val="32"/>
          <w:shd w:val="clear" w:color="auto" w:fill="FFFFFF"/>
        </w:rPr>
        <w:t>8.政府性基金预算收入支出决算情况</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9.关于机关运行经费支出说明</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10.一般性支出情况</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11.关于政府采购支出说明</w:t>
      </w:r>
    </w:p>
    <w:p>
      <w:pPr>
        <w:pStyle w:val="6"/>
        <w:shd w:val="clear" w:color="auto" w:fill="FFFFFF"/>
        <w:spacing w:before="0" w:beforeAutospacing="0" w:after="0" w:afterAutospacing="0" w:line="33" w:lineRule="atLeast"/>
        <w:rPr>
          <w:rFonts w:ascii="仿宋_GB2312" w:eastAsia="仿宋_GB2312"/>
          <w:color w:val="000000"/>
          <w:sz w:val="32"/>
          <w:szCs w:val="32"/>
        </w:rPr>
      </w:pPr>
      <w:r>
        <w:rPr>
          <w:rFonts w:hint="eastAsia" w:ascii="仿宋_GB2312" w:eastAsia="仿宋_GB2312"/>
          <w:color w:val="000000"/>
          <w:sz w:val="32"/>
          <w:szCs w:val="32"/>
        </w:rPr>
        <w:t>12.关于国有资产占用情况说明</w:t>
      </w:r>
    </w:p>
    <w:p>
      <w:pPr>
        <w:pStyle w:val="6"/>
        <w:shd w:val="clear" w:color="auto" w:fill="FFFFFF"/>
        <w:spacing w:before="0" w:beforeAutospacing="0" w:after="0" w:afterAutospacing="0" w:line="33" w:lineRule="atLeast"/>
        <w:rPr>
          <w:rFonts w:ascii="仿宋_GB2312" w:eastAsia="仿宋_GB2312"/>
          <w:color w:val="333333"/>
          <w:sz w:val="32"/>
          <w:szCs w:val="32"/>
          <w:shd w:val="clear" w:color="auto" w:fill="FFFFFF"/>
        </w:rPr>
      </w:pPr>
      <w:r>
        <w:rPr>
          <w:rFonts w:hint="eastAsia" w:ascii="仿宋_GB2312" w:eastAsia="仿宋_GB2312"/>
          <w:color w:val="000000"/>
          <w:sz w:val="32"/>
          <w:szCs w:val="32"/>
        </w:rPr>
        <w:t>13.关于2021年度预算绩效情况的说明</w:t>
      </w:r>
    </w:p>
    <w:p>
      <w:pPr>
        <w:pStyle w:val="6"/>
        <w:shd w:val="clear" w:color="auto" w:fill="FFFFFF"/>
        <w:spacing w:before="0" w:beforeAutospacing="0" w:after="0" w:afterAutospacing="0" w:line="33" w:lineRule="atLeast"/>
        <w:rPr>
          <w:rFonts w:ascii="楷体_GB2312" w:eastAsia="楷体_GB2312"/>
          <w:b/>
          <w:color w:val="333333"/>
          <w:sz w:val="32"/>
          <w:szCs w:val="32"/>
        </w:rPr>
      </w:pPr>
      <w:r>
        <w:rPr>
          <w:rFonts w:hint="eastAsia" w:ascii="楷体_GB2312" w:eastAsia="楷体_GB2312"/>
          <w:b/>
          <w:color w:val="333333"/>
          <w:sz w:val="32"/>
          <w:szCs w:val="32"/>
          <w:shd w:val="clear" w:color="auto" w:fill="FFFFFF"/>
        </w:rPr>
        <w:t>第四部分名词解释</w:t>
      </w:r>
    </w:p>
    <w:p>
      <w:pPr>
        <w:pStyle w:val="6"/>
        <w:shd w:val="clear" w:color="auto" w:fill="FFFFFF"/>
        <w:spacing w:before="0" w:beforeAutospacing="0" w:after="0" w:afterAutospacing="0" w:line="33" w:lineRule="atLeast"/>
        <w:rPr>
          <w:rFonts w:ascii="楷体_GB2312" w:eastAsia="楷体_GB2312"/>
          <w:b/>
          <w:color w:val="333333"/>
          <w:sz w:val="32"/>
          <w:szCs w:val="32"/>
          <w:shd w:val="clear" w:color="auto" w:fill="FFFFFF"/>
        </w:rPr>
      </w:pPr>
      <w:r>
        <w:rPr>
          <w:rFonts w:hint="eastAsia" w:ascii="楷体_GB2312" w:eastAsia="楷体_GB2312"/>
          <w:b/>
          <w:color w:val="333333"/>
          <w:sz w:val="32"/>
          <w:szCs w:val="32"/>
          <w:shd w:val="clear" w:color="auto" w:fill="FFFFFF"/>
        </w:rPr>
        <w:t>第五部分附件</w:t>
      </w:r>
    </w:p>
    <w:p>
      <w:pPr>
        <w:pStyle w:val="6"/>
        <w:shd w:val="clear" w:color="auto" w:fill="FFFFFF"/>
        <w:spacing w:before="0" w:beforeAutospacing="0" w:after="0" w:afterAutospacing="0" w:line="33" w:lineRule="atLeast"/>
        <w:jc w:val="center"/>
        <w:rPr>
          <w:rFonts w:ascii="方正小标宋简体" w:eastAsia="方正小标宋简体"/>
          <w:b/>
          <w:color w:val="333333"/>
          <w:sz w:val="36"/>
          <w:szCs w:val="36"/>
        </w:rPr>
      </w:pPr>
      <w:r>
        <w:rPr>
          <w:rFonts w:hint="eastAsia" w:ascii="方正小标宋简体" w:eastAsia="方正小标宋简体"/>
          <w:b/>
          <w:color w:val="333333"/>
          <w:sz w:val="36"/>
          <w:szCs w:val="36"/>
          <w:shd w:val="clear" w:color="auto" w:fill="FFFFFF"/>
        </w:rPr>
        <w:t>第一部分湘潭县禁毒委员会办公室概况</w:t>
      </w:r>
    </w:p>
    <w:p>
      <w:pPr>
        <w:pStyle w:val="6"/>
        <w:shd w:val="clear" w:color="auto" w:fill="FFFFFF"/>
        <w:spacing w:before="0" w:beforeAutospacing="0" w:after="0" w:afterAutospacing="0" w:line="33" w:lineRule="atLeast"/>
        <w:rPr>
          <w:rFonts w:ascii="楷体_GB2312" w:hAnsi="黑体" w:eastAsia="楷体_GB2312"/>
          <w:b/>
          <w:color w:val="333333"/>
          <w:sz w:val="32"/>
          <w:szCs w:val="32"/>
        </w:rPr>
      </w:pPr>
      <w:r>
        <w:rPr>
          <w:rFonts w:hint="eastAsia" w:ascii="楷体_GB2312" w:hAnsi="黑体" w:eastAsia="楷体_GB2312"/>
          <w:b/>
          <w:color w:val="333333"/>
          <w:sz w:val="32"/>
          <w:szCs w:val="32"/>
          <w:shd w:val="clear" w:color="auto" w:fill="FFFFFF"/>
        </w:rPr>
        <w:t>一、部门职责</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（一）开展多种形式的禁毒宣传，加强毒品预防教育；</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（二）组织开展禁毒调查研究，及时分析禁毒工作面临的形势以及存在的突出问题提出对策建议；</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（三）组织、协调、指导、督查禁毒委成员单位和各乡镇的禁毒工作，动员社会各方面力量共同参与禁毒工作；</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（四）依照相关规定，对社区戒毒（康复）人员实施管理，会同相关职能部门对社区戒毒（康复）人员进行监督。</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（五）指导、协调，督促对特殊涉毒违法犯罪人员收治和取异工作。</w:t>
      </w:r>
    </w:p>
    <w:p>
      <w:pPr>
        <w:pStyle w:val="6"/>
        <w:shd w:val="clear" w:color="auto" w:fill="FFFFFF"/>
        <w:spacing w:before="0" w:beforeAutospacing="0" w:after="0" w:afterAutospacing="0" w:line="33" w:lineRule="atLeast"/>
        <w:rPr>
          <w:rFonts w:ascii="楷体_GB2312" w:hAnsi="黑体" w:eastAsia="楷体_GB2312"/>
          <w:b/>
          <w:color w:val="333333"/>
          <w:sz w:val="32"/>
          <w:szCs w:val="32"/>
        </w:rPr>
      </w:pPr>
      <w:r>
        <w:rPr>
          <w:rFonts w:hint="eastAsia" w:ascii="楷体_GB2312" w:hAnsi="黑体" w:eastAsia="楷体_GB2312"/>
          <w:b/>
          <w:color w:val="333333"/>
          <w:sz w:val="32"/>
          <w:szCs w:val="32"/>
          <w:shd w:val="clear" w:color="auto" w:fill="FFFFFF"/>
        </w:rPr>
        <w:t>二、机构设置及决算单位构成</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（一）内设机构设置。湘潭县禁毒委员会办公室无内设机构，只有湘潭县禁毒委员会办公室本部，我办为全额拨款行政单位，编制数5人，实有人数0人，暂系其他行政单位抽调人员。</w:t>
      </w:r>
    </w:p>
    <w:p>
      <w:pPr>
        <w:pStyle w:val="6"/>
        <w:shd w:val="clear" w:color="auto" w:fill="FFFFFF"/>
        <w:spacing w:before="0" w:beforeAutospacing="0" w:after="0" w:afterAutospacing="0" w:line="33" w:lineRule="atLeast"/>
        <w:rPr>
          <w:rFonts w:ascii="仿宋_GB2312" w:hAnsi="楷体" w:eastAsia="仿宋_GB2312"/>
          <w:color w:val="333333"/>
          <w:sz w:val="32"/>
          <w:szCs w:val="32"/>
        </w:rPr>
      </w:pPr>
      <w:r>
        <w:rPr>
          <w:rFonts w:hint="eastAsia" w:ascii="仿宋_GB2312" w:hAnsi="楷体" w:eastAsia="仿宋_GB2312"/>
          <w:color w:val="333333"/>
          <w:sz w:val="32"/>
          <w:szCs w:val="32"/>
          <w:shd w:val="clear" w:color="auto" w:fill="FFFFFF"/>
        </w:rPr>
        <w:t>（二）决算单位构成。湘潭县禁毒委员会办公室2021年部门决算汇总公开单位构成包括:湘潭县禁毒委员会办公室本级，无内设机构。</w:t>
      </w:r>
    </w:p>
    <w:p>
      <w:pPr>
        <w:jc w:val="center"/>
        <w:rPr>
          <w:rFonts w:ascii="方正小标宋简体" w:eastAsia="方正小标宋简体" w:cs="Times New Roman"/>
          <w:b/>
          <w:sz w:val="36"/>
          <w:szCs w:val="36"/>
        </w:rPr>
      </w:pPr>
      <w:r>
        <w:rPr>
          <w:rFonts w:hint="eastAsia" w:ascii="方正小标宋简体" w:eastAsia="方正小标宋简体" w:cs="宋体"/>
          <w:b/>
          <w:sz w:val="36"/>
          <w:szCs w:val="36"/>
        </w:rPr>
        <w:t>第二部分</w:t>
      </w:r>
      <w:r>
        <w:rPr>
          <w:rFonts w:hint="eastAsia" w:ascii="方正小标宋简体" w:eastAsia="方正小标宋简体"/>
          <w:b/>
          <w:color w:val="333333"/>
          <w:sz w:val="36"/>
          <w:szCs w:val="36"/>
          <w:shd w:val="clear" w:color="auto" w:fill="FFFFFF"/>
        </w:rPr>
        <w:t>2021年部门决算表</w:t>
      </w:r>
      <w:r>
        <w:rPr>
          <w:rFonts w:hint="eastAsia" w:ascii="方正小标宋简体" w:eastAsia="方正小标宋简体" w:cs="宋体"/>
          <w:b/>
          <w:sz w:val="36"/>
          <w:szCs w:val="36"/>
        </w:rPr>
        <w:t>部门决算表</w:t>
      </w: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3348" w:type="dxa"/>
        <w:tblInd w:w="250" w:type="dxa"/>
        <w:tblLayout w:type="autofit"/>
        <w:tblCellMar>
          <w:top w:w="0" w:type="dxa"/>
          <w:left w:w="108" w:type="dxa"/>
          <w:bottom w:w="0" w:type="dxa"/>
          <w:right w:w="108" w:type="dxa"/>
        </w:tblCellMar>
      </w:tblPr>
      <w:tblGrid>
        <w:gridCol w:w="3969"/>
        <w:gridCol w:w="709"/>
        <w:gridCol w:w="180"/>
        <w:gridCol w:w="712"/>
        <w:gridCol w:w="100"/>
        <w:gridCol w:w="132"/>
        <w:gridCol w:w="3468"/>
        <w:gridCol w:w="845"/>
        <w:gridCol w:w="1460"/>
        <w:gridCol w:w="657"/>
        <w:gridCol w:w="1116"/>
      </w:tblGrid>
      <w:tr>
        <w:tblPrEx>
          <w:tblCellMar>
            <w:top w:w="0" w:type="dxa"/>
            <w:left w:w="108" w:type="dxa"/>
            <w:bottom w:w="0" w:type="dxa"/>
            <w:right w:w="108" w:type="dxa"/>
          </w:tblCellMar>
        </w:tblPrEx>
        <w:trPr>
          <w:trHeight w:val="360" w:hRule="atLeast"/>
        </w:trPr>
        <w:tc>
          <w:tcPr>
            <w:tcW w:w="13348" w:type="dxa"/>
            <w:gridSpan w:val="11"/>
            <w:tcBorders>
              <w:top w:val="nil"/>
              <w:left w:val="nil"/>
              <w:bottom w:val="nil"/>
              <w:right w:val="nil"/>
            </w:tcBorders>
            <w:noWrap/>
            <w:vAlign w:val="center"/>
          </w:tcPr>
          <w:p>
            <w:pPr>
              <w:pStyle w:val="6"/>
              <w:shd w:val="clear" w:color="auto" w:fill="FFFFFF"/>
              <w:spacing w:before="0" w:beforeAutospacing="0" w:after="0" w:afterAutospacing="0" w:line="33" w:lineRule="atLeast"/>
              <w:ind w:firstLine="420"/>
              <w:jc w:val="center"/>
              <w:rPr>
                <w:rFonts w:ascii="楷体_GB2312" w:hAnsi="黑体" w:eastAsia="楷体_GB2312"/>
                <w:b/>
                <w:color w:val="333333"/>
                <w:sz w:val="32"/>
                <w:szCs w:val="32"/>
                <w:shd w:val="clear" w:color="auto" w:fill="FFFFFF"/>
              </w:rPr>
            </w:pPr>
            <w:r>
              <w:rPr>
                <w:rFonts w:hint="eastAsia" w:ascii="楷体_GB2312" w:hAnsi="黑体" w:eastAsia="楷体_GB2312"/>
                <w:b/>
                <w:color w:val="333333"/>
                <w:sz w:val="32"/>
                <w:szCs w:val="32"/>
                <w:shd w:val="clear" w:color="auto" w:fill="FFFFFF"/>
              </w:rPr>
              <w:t>收入支出决算总表</w:t>
            </w:r>
          </w:p>
        </w:tc>
      </w:tr>
      <w:tr>
        <w:tblPrEx>
          <w:tblCellMar>
            <w:top w:w="0" w:type="dxa"/>
            <w:left w:w="108" w:type="dxa"/>
            <w:bottom w:w="0" w:type="dxa"/>
            <w:right w:w="108" w:type="dxa"/>
          </w:tblCellMar>
        </w:tblPrEx>
        <w:trPr>
          <w:trHeight w:val="199" w:hRule="atLeast"/>
        </w:trPr>
        <w:tc>
          <w:tcPr>
            <w:tcW w:w="4858"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7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1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4858"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部门：湘潭县禁毒委员会办公室</w:t>
            </w:r>
          </w:p>
        </w:tc>
        <w:tc>
          <w:tcPr>
            <w:tcW w:w="7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1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670"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收入</w:t>
            </w:r>
          </w:p>
        </w:tc>
        <w:tc>
          <w:tcPr>
            <w:tcW w:w="7678"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支出</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行次</w:t>
            </w:r>
          </w:p>
        </w:tc>
        <w:tc>
          <w:tcPr>
            <w:tcW w:w="99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决算数</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行次</w:t>
            </w:r>
          </w:p>
        </w:tc>
        <w:tc>
          <w:tcPr>
            <w:tcW w:w="32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决算数</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709" w:type="dxa"/>
            <w:tcBorders>
              <w:top w:val="nil"/>
              <w:left w:val="nil"/>
              <w:bottom w:val="single" w:color="auto" w:sz="4" w:space="0"/>
              <w:right w:val="single" w:color="auto" w:sz="4" w:space="0"/>
            </w:tcBorders>
            <w:shd w:val="clear" w:color="000000" w:fill="FFFFFF"/>
            <w:noWrap/>
            <w:vAlign w:val="center"/>
          </w:tcPr>
          <w:p>
            <w:pPr>
              <w:widowControl/>
              <w:rPr>
                <w:rFonts w:ascii="仿宋_GB2312" w:eastAsia="仿宋_GB2312" w:cs="Times New Roman"/>
                <w:kern w:val="0"/>
                <w:sz w:val="24"/>
                <w:szCs w:val="24"/>
              </w:rPr>
            </w:pPr>
          </w:p>
        </w:tc>
        <w:tc>
          <w:tcPr>
            <w:tcW w:w="99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845" w:type="dxa"/>
            <w:tcBorders>
              <w:top w:val="nil"/>
              <w:left w:val="nil"/>
              <w:bottom w:val="single" w:color="auto" w:sz="4" w:space="0"/>
              <w:right w:val="single" w:color="auto" w:sz="4" w:space="0"/>
            </w:tcBorders>
            <w:shd w:val="clear" w:color="000000" w:fill="FFFFFF"/>
            <w:noWrap/>
            <w:vAlign w:val="center"/>
          </w:tcPr>
          <w:p>
            <w:pPr>
              <w:widowControl/>
              <w:rPr>
                <w:rFonts w:ascii="仿宋_GB2312" w:eastAsia="仿宋_GB2312" w:cs="Times New Roman"/>
                <w:kern w:val="0"/>
                <w:sz w:val="24"/>
                <w:szCs w:val="24"/>
              </w:rPr>
            </w:pPr>
          </w:p>
        </w:tc>
        <w:tc>
          <w:tcPr>
            <w:tcW w:w="32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一、一般公共预算财政拨款收入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14</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二、政府性基金预算财政拨款收入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15</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三、国有资本经营预算财政拨款收入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3</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16</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四、上级补助收入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4</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17</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五、事业收入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5</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18</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六、经营收入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6</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19</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七、附属单位上缴收入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7</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20</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八、其他收入</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8</w:t>
            </w:r>
          </w:p>
        </w:tc>
        <w:tc>
          <w:tcPr>
            <w:tcW w:w="992" w:type="dxa"/>
            <w:gridSpan w:val="3"/>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p>
        </w:tc>
        <w:tc>
          <w:tcPr>
            <w:tcW w:w="3600" w:type="dxa"/>
            <w:gridSpan w:val="2"/>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21</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本年收入合计</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600"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23</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109.58</w:t>
            </w: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使用非财政拨款结余</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11</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24</w:t>
            </w:r>
          </w:p>
        </w:tc>
        <w:tc>
          <w:tcPr>
            <w:tcW w:w="3233" w:type="dxa"/>
            <w:gridSpan w:val="3"/>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noWrap/>
            <w:vAlign w:val="center"/>
          </w:tcPr>
          <w:p>
            <w:pPr>
              <w:widowControl/>
              <w:ind w:firstLine="120" w:firstLineChars="50"/>
              <w:jc w:val="center"/>
              <w:rPr>
                <w:rFonts w:ascii="仿宋_GB2312" w:eastAsia="仿宋_GB2312" w:cs="Times New Roman"/>
                <w:kern w:val="0"/>
                <w:sz w:val="24"/>
                <w:szCs w:val="24"/>
              </w:rPr>
            </w:pPr>
            <w:r>
              <w:rPr>
                <w:rFonts w:hint="eastAsia" w:ascii="仿宋_GB2312" w:hAnsi="宋体" w:eastAsia="仿宋_GB2312" w:cs="宋体"/>
                <w:kern w:val="0"/>
                <w:sz w:val="24"/>
                <w:szCs w:val="24"/>
              </w:rPr>
              <w:t>年初结转和结余</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12</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00"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25</w:t>
            </w:r>
          </w:p>
        </w:tc>
        <w:tc>
          <w:tcPr>
            <w:tcW w:w="3233" w:type="dxa"/>
            <w:gridSpan w:val="3"/>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trHeight w:val="340" w:hRule="atLeast"/>
        </w:trPr>
        <w:tc>
          <w:tcPr>
            <w:tcW w:w="396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总计</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13</w:t>
            </w:r>
          </w:p>
        </w:tc>
        <w:tc>
          <w:tcPr>
            <w:tcW w:w="992"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6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26</w:t>
            </w:r>
          </w:p>
        </w:tc>
        <w:tc>
          <w:tcPr>
            <w:tcW w:w="3233" w:type="dxa"/>
            <w:gridSpan w:val="3"/>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bCs/>
                <w:kern w:val="0"/>
                <w:sz w:val="24"/>
                <w:szCs w:val="24"/>
              </w:rPr>
            </w:pPr>
            <w:r>
              <w:rPr>
                <w:rFonts w:hint="eastAsia" w:ascii="仿宋_GB2312" w:hAnsi="宋体" w:eastAsia="仿宋_GB2312" w:cs="宋体"/>
                <w:b/>
                <w:bCs/>
                <w:kern w:val="0"/>
                <w:sz w:val="24"/>
                <w:szCs w:val="24"/>
              </w:rPr>
              <w:t>　</w:t>
            </w:r>
            <w:r>
              <w:rPr>
                <w:rFonts w:hint="eastAsia" w:ascii="仿宋_GB2312" w:hAnsi="宋体" w:eastAsia="仿宋_GB2312" w:cs="宋体"/>
                <w:bCs/>
                <w:kern w:val="0"/>
                <w:sz w:val="24"/>
                <w:szCs w:val="24"/>
              </w:rPr>
              <w:t>109.58</w:t>
            </w:r>
          </w:p>
        </w:tc>
      </w:tr>
      <w:tr>
        <w:tblPrEx>
          <w:tblCellMar>
            <w:top w:w="0" w:type="dxa"/>
            <w:left w:w="108" w:type="dxa"/>
            <w:bottom w:w="0" w:type="dxa"/>
            <w:right w:w="108" w:type="dxa"/>
          </w:tblCellMar>
        </w:tblPrEx>
        <w:trPr>
          <w:trHeight w:val="1020" w:hRule="atLeast"/>
        </w:trPr>
        <w:tc>
          <w:tcPr>
            <w:tcW w:w="13348" w:type="dxa"/>
            <w:gridSpan w:val="11"/>
            <w:tcBorders>
              <w:top w:val="nil"/>
              <w:left w:val="nil"/>
              <w:bottom w:val="nil"/>
              <w:right w:val="nil"/>
            </w:tcBorders>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注：1.本表反映部门本年度的总收支和年末结转结余情况。</w:t>
            </w:r>
            <w:r>
              <w:rPr>
                <w:rFonts w:hint="eastAsia" w:ascii="仿宋_GB2312" w:eastAsia="仿宋_GB2312" w:cs="Times New Roman"/>
                <w:kern w:val="0"/>
                <w:sz w:val="24"/>
                <w:szCs w:val="24"/>
              </w:rPr>
              <w:br w:type="textWrapping"/>
            </w:r>
            <w:r>
              <w:rPr>
                <w:rFonts w:hint="eastAsia" w:ascii="仿宋_GB2312" w:hAnsi="宋体" w:eastAsia="仿宋_GB2312" w:cs="宋体"/>
                <w:kern w:val="0"/>
                <w:sz w:val="24"/>
                <w:szCs w:val="24"/>
              </w:rPr>
              <w:t>2.本套报表金额单位转换时可能存在尾数误差。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255" w:type="dxa"/>
        <w:tblInd w:w="441" w:type="dxa"/>
        <w:tblLayout w:type="fixed"/>
        <w:tblCellMar>
          <w:top w:w="0" w:type="dxa"/>
          <w:left w:w="0" w:type="dxa"/>
          <w:bottom w:w="0" w:type="dxa"/>
          <w:right w:w="0" w:type="dxa"/>
        </w:tblCellMar>
      </w:tblPr>
      <w:tblGrid>
        <w:gridCol w:w="191"/>
        <w:gridCol w:w="1793"/>
        <w:gridCol w:w="375"/>
        <w:gridCol w:w="1146"/>
        <w:gridCol w:w="898"/>
        <w:gridCol w:w="700"/>
        <w:gridCol w:w="731"/>
        <w:gridCol w:w="970"/>
        <w:gridCol w:w="130"/>
        <w:gridCol w:w="1025"/>
        <w:gridCol w:w="404"/>
        <w:gridCol w:w="771"/>
        <w:gridCol w:w="221"/>
        <w:gridCol w:w="992"/>
        <w:gridCol w:w="87"/>
        <w:gridCol w:w="1759"/>
        <w:gridCol w:w="281"/>
        <w:gridCol w:w="1559"/>
        <w:gridCol w:w="324"/>
        <w:gridCol w:w="898"/>
      </w:tblGrid>
      <w:tr>
        <w:tblPrEx>
          <w:tblCellMar>
            <w:top w:w="0" w:type="dxa"/>
            <w:left w:w="0" w:type="dxa"/>
            <w:bottom w:w="0" w:type="dxa"/>
            <w:right w:w="0" w:type="dxa"/>
          </w:tblCellMar>
        </w:tblPrEx>
        <w:trPr>
          <w:gridAfter w:val="1"/>
          <w:wAfter w:w="898" w:type="dxa"/>
          <w:trHeight w:val="435" w:hRule="atLeast"/>
        </w:trPr>
        <w:tc>
          <w:tcPr>
            <w:tcW w:w="14357" w:type="dxa"/>
            <w:gridSpan w:val="19"/>
            <w:tcBorders>
              <w:top w:val="nil"/>
              <w:left w:val="nil"/>
              <w:bottom w:val="nil"/>
              <w:right w:val="nil"/>
            </w:tcBorders>
            <w:noWrap/>
            <w:tcMar>
              <w:top w:w="15" w:type="dxa"/>
              <w:left w:w="15" w:type="dxa"/>
              <w:bottom w:w="0" w:type="dxa"/>
              <w:right w:w="15" w:type="dxa"/>
            </w:tcMar>
            <w:vAlign w:val="center"/>
          </w:tcPr>
          <w:p>
            <w:pPr>
              <w:jc w:val="center"/>
              <w:rPr>
                <w:rFonts w:ascii="楷体_GB2312" w:hAnsi="华文中宋" w:eastAsia="楷体_GB2312" w:cs="Times New Roman"/>
                <w:b/>
                <w:color w:val="000000"/>
                <w:sz w:val="32"/>
                <w:szCs w:val="32"/>
              </w:rPr>
            </w:pPr>
            <w:r>
              <w:rPr>
                <w:rFonts w:hint="eastAsia" w:ascii="楷体_GB2312" w:hAnsi="华文中宋" w:eastAsia="楷体_GB2312" w:cs="华文中宋"/>
                <w:b/>
                <w:color w:val="000000"/>
                <w:sz w:val="32"/>
                <w:szCs w:val="32"/>
              </w:rPr>
              <w:t>收入决算表</w:t>
            </w:r>
          </w:p>
        </w:tc>
      </w:tr>
      <w:tr>
        <w:tblPrEx>
          <w:tblCellMar>
            <w:top w:w="0" w:type="dxa"/>
            <w:left w:w="0" w:type="dxa"/>
            <w:bottom w:w="0" w:type="dxa"/>
            <w:right w:w="0" w:type="dxa"/>
          </w:tblCellMar>
        </w:tblPrEx>
        <w:trPr>
          <w:trHeight w:val="285" w:hRule="atLeast"/>
        </w:trPr>
        <w:tc>
          <w:tcPr>
            <w:tcW w:w="19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ind w:right="800" w:firstLine="600" w:firstLineChars="250"/>
              <w:rPr>
                <w:rFonts w:ascii="仿宋_GB2312" w:eastAsia="仿宋_GB2312" w:cs="Times New Roman"/>
                <w:color w:val="000000"/>
                <w:sz w:val="24"/>
                <w:szCs w:val="24"/>
              </w:rPr>
            </w:pPr>
            <w:r>
              <w:rPr>
                <w:rFonts w:hint="eastAsia" w:ascii="仿宋_GB2312" w:eastAsia="仿宋_GB2312" w:cs="宋体"/>
                <w:color w:val="000000"/>
                <w:sz w:val="24"/>
                <w:szCs w:val="24"/>
              </w:rPr>
              <w:t>公开</w:t>
            </w:r>
            <w:r>
              <w:rPr>
                <w:rFonts w:hint="eastAsia" w:ascii="仿宋_GB2312" w:eastAsia="仿宋_GB2312"/>
                <w:color w:val="000000"/>
                <w:sz w:val="24"/>
                <w:szCs w:val="24"/>
              </w:rPr>
              <w:t>02</w:t>
            </w:r>
            <w:r>
              <w:rPr>
                <w:rFonts w:hint="eastAsia" w:ascii="仿宋_GB2312" w:eastAsia="仿宋_GB2312" w:cs="宋体"/>
                <w:color w:val="000000"/>
                <w:sz w:val="24"/>
                <w:szCs w:val="24"/>
              </w:rPr>
              <w:t>表</w:t>
            </w:r>
          </w:p>
        </w:tc>
      </w:tr>
      <w:tr>
        <w:tblPrEx>
          <w:tblCellMar>
            <w:top w:w="0" w:type="dxa"/>
            <w:left w:w="0" w:type="dxa"/>
            <w:bottom w:w="0" w:type="dxa"/>
            <w:right w:w="0" w:type="dxa"/>
          </w:tblCellMar>
        </w:tblPrEx>
        <w:trPr>
          <w:gridAfter w:val="2"/>
          <w:wAfter w:w="1222" w:type="dxa"/>
          <w:trHeight w:val="285" w:hRule="atLeast"/>
        </w:trPr>
        <w:tc>
          <w:tcPr>
            <w:tcW w:w="3505"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rPr>
                <w:rFonts w:ascii="仿宋_GB2312" w:eastAsia="仿宋_GB2312" w:cs="Times New Roman"/>
                <w:color w:val="000000"/>
                <w:sz w:val="24"/>
                <w:szCs w:val="24"/>
              </w:rPr>
            </w:pPr>
            <w:r>
              <w:rPr>
                <w:rFonts w:hint="eastAsia" w:ascii="仿宋_GB2312" w:eastAsia="仿宋_GB2312" w:cs="宋体"/>
                <w:color w:val="000000"/>
                <w:sz w:val="24"/>
                <w:szCs w:val="24"/>
              </w:rPr>
              <w:t>部门：</w:t>
            </w:r>
            <w:r>
              <w:rPr>
                <w:rFonts w:hint="eastAsia" w:ascii="仿宋_GB2312" w:hAnsi="宋体" w:eastAsia="仿宋_GB2312" w:cs="宋体"/>
                <w:color w:val="000000"/>
                <w:kern w:val="0"/>
                <w:sz w:val="24"/>
                <w:szCs w:val="24"/>
              </w:rPr>
              <w:t>湘潭县禁毒委</w:t>
            </w:r>
            <w:r>
              <w:rPr>
                <w:rFonts w:hint="eastAsia" w:ascii="仿宋_GB2312" w:eastAsia="仿宋_GB2312" w:cs="宋体"/>
                <w:sz w:val="24"/>
                <w:szCs w:val="24"/>
              </w:rPr>
              <w:t>员会办公室</w:t>
            </w:r>
          </w:p>
        </w:tc>
        <w:tc>
          <w:tcPr>
            <w:tcW w:w="159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70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仿宋_GB2312" w:eastAsia="仿宋_GB2312" w:cs="Times New Roman"/>
                <w:color w:val="000000"/>
                <w:sz w:val="24"/>
                <w:szCs w:val="24"/>
              </w:rPr>
            </w:pPr>
          </w:p>
        </w:tc>
        <w:tc>
          <w:tcPr>
            <w:tcW w:w="99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仿宋_GB2312" w:eastAsia="仿宋_GB2312" w:cs="Times New Roman"/>
                <w:color w:val="000000"/>
                <w:sz w:val="24"/>
                <w:szCs w:val="24"/>
              </w:rPr>
            </w:pPr>
            <w:r>
              <w:rPr>
                <w:rFonts w:hint="eastAsia" w:ascii="仿宋_GB2312" w:eastAsia="仿宋_GB2312" w:cs="宋体"/>
                <w:color w:val="000000"/>
                <w:sz w:val="24"/>
                <w:szCs w:val="24"/>
              </w:rPr>
              <w:t>单位：万元</w:t>
            </w:r>
          </w:p>
        </w:tc>
      </w:tr>
      <w:tr>
        <w:tblPrEx>
          <w:tblCellMar>
            <w:top w:w="0" w:type="dxa"/>
            <w:left w:w="0" w:type="dxa"/>
            <w:bottom w:w="0" w:type="dxa"/>
            <w:right w:w="0" w:type="dxa"/>
          </w:tblCellMar>
        </w:tblPrEx>
        <w:trPr>
          <w:gridAfter w:val="2"/>
          <w:wAfter w:w="1222" w:type="dxa"/>
          <w:trHeight w:val="450" w:hRule="atLeast"/>
        </w:trPr>
        <w:tc>
          <w:tcPr>
            <w:tcW w:w="350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项目</w:t>
            </w:r>
          </w:p>
        </w:tc>
        <w:tc>
          <w:tcPr>
            <w:tcW w:w="15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本年收入合计</w:t>
            </w:r>
          </w:p>
        </w:tc>
        <w:tc>
          <w:tcPr>
            <w:tcW w:w="1701"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财政拨款收入</w:t>
            </w:r>
          </w:p>
        </w:tc>
        <w:tc>
          <w:tcPr>
            <w:tcW w:w="1559"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上级补助收入</w:t>
            </w:r>
          </w:p>
        </w:tc>
        <w:tc>
          <w:tcPr>
            <w:tcW w:w="99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事业收入</w:t>
            </w:r>
          </w:p>
        </w:tc>
        <w:tc>
          <w:tcPr>
            <w:tcW w:w="99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经营收入</w:t>
            </w:r>
          </w:p>
        </w:tc>
        <w:tc>
          <w:tcPr>
            <w:tcW w:w="2127"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附属单位上缴收入</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其他收入</w:t>
            </w:r>
          </w:p>
        </w:tc>
      </w:tr>
      <w:tr>
        <w:tblPrEx>
          <w:tblCellMar>
            <w:top w:w="0" w:type="dxa"/>
            <w:left w:w="0" w:type="dxa"/>
            <w:bottom w:w="0" w:type="dxa"/>
            <w:right w:w="0" w:type="dxa"/>
          </w:tblCellMar>
        </w:tblPrEx>
        <w:trPr>
          <w:gridAfter w:val="2"/>
          <w:wAfter w:w="1222" w:type="dxa"/>
          <w:trHeight w:val="450" w:hRule="atLeast"/>
        </w:trPr>
        <w:tc>
          <w:tcPr>
            <w:tcW w:w="198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功能分类科目编码</w:t>
            </w:r>
          </w:p>
        </w:tc>
        <w:tc>
          <w:tcPr>
            <w:tcW w:w="1521"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科目名称</w:t>
            </w: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212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r>
      <w:tr>
        <w:tblPrEx>
          <w:tblCellMar>
            <w:top w:w="0" w:type="dxa"/>
            <w:left w:w="0" w:type="dxa"/>
            <w:bottom w:w="0" w:type="dxa"/>
            <w:right w:w="0" w:type="dxa"/>
          </w:tblCellMar>
        </w:tblPrEx>
        <w:trPr>
          <w:gridAfter w:val="2"/>
          <w:wAfter w:w="1222" w:type="dxa"/>
          <w:trHeight w:val="450" w:hRule="atLeast"/>
        </w:trPr>
        <w:tc>
          <w:tcPr>
            <w:tcW w:w="198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21" w:type="dxa"/>
            <w:gridSpan w:val="2"/>
            <w:vMerge w:val="continue"/>
            <w:tcBorders>
              <w:top w:val="nil"/>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9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212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eastAsia="仿宋_GB2312" w:cs="Times New Roman"/>
                <w:sz w:val="24"/>
                <w:szCs w:val="24"/>
              </w:rPr>
            </w:pPr>
          </w:p>
        </w:tc>
      </w:tr>
      <w:tr>
        <w:tblPrEx>
          <w:tblCellMar>
            <w:top w:w="0" w:type="dxa"/>
            <w:left w:w="0" w:type="dxa"/>
            <w:bottom w:w="0" w:type="dxa"/>
            <w:right w:w="0" w:type="dxa"/>
          </w:tblCellMar>
        </w:tblPrEx>
        <w:trPr>
          <w:gridAfter w:val="2"/>
          <w:wAfter w:w="1222" w:type="dxa"/>
          <w:trHeight w:val="450" w:hRule="atLeast"/>
        </w:trPr>
        <w:tc>
          <w:tcPr>
            <w:tcW w:w="350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栏次</w:t>
            </w:r>
          </w:p>
        </w:tc>
        <w:tc>
          <w:tcPr>
            <w:tcW w:w="159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1</w:t>
            </w:r>
          </w:p>
        </w:tc>
        <w:tc>
          <w:tcPr>
            <w:tcW w:w="170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2</w:t>
            </w:r>
          </w:p>
        </w:tc>
        <w:tc>
          <w:tcPr>
            <w:tcW w:w="1559"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3</w:t>
            </w:r>
          </w:p>
        </w:tc>
        <w:tc>
          <w:tcPr>
            <w:tcW w:w="99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4</w:t>
            </w:r>
          </w:p>
        </w:tc>
        <w:tc>
          <w:tcPr>
            <w:tcW w:w="9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5</w:t>
            </w:r>
          </w:p>
        </w:tc>
        <w:tc>
          <w:tcPr>
            <w:tcW w:w="2127"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6</w:t>
            </w:r>
          </w:p>
        </w:tc>
        <w:tc>
          <w:tcPr>
            <w:tcW w:w="155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sz w:val="24"/>
                <w:szCs w:val="24"/>
              </w:rPr>
              <w:t>7</w:t>
            </w:r>
          </w:p>
        </w:tc>
      </w:tr>
      <w:tr>
        <w:tblPrEx>
          <w:tblCellMar>
            <w:top w:w="0" w:type="dxa"/>
            <w:left w:w="0" w:type="dxa"/>
            <w:bottom w:w="0" w:type="dxa"/>
            <w:right w:w="0" w:type="dxa"/>
          </w:tblCellMar>
        </w:tblPrEx>
        <w:trPr>
          <w:gridAfter w:val="2"/>
          <w:wAfter w:w="1222" w:type="dxa"/>
          <w:trHeight w:val="450" w:hRule="atLeast"/>
        </w:trPr>
        <w:tc>
          <w:tcPr>
            <w:tcW w:w="350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合计</w:t>
            </w:r>
          </w:p>
        </w:tc>
        <w:tc>
          <w:tcPr>
            <w:tcW w:w="159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109.58</w:t>
            </w:r>
          </w:p>
        </w:tc>
        <w:tc>
          <w:tcPr>
            <w:tcW w:w="17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109.58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r>
      <w:tr>
        <w:tblPrEx>
          <w:tblCellMar>
            <w:top w:w="0" w:type="dxa"/>
            <w:left w:w="0" w:type="dxa"/>
            <w:bottom w:w="0" w:type="dxa"/>
            <w:right w:w="0" w:type="dxa"/>
          </w:tblCellMar>
        </w:tblPrEx>
        <w:trPr>
          <w:gridAfter w:val="2"/>
          <w:wAfter w:w="1222" w:type="dxa"/>
          <w:trHeight w:val="450" w:hRule="atLeast"/>
        </w:trPr>
        <w:tc>
          <w:tcPr>
            <w:tcW w:w="198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204</w:t>
            </w:r>
          </w:p>
        </w:tc>
        <w:tc>
          <w:tcPr>
            <w:tcW w:w="15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公共安全支出</w:t>
            </w:r>
          </w:p>
        </w:tc>
        <w:tc>
          <w:tcPr>
            <w:tcW w:w="159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109.58</w:t>
            </w:r>
          </w:p>
        </w:tc>
        <w:tc>
          <w:tcPr>
            <w:tcW w:w="17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109.58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r>
      <w:tr>
        <w:tblPrEx>
          <w:tblCellMar>
            <w:top w:w="0" w:type="dxa"/>
            <w:left w:w="0" w:type="dxa"/>
            <w:bottom w:w="0" w:type="dxa"/>
            <w:right w:w="0" w:type="dxa"/>
          </w:tblCellMar>
        </w:tblPrEx>
        <w:trPr>
          <w:gridAfter w:val="2"/>
          <w:wAfter w:w="1222" w:type="dxa"/>
          <w:trHeight w:val="450" w:hRule="atLeast"/>
        </w:trPr>
        <w:tc>
          <w:tcPr>
            <w:tcW w:w="198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20402</w:t>
            </w:r>
          </w:p>
        </w:tc>
        <w:tc>
          <w:tcPr>
            <w:tcW w:w="15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公安</w:t>
            </w:r>
          </w:p>
        </w:tc>
        <w:tc>
          <w:tcPr>
            <w:tcW w:w="159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109.58</w:t>
            </w:r>
          </w:p>
        </w:tc>
        <w:tc>
          <w:tcPr>
            <w:tcW w:w="17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109.58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r>
      <w:tr>
        <w:tblPrEx>
          <w:tblCellMar>
            <w:top w:w="0" w:type="dxa"/>
            <w:left w:w="0" w:type="dxa"/>
            <w:bottom w:w="0" w:type="dxa"/>
            <w:right w:w="0" w:type="dxa"/>
          </w:tblCellMar>
        </w:tblPrEx>
        <w:trPr>
          <w:gridAfter w:val="2"/>
          <w:wAfter w:w="1222" w:type="dxa"/>
          <w:trHeight w:val="450" w:hRule="atLeast"/>
        </w:trPr>
        <w:tc>
          <w:tcPr>
            <w:tcW w:w="198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2040299</w:t>
            </w:r>
          </w:p>
        </w:tc>
        <w:tc>
          <w:tcPr>
            <w:tcW w:w="15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其他公安支出</w:t>
            </w:r>
          </w:p>
        </w:tc>
        <w:tc>
          <w:tcPr>
            <w:tcW w:w="159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sz w:val="24"/>
                <w:szCs w:val="24"/>
              </w:rPr>
            </w:pPr>
            <w:r>
              <w:rPr>
                <w:rFonts w:hint="eastAsia" w:ascii="仿宋_GB2312" w:eastAsia="仿宋_GB2312"/>
                <w:sz w:val="24"/>
                <w:szCs w:val="24"/>
              </w:rPr>
              <w:t>109.58</w:t>
            </w:r>
          </w:p>
        </w:tc>
        <w:tc>
          <w:tcPr>
            <w:tcW w:w="17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仿宋_GB2312" w:eastAsia="仿宋_GB2312" w:cs="Times New Roman"/>
                <w:sz w:val="24"/>
                <w:szCs w:val="24"/>
              </w:rPr>
            </w:pPr>
            <w:r>
              <w:rPr>
                <w:rFonts w:hint="eastAsia" w:ascii="仿宋_GB2312" w:eastAsia="仿宋_GB2312" w:cs="宋体"/>
                <w:sz w:val="24"/>
                <w:szCs w:val="24"/>
              </w:rPr>
              <w:t>109.58</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r>
      <w:tr>
        <w:tblPrEx>
          <w:tblCellMar>
            <w:top w:w="0" w:type="dxa"/>
            <w:left w:w="0" w:type="dxa"/>
            <w:bottom w:w="0" w:type="dxa"/>
            <w:right w:w="0" w:type="dxa"/>
          </w:tblCellMar>
        </w:tblPrEx>
        <w:trPr>
          <w:gridAfter w:val="2"/>
          <w:wAfter w:w="1222" w:type="dxa"/>
          <w:trHeight w:val="450" w:hRule="atLeast"/>
        </w:trPr>
        <w:tc>
          <w:tcPr>
            <w:tcW w:w="198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仿宋_GB2312" w:eastAsia="仿宋_GB2312" w:cs="Times New Roman"/>
                <w:sz w:val="24"/>
                <w:szCs w:val="24"/>
              </w:rPr>
            </w:pPr>
            <w:r>
              <w:rPr>
                <w:rFonts w:hint="eastAsia" w:ascii="仿宋_GB2312" w:eastAsia="仿宋_GB2312" w:cs="宋体"/>
                <w:sz w:val="24"/>
                <w:szCs w:val="24"/>
              </w:rPr>
              <w:t>　</w:t>
            </w:r>
          </w:p>
        </w:tc>
        <w:tc>
          <w:tcPr>
            <w:tcW w:w="15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仿宋_GB2312" w:eastAsia="仿宋_GB2312" w:cs="Times New Roman"/>
                <w:sz w:val="24"/>
                <w:szCs w:val="24"/>
              </w:rPr>
            </w:pPr>
            <w:r>
              <w:rPr>
                <w:rFonts w:hint="eastAsia" w:ascii="仿宋_GB2312" w:eastAsia="仿宋_GB2312" w:cs="宋体"/>
                <w:sz w:val="24"/>
                <w:szCs w:val="24"/>
              </w:rPr>
              <w:t>　</w:t>
            </w:r>
          </w:p>
        </w:tc>
        <w:tc>
          <w:tcPr>
            <w:tcW w:w="159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70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99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2127" w:type="dxa"/>
            <w:gridSpan w:val="3"/>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c>
          <w:tcPr>
            <w:tcW w:w="1559"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仿宋_GB2312" w:eastAsia="仿宋_GB2312" w:cs="Times New Roman"/>
                <w:sz w:val="24"/>
                <w:szCs w:val="24"/>
              </w:rPr>
            </w:pPr>
            <w:r>
              <w:rPr>
                <w:rFonts w:hint="eastAsia" w:ascii="仿宋_GB2312" w:eastAsia="仿宋_GB2312" w:cs="宋体"/>
                <w:sz w:val="24"/>
                <w:szCs w:val="24"/>
              </w:rPr>
              <w:t>　</w:t>
            </w:r>
          </w:p>
        </w:tc>
      </w:tr>
      <w:tr>
        <w:tblPrEx>
          <w:tblCellMar>
            <w:top w:w="0" w:type="dxa"/>
            <w:left w:w="0" w:type="dxa"/>
            <w:bottom w:w="0" w:type="dxa"/>
            <w:right w:w="0" w:type="dxa"/>
          </w:tblCellMar>
        </w:tblPrEx>
        <w:trPr>
          <w:gridAfter w:val="2"/>
          <w:wAfter w:w="1222" w:type="dxa"/>
          <w:trHeight w:val="615" w:hRule="atLeast"/>
        </w:trPr>
        <w:tc>
          <w:tcPr>
            <w:tcW w:w="14033" w:type="dxa"/>
            <w:gridSpan w:val="18"/>
            <w:tcBorders>
              <w:top w:val="nil"/>
              <w:left w:val="nil"/>
              <w:bottom w:val="nil"/>
              <w:right w:val="nil"/>
            </w:tcBorders>
            <w:tcMar>
              <w:top w:w="15" w:type="dxa"/>
              <w:left w:w="15" w:type="dxa"/>
              <w:bottom w:w="0" w:type="dxa"/>
              <w:right w:w="15" w:type="dxa"/>
            </w:tcMar>
            <w:vAlign w:val="center"/>
          </w:tcPr>
          <w:p>
            <w:pPr>
              <w:ind w:firstLine="720" w:firstLineChars="300"/>
              <w:rPr>
                <w:rFonts w:ascii="仿宋_GB2312" w:eastAsia="仿宋_GB2312" w:cs="宋体"/>
                <w:sz w:val="24"/>
                <w:szCs w:val="24"/>
              </w:rPr>
            </w:pPr>
            <w:r>
              <w:rPr>
                <w:rFonts w:hint="eastAsia" w:ascii="仿宋_GB2312" w:eastAsia="仿宋_GB2312" w:cs="宋体"/>
                <w:sz w:val="24"/>
                <w:szCs w:val="24"/>
              </w:rPr>
              <w:t>注：本表反映部门本年度取得的各项收入情况。</w:t>
            </w: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宋体"/>
                <w:sz w:val="24"/>
                <w:szCs w:val="24"/>
              </w:rPr>
            </w:pPr>
          </w:p>
          <w:p>
            <w:pPr>
              <w:ind w:firstLine="720" w:firstLineChars="300"/>
              <w:rPr>
                <w:rFonts w:ascii="仿宋_GB2312" w:eastAsia="仿宋_GB2312" w:cs="Times New Roman"/>
                <w:sz w:val="24"/>
                <w:szCs w:val="24"/>
              </w:rPr>
            </w:pPr>
          </w:p>
        </w:tc>
      </w:tr>
    </w:tbl>
    <w:p>
      <w:pPr>
        <w:widowControl/>
        <w:rPr>
          <w:rFonts w:ascii="Times New Roman" w:hAnsi="Times New Roman" w:eastAsia="方正小标宋_GBK" w:cs="Times New Roman"/>
          <w:color w:val="000000"/>
          <w:kern w:val="0"/>
          <w:sz w:val="36"/>
          <w:szCs w:val="36"/>
        </w:rPr>
      </w:pPr>
    </w:p>
    <w:tbl>
      <w:tblPr>
        <w:tblStyle w:val="7"/>
        <w:tblW w:w="0" w:type="auto"/>
        <w:tblInd w:w="675" w:type="dxa"/>
        <w:tblLayout w:type="fixed"/>
        <w:tblCellMar>
          <w:top w:w="0" w:type="dxa"/>
          <w:left w:w="108" w:type="dxa"/>
          <w:bottom w:w="0" w:type="dxa"/>
          <w:right w:w="108" w:type="dxa"/>
        </w:tblCellMar>
      </w:tblPr>
      <w:tblGrid>
        <w:gridCol w:w="236"/>
        <w:gridCol w:w="483"/>
        <w:gridCol w:w="401"/>
        <w:gridCol w:w="156"/>
        <w:gridCol w:w="1207"/>
        <w:gridCol w:w="494"/>
        <w:gridCol w:w="1276"/>
        <w:gridCol w:w="259"/>
        <w:gridCol w:w="1017"/>
        <w:gridCol w:w="401"/>
        <w:gridCol w:w="1016"/>
        <w:gridCol w:w="685"/>
        <w:gridCol w:w="1158"/>
        <w:gridCol w:w="684"/>
        <w:gridCol w:w="733"/>
        <w:gridCol w:w="685"/>
        <w:gridCol w:w="2292"/>
        <w:gridCol w:w="284"/>
        <w:gridCol w:w="401"/>
      </w:tblGrid>
      <w:tr>
        <w:tblPrEx>
          <w:tblCellMar>
            <w:top w:w="0" w:type="dxa"/>
            <w:left w:w="108" w:type="dxa"/>
            <w:bottom w:w="0" w:type="dxa"/>
            <w:right w:w="108" w:type="dxa"/>
          </w:tblCellMar>
        </w:tblPrEx>
        <w:trPr>
          <w:gridAfter w:val="1"/>
          <w:wAfter w:w="401" w:type="dxa"/>
          <w:trHeight w:val="435" w:hRule="atLeast"/>
        </w:trPr>
        <w:tc>
          <w:tcPr>
            <w:tcW w:w="13467" w:type="dxa"/>
            <w:gridSpan w:val="18"/>
            <w:tcBorders>
              <w:top w:val="nil"/>
              <w:left w:val="nil"/>
              <w:bottom w:val="nil"/>
              <w:right w:val="nil"/>
            </w:tcBorders>
            <w:noWrap/>
            <w:vAlign w:val="center"/>
          </w:tcPr>
          <w:p>
            <w:pPr>
              <w:widowControl/>
              <w:jc w:val="center"/>
              <w:rPr>
                <w:rFonts w:ascii="楷体_GB2312" w:hAnsi="华文中宋" w:eastAsia="楷体_GB2312" w:cs="Times New Roman"/>
                <w:b/>
                <w:color w:val="000000"/>
                <w:kern w:val="0"/>
                <w:sz w:val="32"/>
                <w:szCs w:val="32"/>
              </w:rPr>
            </w:pPr>
            <w:r>
              <w:rPr>
                <w:rFonts w:hint="eastAsia" w:ascii="楷体_GB2312" w:hAnsi="华文中宋" w:eastAsia="楷体_GB2312" w:cs="华文中宋"/>
                <w:b/>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2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029"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18"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42"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18"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77" w:type="dxa"/>
            <w:gridSpan w:val="3"/>
            <w:tcBorders>
              <w:top w:val="nil"/>
              <w:left w:val="nil"/>
              <w:bottom w:val="nil"/>
              <w:right w:val="nil"/>
            </w:tcBorders>
            <w:shd w:val="clear" w:color="000000" w:fill="FFFFFF"/>
            <w:noWrap/>
            <w:vAlign w:val="center"/>
          </w:tcPr>
          <w:p>
            <w:pPr>
              <w:widowControl/>
              <w:ind w:right="720"/>
              <w:jc w:val="right"/>
              <w:rPr>
                <w:rFonts w:ascii="宋体" w:cs="Times New Roman"/>
                <w:color w:val="000000"/>
                <w:kern w:val="0"/>
                <w:sz w:val="20"/>
                <w:szCs w:val="20"/>
              </w:rPr>
            </w:pPr>
            <w:r>
              <w:rPr>
                <w:rFonts w:hint="eastAsia" w:ascii="仿宋_GB2312" w:hAnsi="宋体" w:eastAsia="仿宋_GB2312" w:cs="宋体"/>
                <w:color w:val="000000"/>
                <w:kern w:val="0"/>
                <w:sz w:val="24"/>
                <w:szCs w:val="24"/>
              </w:rPr>
              <w:t>公开</w:t>
            </w:r>
            <w:r>
              <w:rPr>
                <w:rFonts w:ascii="仿宋_GB2312" w:hAnsi="宋体" w:eastAsia="仿宋_GB2312" w:cs="宋体"/>
                <w:color w:val="000000"/>
                <w:kern w:val="0"/>
                <w:sz w:val="24"/>
                <w:szCs w:val="24"/>
              </w:rPr>
              <w:t>03</w:t>
            </w:r>
            <w:r>
              <w:rPr>
                <w:rFonts w:hint="eastAsia" w:ascii="仿宋_GB2312" w:hAnsi="宋体" w:eastAsia="仿宋_GB2312" w:cs="宋体"/>
                <w:color w:val="000000"/>
                <w:kern w:val="0"/>
                <w:sz w:val="24"/>
                <w:szCs w:val="24"/>
              </w:rPr>
              <w:t>表</w:t>
            </w:r>
          </w:p>
        </w:tc>
      </w:tr>
      <w:tr>
        <w:tblPrEx>
          <w:tblCellMar>
            <w:top w:w="0" w:type="dxa"/>
            <w:left w:w="108" w:type="dxa"/>
            <w:bottom w:w="0" w:type="dxa"/>
            <w:right w:w="108" w:type="dxa"/>
          </w:tblCellMar>
        </w:tblPrEx>
        <w:trPr>
          <w:gridAfter w:val="2"/>
          <w:wAfter w:w="685" w:type="dxa"/>
          <w:cantSplit/>
          <w:trHeight w:val="285" w:hRule="atLeast"/>
        </w:trPr>
        <w:tc>
          <w:tcPr>
            <w:tcW w:w="4253" w:type="dxa"/>
            <w:gridSpan w:val="7"/>
            <w:tcBorders>
              <w:top w:val="nil"/>
              <w:left w:val="nil"/>
              <w:bottom w:val="nil"/>
              <w:right w:val="nil"/>
            </w:tcBorders>
            <w:shd w:val="clear" w:color="000000" w:fill="FFFFFF"/>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部门：湘潭县禁毒委员会办公室</w:t>
            </w:r>
            <w:r>
              <w:rPr>
                <w:rFonts w:hint="eastAsia" w:ascii="仿宋_GB2312" w:hAnsi="宋体" w:eastAsia="仿宋_GB2312" w:cs="宋体"/>
                <w:kern w:val="0"/>
                <w:sz w:val="24"/>
                <w:szCs w:val="24"/>
              </w:rPr>
              <w:t>　　</w:t>
            </w:r>
          </w:p>
        </w:tc>
        <w:tc>
          <w:tcPr>
            <w:tcW w:w="1276" w:type="dxa"/>
            <w:gridSpan w:val="2"/>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nil"/>
              <w:right w:val="nil"/>
            </w:tcBorders>
            <w:shd w:val="clear" w:color="000000" w:fill="FFFFFF"/>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w:t>
            </w:r>
          </w:p>
        </w:tc>
        <w:tc>
          <w:tcPr>
            <w:tcW w:w="1843" w:type="dxa"/>
            <w:gridSpan w:val="2"/>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nil"/>
              <w:right w:val="nil"/>
            </w:tcBorders>
            <w:shd w:val="clear" w:color="000000" w:fill="FFFFFF"/>
            <w:noWrap/>
            <w:vAlign w:val="center"/>
          </w:tcPr>
          <w:p>
            <w:pPr>
              <w:widowControl/>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单位：万元</w:t>
            </w:r>
          </w:p>
        </w:tc>
      </w:tr>
      <w:tr>
        <w:tblPrEx>
          <w:tblCellMar>
            <w:top w:w="0" w:type="dxa"/>
            <w:left w:w="108" w:type="dxa"/>
            <w:bottom w:w="0" w:type="dxa"/>
            <w:right w:w="108" w:type="dxa"/>
          </w:tblCellMar>
        </w:tblPrEx>
        <w:trPr>
          <w:gridAfter w:val="2"/>
          <w:wAfter w:w="685" w:type="dxa"/>
          <w:trHeight w:val="450" w:hRule="atLeast"/>
        </w:trPr>
        <w:tc>
          <w:tcPr>
            <w:tcW w:w="2977"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本年支出合计</w:t>
            </w:r>
          </w:p>
        </w:tc>
        <w:tc>
          <w:tcPr>
            <w:tcW w:w="12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基本支出</w:t>
            </w:r>
          </w:p>
        </w:tc>
        <w:tc>
          <w:tcPr>
            <w:tcW w:w="141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项目支出</w:t>
            </w:r>
          </w:p>
        </w:tc>
        <w:tc>
          <w:tcPr>
            <w:tcW w:w="184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上缴上级支出</w:t>
            </w:r>
          </w:p>
        </w:tc>
        <w:tc>
          <w:tcPr>
            <w:tcW w:w="141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经营支出</w:t>
            </w:r>
          </w:p>
        </w:tc>
        <w:tc>
          <w:tcPr>
            <w:tcW w:w="297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对附属单位补助支出</w:t>
            </w:r>
          </w:p>
        </w:tc>
      </w:tr>
      <w:tr>
        <w:tblPrEx>
          <w:tblCellMar>
            <w:top w:w="0" w:type="dxa"/>
            <w:left w:w="108" w:type="dxa"/>
            <w:bottom w:w="0" w:type="dxa"/>
            <w:right w:w="108" w:type="dxa"/>
          </w:tblCellMar>
        </w:tblPrEx>
        <w:trPr>
          <w:gridAfter w:val="2"/>
          <w:wAfter w:w="685" w:type="dxa"/>
          <w:trHeight w:val="450" w:hRule="atLeast"/>
        </w:trPr>
        <w:tc>
          <w:tcPr>
            <w:tcW w:w="1276"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功能分类科目编码</w:t>
            </w:r>
          </w:p>
        </w:tc>
        <w:tc>
          <w:tcPr>
            <w:tcW w:w="1701"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科目名称</w:t>
            </w: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2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84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297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gridAfter w:val="2"/>
          <w:wAfter w:w="685" w:type="dxa"/>
          <w:trHeight w:val="450" w:hRule="atLeast"/>
        </w:trPr>
        <w:tc>
          <w:tcPr>
            <w:tcW w:w="1276"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70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2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84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141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297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gridAfter w:val="2"/>
          <w:wAfter w:w="685" w:type="dxa"/>
          <w:trHeight w:val="450" w:hRule="atLeast"/>
        </w:trPr>
        <w:tc>
          <w:tcPr>
            <w:tcW w:w="2977"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127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c>
          <w:tcPr>
            <w:tcW w:w="141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3</w:t>
            </w:r>
          </w:p>
        </w:tc>
        <w:tc>
          <w:tcPr>
            <w:tcW w:w="1843"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4</w:t>
            </w:r>
          </w:p>
        </w:tc>
        <w:tc>
          <w:tcPr>
            <w:tcW w:w="141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5</w:t>
            </w:r>
          </w:p>
        </w:tc>
        <w:tc>
          <w:tcPr>
            <w:tcW w:w="297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6</w:t>
            </w:r>
          </w:p>
        </w:tc>
      </w:tr>
      <w:tr>
        <w:tblPrEx>
          <w:tblCellMar>
            <w:top w:w="0" w:type="dxa"/>
            <w:left w:w="108" w:type="dxa"/>
            <w:bottom w:w="0" w:type="dxa"/>
            <w:right w:w="108" w:type="dxa"/>
          </w:tblCellMar>
        </w:tblPrEx>
        <w:trPr>
          <w:gridAfter w:val="2"/>
          <w:wAfter w:w="685" w:type="dxa"/>
          <w:trHeight w:val="450" w:hRule="atLeast"/>
        </w:trPr>
        <w:tc>
          <w:tcPr>
            <w:tcW w:w="2977"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合计</w:t>
            </w:r>
          </w:p>
        </w:tc>
        <w:tc>
          <w:tcPr>
            <w:tcW w:w="127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109.58</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p>
        </w:tc>
        <w:tc>
          <w:tcPr>
            <w:tcW w:w="141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109.58</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204</w:t>
            </w:r>
          </w:p>
        </w:tc>
        <w:tc>
          <w:tcPr>
            <w:tcW w:w="2258" w:type="dxa"/>
            <w:gridSpan w:val="4"/>
            <w:tcBorders>
              <w:top w:val="nil"/>
              <w:left w:val="nil"/>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公共安全支出</w:t>
            </w:r>
          </w:p>
        </w:tc>
        <w:tc>
          <w:tcPr>
            <w:tcW w:w="1276" w:type="dxa"/>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p>
        </w:tc>
        <w:tc>
          <w:tcPr>
            <w:tcW w:w="1417" w:type="dxa"/>
            <w:gridSpan w:val="2"/>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20402</w:t>
            </w:r>
          </w:p>
        </w:tc>
        <w:tc>
          <w:tcPr>
            <w:tcW w:w="2258" w:type="dxa"/>
            <w:gridSpan w:val="4"/>
            <w:tcBorders>
              <w:top w:val="nil"/>
              <w:left w:val="nil"/>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公安</w:t>
            </w:r>
          </w:p>
        </w:tc>
        <w:tc>
          <w:tcPr>
            <w:tcW w:w="1276" w:type="dxa"/>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p>
        </w:tc>
        <w:tc>
          <w:tcPr>
            <w:tcW w:w="1417" w:type="dxa"/>
            <w:gridSpan w:val="2"/>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2040299</w:t>
            </w:r>
          </w:p>
        </w:tc>
        <w:tc>
          <w:tcPr>
            <w:tcW w:w="2258" w:type="dxa"/>
            <w:gridSpan w:val="4"/>
            <w:tcBorders>
              <w:top w:val="nil"/>
              <w:left w:val="nil"/>
              <w:bottom w:val="single" w:color="auto" w:sz="4" w:space="0"/>
              <w:right w:val="single" w:color="auto" w:sz="4" w:space="0"/>
            </w:tcBorders>
            <w:shd w:val="clear" w:color="000000" w:fill="FFFFFF"/>
            <w:noWrap/>
            <w:vAlign w:val="center"/>
          </w:tcPr>
          <w:p>
            <w:pPr>
              <w:jc w:val="center"/>
              <w:rPr>
                <w:rFonts w:ascii="仿宋_GB2312" w:eastAsia="仿宋_GB2312"/>
                <w:sz w:val="24"/>
                <w:szCs w:val="24"/>
              </w:rPr>
            </w:pPr>
            <w:r>
              <w:rPr>
                <w:rFonts w:hint="eastAsia" w:ascii="仿宋_GB2312" w:eastAsia="仿宋_GB2312"/>
                <w:sz w:val="24"/>
                <w:szCs w:val="24"/>
              </w:rPr>
              <w:t>其他公安支出</w:t>
            </w:r>
          </w:p>
        </w:tc>
        <w:tc>
          <w:tcPr>
            <w:tcW w:w="1276" w:type="dxa"/>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p>
        </w:tc>
        <w:tc>
          <w:tcPr>
            <w:tcW w:w="1417" w:type="dxa"/>
            <w:gridSpan w:val="2"/>
            <w:tcBorders>
              <w:top w:val="nil"/>
              <w:left w:val="nil"/>
              <w:bottom w:val="single" w:color="auto" w:sz="4" w:space="0"/>
              <w:right w:val="single" w:color="auto" w:sz="4" w:space="0"/>
            </w:tcBorders>
            <w:noWrap/>
            <w:vAlign w:val="center"/>
          </w:tcPr>
          <w:p>
            <w:pPr>
              <w:jc w:val="center"/>
              <w:rPr>
                <w:rFonts w:ascii="仿宋_GB2312" w:eastAsia="仿宋_GB2312"/>
                <w:sz w:val="24"/>
                <w:szCs w:val="24"/>
              </w:rPr>
            </w:pPr>
            <w:r>
              <w:rPr>
                <w:rFonts w:hint="eastAsia" w:ascii="仿宋_GB2312" w:eastAsia="仿宋_GB2312"/>
                <w:sz w:val="24"/>
                <w:szCs w:val="24"/>
              </w:rPr>
              <w:t>109.58</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258"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258"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450" w:hRule="atLeast"/>
        </w:trPr>
        <w:tc>
          <w:tcPr>
            <w:tcW w:w="71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258"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76"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843"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1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977" w:type="dxa"/>
            <w:gridSpan w:val="2"/>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gridAfter w:val="2"/>
          <w:wAfter w:w="685" w:type="dxa"/>
          <w:trHeight w:val="630" w:hRule="atLeast"/>
        </w:trPr>
        <w:tc>
          <w:tcPr>
            <w:tcW w:w="13183" w:type="dxa"/>
            <w:gridSpan w:val="17"/>
            <w:tcBorders>
              <w:top w:val="nil"/>
              <w:left w:val="nil"/>
              <w:bottom w:val="nil"/>
              <w:right w:val="nil"/>
            </w:tcBorders>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7"/>
        <w:tblW w:w="15542" w:type="dxa"/>
        <w:tblInd w:w="-106" w:type="dxa"/>
        <w:tblLayout w:type="autofit"/>
        <w:tblCellMar>
          <w:top w:w="0" w:type="dxa"/>
          <w:left w:w="108" w:type="dxa"/>
          <w:bottom w:w="0" w:type="dxa"/>
          <w:right w:w="108" w:type="dxa"/>
        </w:tblCellMar>
      </w:tblPr>
      <w:tblGrid>
        <w:gridCol w:w="3596"/>
        <w:gridCol w:w="45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42" w:type="dxa"/>
            <w:gridSpan w:val="10"/>
            <w:tcBorders>
              <w:top w:val="nil"/>
              <w:left w:val="nil"/>
              <w:bottom w:val="nil"/>
              <w:right w:val="nil"/>
            </w:tcBorders>
            <w:noWrap/>
            <w:vAlign w:val="center"/>
          </w:tcPr>
          <w:p>
            <w:pPr>
              <w:widowControl/>
              <w:jc w:val="center"/>
              <w:rPr>
                <w:rFonts w:ascii="楷体_GB2312" w:hAnsi="华文中宋" w:eastAsia="楷体_GB2312" w:cs="Times New Roman"/>
                <w:b/>
                <w:color w:val="000000"/>
                <w:kern w:val="0"/>
                <w:sz w:val="32"/>
                <w:szCs w:val="32"/>
              </w:rPr>
            </w:pPr>
            <w:bookmarkStart w:id="0" w:name="RANGE_A1_I22"/>
            <w:bookmarkEnd w:id="0"/>
            <w:bookmarkStart w:id="1" w:name="RANGE_A1_F16"/>
            <w:r>
              <w:rPr>
                <w:rFonts w:hint="eastAsia" w:ascii="楷体_GB2312" w:hAnsi="华文中宋" w:eastAsia="楷体_GB2312" w:cs="华文中宋"/>
                <w:b/>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5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ind w:firstLine="120" w:firstLineChars="50"/>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公开</w:t>
            </w:r>
            <w:r>
              <w:rPr>
                <w:rFonts w:ascii="仿宋_GB2312" w:hAnsi="宋体" w:eastAsia="仿宋_GB2312" w:cs="宋体"/>
                <w:color w:val="000000"/>
                <w:kern w:val="0"/>
                <w:sz w:val="24"/>
                <w:szCs w:val="24"/>
              </w:rPr>
              <w:t>04</w:t>
            </w:r>
            <w:r>
              <w:rPr>
                <w:rFonts w:hint="eastAsia" w:ascii="仿宋_GB2312" w:hAnsi="宋体" w:eastAsia="仿宋_GB2312" w:cs="宋体"/>
                <w:color w:val="000000"/>
                <w:kern w:val="0"/>
                <w:sz w:val="24"/>
                <w:szCs w:val="24"/>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部门：湘潭县禁毒委员会办公室</w:t>
            </w:r>
          </w:p>
        </w:tc>
        <w:tc>
          <w:tcPr>
            <w:tcW w:w="456"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单位：万元</w:t>
            </w:r>
          </w:p>
        </w:tc>
      </w:tr>
      <w:tr>
        <w:tblPrEx>
          <w:tblCellMar>
            <w:top w:w="0" w:type="dxa"/>
            <w:left w:w="108" w:type="dxa"/>
            <w:bottom w:w="0" w:type="dxa"/>
            <w:right w:w="108" w:type="dxa"/>
          </w:tblCellMar>
        </w:tblPrEx>
        <w:trPr>
          <w:trHeight w:val="402" w:hRule="atLeast"/>
        </w:trPr>
        <w:tc>
          <w:tcPr>
            <w:tcW w:w="513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金额</w:t>
            </w:r>
          </w:p>
        </w:tc>
        <w:tc>
          <w:tcPr>
            <w:tcW w:w="3411"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3411"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一、一般公共预算财政拨款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15</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二、政府性基金预算财政拨款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16</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三、国有资本经营预算财政拨款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3</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17</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4</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18</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109.58</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5</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19</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6</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20</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7</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21</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8</w:t>
            </w:r>
          </w:p>
        </w:tc>
        <w:tc>
          <w:tcPr>
            <w:tcW w:w="1078"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22</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本年收入合计</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9</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411"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23</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b/>
                <w:bCs/>
                <w:kern w:val="0"/>
                <w:sz w:val="24"/>
                <w:szCs w:val="24"/>
              </w:rPr>
            </w:pPr>
            <w:r>
              <w:rPr>
                <w:rFonts w:hint="eastAsia" w:ascii="仿宋_GB2312" w:hAnsi="宋体" w:eastAsia="仿宋_GB2312" w:cs="宋体"/>
                <w:b/>
                <w:bCs/>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年初财政拨款结转和结余</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24</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一般公共预算财政拨款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11</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25</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政府性基金预算财政拨款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12</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26</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国有资本经营预算财政拨款</w:t>
            </w:r>
          </w:p>
        </w:tc>
        <w:tc>
          <w:tcPr>
            <w:tcW w:w="456"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13</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411"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27</w:t>
            </w:r>
          </w:p>
        </w:tc>
        <w:tc>
          <w:tcPr>
            <w:tcW w:w="1573"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总计</w:t>
            </w:r>
          </w:p>
        </w:tc>
        <w:tc>
          <w:tcPr>
            <w:tcW w:w="4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14</w:t>
            </w:r>
          </w:p>
        </w:tc>
        <w:tc>
          <w:tcPr>
            <w:tcW w:w="1078" w:type="dxa"/>
            <w:tcBorders>
              <w:top w:val="nil"/>
              <w:left w:val="nil"/>
              <w:bottom w:val="single" w:color="auto" w:sz="4" w:space="0"/>
              <w:right w:val="single" w:color="auto" w:sz="4" w:space="0"/>
            </w:tcBorders>
            <w:noWrap/>
            <w:vAlign w:val="center"/>
          </w:tcPr>
          <w:p>
            <w:pPr>
              <w:widowControl/>
              <w:jc w:val="right"/>
              <w:rPr>
                <w:rFonts w:ascii="仿宋_GB2312" w:eastAsia="仿宋_GB2312" w:cs="Times New Roman"/>
                <w:kern w:val="0"/>
                <w:sz w:val="24"/>
                <w:szCs w:val="24"/>
              </w:rPr>
            </w:pPr>
            <w:r>
              <w:rPr>
                <w:rFonts w:hint="eastAsia" w:ascii="仿宋_GB2312" w:hAnsi="宋体" w:eastAsia="仿宋_GB2312" w:cs="宋体"/>
                <w:kern w:val="0"/>
                <w:sz w:val="24"/>
                <w:szCs w:val="24"/>
              </w:rPr>
              <w:t>109.58　</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b/>
                <w:bCs/>
                <w:kern w:val="0"/>
                <w:sz w:val="24"/>
                <w:szCs w:val="24"/>
              </w:rPr>
            </w:pPr>
            <w:r>
              <w:rPr>
                <w:rFonts w:hint="eastAsia" w:ascii="仿宋_GB2312" w:hAnsi="宋体" w:eastAsia="仿宋_GB2312" w:cs="宋体"/>
                <w:b/>
                <w:bCs/>
                <w:kern w:val="0"/>
                <w:sz w:val="24"/>
                <w:szCs w:val="24"/>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109.58</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3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b/>
                <w:bCs/>
                <w:kern w:val="0"/>
                <w:sz w:val="24"/>
                <w:szCs w:val="24"/>
              </w:rPr>
            </w:pPr>
            <w:r>
              <w:rPr>
                <w:rFonts w:hint="eastAsia" w:ascii="仿宋_GB2312" w:hAnsi="宋体" w:eastAsia="仿宋_GB2312" w:cs="宋体"/>
                <w:b/>
                <w:bCs/>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b/>
                <w:bCs/>
                <w:kern w:val="0"/>
                <w:sz w:val="24"/>
                <w:szCs w:val="24"/>
              </w:rPr>
            </w:pPr>
            <w:r>
              <w:rPr>
                <w:rFonts w:hint="eastAsia" w:ascii="仿宋_GB2312" w:hAnsi="宋体" w:eastAsia="仿宋_GB2312" w:cs="宋体"/>
                <w:b/>
                <w:bCs/>
                <w:kern w:val="0"/>
                <w:sz w:val="24"/>
                <w:szCs w:val="24"/>
              </w:rPr>
              <w:t>　</w:t>
            </w:r>
          </w:p>
        </w:tc>
      </w:tr>
      <w:tr>
        <w:tblPrEx>
          <w:tblCellMar>
            <w:top w:w="0" w:type="dxa"/>
            <w:left w:w="108" w:type="dxa"/>
            <w:bottom w:w="0" w:type="dxa"/>
            <w:right w:w="108" w:type="dxa"/>
          </w:tblCellMar>
        </w:tblPrEx>
        <w:trPr>
          <w:trHeight w:val="585" w:hRule="atLeast"/>
        </w:trPr>
        <w:tc>
          <w:tcPr>
            <w:tcW w:w="15542" w:type="dxa"/>
            <w:gridSpan w:val="10"/>
            <w:tcBorders>
              <w:top w:val="nil"/>
              <w:left w:val="nil"/>
              <w:bottom w:val="nil"/>
              <w:right w:val="nil"/>
            </w:tcBorders>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仿宋_GB2312" w:hAnsi="Times New Roman" w:eastAsia="仿宋_GB2312" w:cs="Times New Roman"/>
          <w:kern w:val="0"/>
          <w:sz w:val="24"/>
          <w:szCs w:val="24"/>
        </w:rPr>
      </w:pPr>
    </w:p>
    <w:p>
      <w:pPr>
        <w:widowControl/>
        <w:jc w:val="center"/>
        <w:rPr>
          <w:rFonts w:ascii="仿宋_GB2312" w:hAnsi="Times New Roman" w:eastAsia="仿宋_GB2312" w:cs="Times New Roman"/>
          <w:kern w:val="0"/>
          <w:sz w:val="24"/>
          <w:szCs w:val="24"/>
        </w:rPr>
      </w:pPr>
    </w:p>
    <w:p>
      <w:pPr>
        <w:widowControl/>
        <w:jc w:val="center"/>
        <w:rPr>
          <w:rFonts w:ascii="仿宋_GB2312" w:hAnsi="Times New Roman" w:eastAsia="仿宋_GB2312" w:cs="Times New Roman"/>
          <w:kern w:val="0"/>
          <w:sz w:val="24"/>
          <w:szCs w:val="24"/>
        </w:rPr>
      </w:pPr>
    </w:p>
    <w:p>
      <w:pPr>
        <w:widowControl/>
        <w:jc w:val="center"/>
        <w:rPr>
          <w:rFonts w:ascii="仿宋_GB2312" w:hAnsi="Times New Roman" w:eastAsia="仿宋_GB2312" w:cs="Times New Roman"/>
          <w:kern w:val="0"/>
          <w:sz w:val="24"/>
          <w:szCs w:val="24"/>
        </w:rPr>
      </w:pPr>
    </w:p>
    <w:p>
      <w:pPr>
        <w:widowControl/>
        <w:jc w:val="center"/>
        <w:rPr>
          <w:rFonts w:ascii="仿宋_GB2312" w:hAnsi="Times New Roman" w:eastAsia="仿宋_GB2312" w:cs="Times New Roman"/>
          <w:kern w:val="0"/>
          <w:sz w:val="24"/>
          <w:szCs w:val="24"/>
        </w:rPr>
      </w:pPr>
    </w:p>
    <w:p>
      <w:pPr>
        <w:widowControl/>
        <w:jc w:val="center"/>
        <w:rPr>
          <w:rFonts w:ascii="楷体_GB2312" w:hAnsi="Times New Roman" w:eastAsia="楷体_GB2312" w:cs="Times New Roman"/>
          <w:b/>
          <w:kern w:val="0"/>
          <w:sz w:val="32"/>
          <w:szCs w:val="32"/>
        </w:rPr>
      </w:pPr>
      <w:r>
        <w:rPr>
          <w:rFonts w:hint="eastAsia" w:ascii="楷体_GB2312" w:hAnsi="Times New Roman" w:eastAsia="楷体_GB2312" w:cs="方正小标宋_GBK"/>
          <w:b/>
          <w:kern w:val="0"/>
          <w:sz w:val="32"/>
          <w:szCs w:val="32"/>
        </w:rPr>
        <w:t>一般公共预算财政拨款支出决算表</w:t>
      </w:r>
      <w:bookmarkEnd w:id="1"/>
    </w:p>
    <w:tbl>
      <w:tblPr>
        <w:tblStyle w:val="7"/>
        <w:tblW w:w="13366" w:type="dxa"/>
        <w:tblInd w:w="1101" w:type="dxa"/>
        <w:tblLayout w:type="autofit"/>
        <w:tblCellMar>
          <w:top w:w="0" w:type="dxa"/>
          <w:left w:w="108" w:type="dxa"/>
          <w:bottom w:w="0" w:type="dxa"/>
          <w:right w:w="108" w:type="dxa"/>
        </w:tblCellMar>
      </w:tblPr>
      <w:tblGrid>
        <w:gridCol w:w="3147"/>
        <w:gridCol w:w="560"/>
        <w:gridCol w:w="1121"/>
        <w:gridCol w:w="1135"/>
        <w:gridCol w:w="288"/>
        <w:gridCol w:w="170"/>
        <w:gridCol w:w="183"/>
        <w:gridCol w:w="869"/>
        <w:gridCol w:w="383"/>
        <w:gridCol w:w="853"/>
        <w:gridCol w:w="3316"/>
        <w:gridCol w:w="307"/>
        <w:gridCol w:w="1034"/>
      </w:tblGrid>
      <w:tr>
        <w:tblPrEx>
          <w:tblCellMar>
            <w:top w:w="0" w:type="dxa"/>
            <w:left w:w="108" w:type="dxa"/>
            <w:bottom w:w="0" w:type="dxa"/>
            <w:right w:w="108" w:type="dxa"/>
          </w:tblCellMar>
        </w:tblPrEx>
        <w:trPr>
          <w:trHeight w:val="285" w:hRule="atLeast"/>
        </w:trPr>
        <w:tc>
          <w:tcPr>
            <w:tcW w:w="3147"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60"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256" w:type="dxa"/>
            <w:gridSpan w:val="2"/>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58" w:type="dxa"/>
            <w:gridSpan w:val="2"/>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435" w:type="dxa"/>
            <w:gridSpan w:val="3"/>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510" w:type="dxa"/>
            <w:gridSpan w:val="4"/>
            <w:tcBorders>
              <w:top w:val="nil"/>
              <w:left w:val="nil"/>
              <w:bottom w:val="nil"/>
              <w:right w:val="nil"/>
            </w:tcBorders>
            <w:shd w:val="clear" w:color="000000" w:fill="FFFFFF"/>
            <w:noWrap/>
            <w:vAlign w:val="center"/>
          </w:tcPr>
          <w:p>
            <w:pPr>
              <w:widowControl/>
              <w:ind w:right="1420"/>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公开05表</w:t>
            </w:r>
          </w:p>
        </w:tc>
      </w:tr>
      <w:tr>
        <w:tblPrEx>
          <w:tblCellMar>
            <w:top w:w="0" w:type="dxa"/>
            <w:left w:w="108" w:type="dxa"/>
            <w:bottom w:w="0" w:type="dxa"/>
            <w:right w:w="108" w:type="dxa"/>
          </w:tblCellMar>
        </w:tblPrEx>
        <w:trPr>
          <w:gridAfter w:val="1"/>
          <w:wAfter w:w="1034" w:type="dxa"/>
          <w:trHeight w:val="285" w:hRule="atLeast"/>
        </w:trPr>
        <w:tc>
          <w:tcPr>
            <w:tcW w:w="5963" w:type="dxa"/>
            <w:gridSpan w:val="4"/>
            <w:tcBorders>
              <w:top w:val="nil"/>
              <w:left w:val="nil"/>
              <w:bottom w:val="nil"/>
              <w:right w:val="nil"/>
            </w:tcBorders>
            <w:shd w:val="clear" w:color="000000" w:fill="FFFFFF"/>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部门：</w:t>
            </w:r>
            <w:r>
              <w:rPr>
                <w:rFonts w:hint="eastAsia" w:ascii="仿宋_GB2312" w:hAnsi="Times New Roman" w:eastAsia="仿宋_GB2312" w:cs="Times New Roman"/>
                <w:color w:val="000000"/>
                <w:kern w:val="0"/>
                <w:sz w:val="24"/>
                <w:szCs w:val="24"/>
              </w:rPr>
              <w:t>湘潭县禁毒委员会办公室</w:t>
            </w:r>
          </w:p>
        </w:tc>
        <w:tc>
          <w:tcPr>
            <w:tcW w:w="288" w:type="dxa"/>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1222" w:type="dxa"/>
            <w:gridSpan w:val="3"/>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4859" w:type="dxa"/>
            <w:gridSpan w:val="4"/>
            <w:tcBorders>
              <w:top w:val="nil"/>
              <w:left w:val="nil"/>
              <w:bottom w:val="nil"/>
              <w:right w:val="nil"/>
            </w:tcBorders>
            <w:shd w:val="clear" w:color="000000" w:fill="FFFFFF"/>
            <w:noWrap/>
            <w:vAlign w:val="center"/>
          </w:tcPr>
          <w:p>
            <w:pPr>
              <w:widowControl/>
              <w:ind w:right="480"/>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单位：万元</w:t>
            </w:r>
          </w:p>
        </w:tc>
      </w:tr>
      <w:tr>
        <w:tblPrEx>
          <w:tblCellMar>
            <w:top w:w="0" w:type="dxa"/>
            <w:left w:w="108" w:type="dxa"/>
            <w:bottom w:w="0" w:type="dxa"/>
            <w:right w:w="108" w:type="dxa"/>
          </w:tblCellMar>
        </w:tblPrEx>
        <w:trPr>
          <w:gridAfter w:val="2"/>
          <w:wAfter w:w="1341" w:type="dxa"/>
          <w:trHeight w:val="405" w:hRule="atLeast"/>
          <w:jc w:val="center"/>
        </w:trPr>
        <w:tc>
          <w:tcPr>
            <w:tcW w:w="4828" w:type="dxa"/>
            <w:gridSpan w:val="3"/>
            <w:tcBorders>
              <w:top w:val="single" w:color="auto" w:sz="8"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b/>
                <w:bCs/>
                <w:kern w:val="0"/>
                <w:sz w:val="24"/>
                <w:szCs w:val="24"/>
              </w:rPr>
            </w:pPr>
            <w:r>
              <w:rPr>
                <w:rFonts w:hint="eastAsia" w:ascii="仿宋_GB2312" w:hAnsi="Times New Roman" w:eastAsia="仿宋_GB2312" w:cs="仿宋_GB2312"/>
                <w:b/>
                <w:bCs/>
                <w:kern w:val="0"/>
                <w:sz w:val="24"/>
                <w:szCs w:val="24"/>
              </w:rPr>
              <w:t>项目</w:t>
            </w:r>
          </w:p>
        </w:tc>
        <w:tc>
          <w:tcPr>
            <w:tcW w:w="7197" w:type="dxa"/>
            <w:gridSpan w:val="8"/>
            <w:tcBorders>
              <w:top w:val="single" w:color="auto" w:sz="8" w:space="0"/>
              <w:left w:val="nil"/>
              <w:bottom w:val="single" w:color="auto" w:sz="4" w:space="0"/>
              <w:right w:val="single" w:color="000000" w:sz="8" w:space="0"/>
            </w:tcBorders>
            <w:vAlign w:val="center"/>
          </w:tcPr>
          <w:p>
            <w:pPr>
              <w:widowControl/>
              <w:jc w:val="center"/>
              <w:rPr>
                <w:rFonts w:ascii="仿宋_GB2312" w:hAnsi="Times New Roman" w:eastAsia="仿宋_GB2312" w:cs="Times New Roman"/>
                <w:b/>
                <w:bCs/>
                <w:kern w:val="0"/>
                <w:sz w:val="24"/>
                <w:szCs w:val="24"/>
              </w:rPr>
            </w:pPr>
            <w:r>
              <w:rPr>
                <w:rFonts w:hint="eastAsia" w:ascii="仿宋_GB2312" w:hAnsi="Times New Roman" w:eastAsia="仿宋_GB2312" w:cs="仿宋_GB2312"/>
                <w:b/>
                <w:bCs/>
                <w:kern w:val="0"/>
                <w:sz w:val="24"/>
                <w:szCs w:val="24"/>
              </w:rPr>
              <w:t>本年支出</w:t>
            </w:r>
          </w:p>
        </w:tc>
      </w:tr>
      <w:tr>
        <w:tblPrEx>
          <w:tblCellMar>
            <w:top w:w="0" w:type="dxa"/>
            <w:left w:w="108" w:type="dxa"/>
            <w:bottom w:w="0" w:type="dxa"/>
            <w:right w:w="108" w:type="dxa"/>
          </w:tblCellMar>
        </w:tblPrEx>
        <w:trPr>
          <w:gridAfter w:val="2"/>
          <w:wAfter w:w="1341" w:type="dxa"/>
          <w:trHeight w:val="495" w:hRule="atLeast"/>
          <w:jc w:val="center"/>
        </w:trPr>
        <w:tc>
          <w:tcPr>
            <w:tcW w:w="3147"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功能分类科目编码</w:t>
            </w:r>
          </w:p>
        </w:tc>
        <w:tc>
          <w:tcPr>
            <w:tcW w:w="1681"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科目名称</w:t>
            </w:r>
          </w:p>
        </w:tc>
        <w:tc>
          <w:tcPr>
            <w:tcW w:w="1776" w:type="dxa"/>
            <w:gridSpan w:val="4"/>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小计</w:t>
            </w:r>
          </w:p>
        </w:tc>
        <w:tc>
          <w:tcPr>
            <w:tcW w:w="2105"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基本支出</w:t>
            </w:r>
          </w:p>
        </w:tc>
        <w:tc>
          <w:tcPr>
            <w:tcW w:w="3316" w:type="dxa"/>
            <w:vMerge w:val="restart"/>
            <w:tcBorders>
              <w:top w:val="nil"/>
              <w:left w:val="single" w:color="auto" w:sz="4" w:space="0"/>
              <w:bottom w:val="single" w:color="000000" w:sz="4" w:space="0"/>
              <w:right w:val="single" w:color="auto" w:sz="8" w:space="0"/>
            </w:tcBorders>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项目支出</w:t>
            </w:r>
          </w:p>
        </w:tc>
      </w:tr>
      <w:tr>
        <w:tblPrEx>
          <w:tblCellMar>
            <w:top w:w="0" w:type="dxa"/>
            <w:left w:w="108" w:type="dxa"/>
            <w:bottom w:w="0" w:type="dxa"/>
            <w:right w:w="108" w:type="dxa"/>
          </w:tblCellMar>
        </w:tblPrEx>
        <w:trPr>
          <w:gridAfter w:val="2"/>
          <w:wAfter w:w="1341" w:type="dxa"/>
          <w:trHeight w:val="360" w:hRule="atLeast"/>
          <w:jc w:val="center"/>
        </w:trPr>
        <w:tc>
          <w:tcPr>
            <w:tcW w:w="3147"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68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776"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2105"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3316" w:type="dxa"/>
            <w:vMerge w:val="continue"/>
            <w:tcBorders>
              <w:top w:val="nil"/>
              <w:left w:val="single" w:color="auto" w:sz="4" w:space="0"/>
              <w:bottom w:val="single" w:color="000000" w:sz="4" w:space="0"/>
              <w:right w:val="single" w:color="auto" w:sz="8" w:space="0"/>
            </w:tcBorders>
            <w:vAlign w:val="center"/>
          </w:tcPr>
          <w:p>
            <w:pPr>
              <w:widowControl/>
              <w:jc w:val="left"/>
              <w:rPr>
                <w:rFonts w:ascii="仿宋_GB2312" w:hAnsi="Times New Roman" w:eastAsia="仿宋_GB2312" w:cs="Times New Roman"/>
                <w:kern w:val="0"/>
                <w:sz w:val="24"/>
                <w:szCs w:val="24"/>
              </w:rPr>
            </w:pPr>
          </w:p>
        </w:tc>
      </w:tr>
      <w:tr>
        <w:tblPrEx>
          <w:tblCellMar>
            <w:top w:w="0" w:type="dxa"/>
            <w:left w:w="108" w:type="dxa"/>
            <w:bottom w:w="0" w:type="dxa"/>
            <w:right w:w="108" w:type="dxa"/>
          </w:tblCellMar>
        </w:tblPrEx>
        <w:trPr>
          <w:gridAfter w:val="2"/>
          <w:wAfter w:w="1341" w:type="dxa"/>
          <w:trHeight w:val="450" w:hRule="atLeast"/>
          <w:jc w:val="center"/>
        </w:trPr>
        <w:tc>
          <w:tcPr>
            <w:tcW w:w="3147"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68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776"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2105"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3316" w:type="dxa"/>
            <w:vMerge w:val="continue"/>
            <w:tcBorders>
              <w:top w:val="nil"/>
              <w:left w:val="single" w:color="auto" w:sz="4" w:space="0"/>
              <w:bottom w:val="single" w:color="000000" w:sz="4" w:space="0"/>
              <w:right w:val="single" w:color="auto" w:sz="8" w:space="0"/>
            </w:tcBorders>
            <w:vAlign w:val="center"/>
          </w:tcPr>
          <w:p>
            <w:pPr>
              <w:widowControl/>
              <w:jc w:val="left"/>
              <w:rPr>
                <w:rFonts w:ascii="仿宋_GB2312" w:hAnsi="Times New Roman" w:eastAsia="仿宋_GB2312" w:cs="Times New Roman"/>
                <w:kern w:val="0"/>
                <w:sz w:val="24"/>
                <w:szCs w:val="24"/>
              </w:rPr>
            </w:pPr>
          </w:p>
        </w:tc>
      </w:tr>
      <w:tr>
        <w:tblPrEx>
          <w:tblCellMar>
            <w:top w:w="0" w:type="dxa"/>
            <w:left w:w="108" w:type="dxa"/>
            <w:bottom w:w="0" w:type="dxa"/>
            <w:right w:w="108" w:type="dxa"/>
          </w:tblCellMar>
        </w:tblPrEx>
        <w:trPr>
          <w:gridAfter w:val="2"/>
          <w:wAfter w:w="1341" w:type="dxa"/>
          <w:trHeight w:val="450" w:hRule="atLeast"/>
          <w:jc w:val="center"/>
        </w:trPr>
        <w:tc>
          <w:tcPr>
            <w:tcW w:w="4828" w:type="dxa"/>
            <w:gridSpan w:val="3"/>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栏次</w:t>
            </w:r>
          </w:p>
        </w:tc>
        <w:tc>
          <w:tcPr>
            <w:tcW w:w="1776" w:type="dxa"/>
            <w:gridSpan w:val="4"/>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w:t>
            </w:r>
          </w:p>
        </w:tc>
        <w:tc>
          <w:tcPr>
            <w:tcW w:w="2105" w:type="dxa"/>
            <w:gridSpan w:val="3"/>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c>
          <w:tcPr>
            <w:tcW w:w="3316" w:type="dxa"/>
            <w:tcBorders>
              <w:top w:val="nil"/>
              <w:left w:val="nil"/>
              <w:bottom w:val="single" w:color="auto" w:sz="4" w:space="0"/>
              <w:right w:val="single" w:color="auto" w:sz="8"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3</w:t>
            </w:r>
          </w:p>
        </w:tc>
      </w:tr>
      <w:tr>
        <w:tblPrEx>
          <w:tblCellMar>
            <w:top w:w="0" w:type="dxa"/>
            <w:left w:w="108" w:type="dxa"/>
            <w:bottom w:w="0" w:type="dxa"/>
            <w:right w:w="108" w:type="dxa"/>
          </w:tblCellMar>
        </w:tblPrEx>
        <w:trPr>
          <w:gridAfter w:val="2"/>
          <w:wAfter w:w="1341" w:type="dxa"/>
          <w:trHeight w:val="450" w:hRule="atLeast"/>
          <w:jc w:val="center"/>
        </w:trPr>
        <w:tc>
          <w:tcPr>
            <w:tcW w:w="4828" w:type="dxa"/>
            <w:gridSpan w:val="3"/>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合计</w:t>
            </w:r>
          </w:p>
        </w:tc>
        <w:tc>
          <w:tcPr>
            <w:tcW w:w="1776" w:type="dxa"/>
            <w:gridSpan w:val="4"/>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109.58　</w:t>
            </w:r>
          </w:p>
        </w:tc>
        <w:tc>
          <w:tcPr>
            <w:tcW w:w="2105" w:type="dxa"/>
            <w:gridSpan w:val="3"/>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3316" w:type="dxa"/>
            <w:tcBorders>
              <w:top w:val="nil"/>
              <w:left w:val="nil"/>
              <w:bottom w:val="single" w:color="auto" w:sz="4" w:space="0"/>
              <w:right w:val="single" w:color="auto" w:sz="8" w:space="0"/>
            </w:tcBorders>
          </w:tcPr>
          <w:p>
            <w:pPr>
              <w:jc w:val="center"/>
              <w:rPr>
                <w:rFonts w:ascii="仿宋_GB2312" w:eastAsia="仿宋_GB2312"/>
                <w:sz w:val="24"/>
                <w:szCs w:val="24"/>
              </w:rPr>
            </w:pPr>
            <w:r>
              <w:rPr>
                <w:rFonts w:hint="eastAsia" w:ascii="仿宋_GB2312" w:eastAsia="仿宋_GB2312"/>
                <w:sz w:val="24"/>
                <w:szCs w:val="24"/>
              </w:rPr>
              <w:t>109.58</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204</w:t>
            </w:r>
          </w:p>
        </w:tc>
        <w:tc>
          <w:tcPr>
            <w:tcW w:w="1681" w:type="dxa"/>
            <w:gridSpan w:val="2"/>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公共安全支出</w:t>
            </w:r>
          </w:p>
        </w:tc>
        <w:tc>
          <w:tcPr>
            <w:tcW w:w="1776" w:type="dxa"/>
            <w:gridSpan w:val="4"/>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109.58</w:t>
            </w:r>
          </w:p>
        </w:tc>
        <w:tc>
          <w:tcPr>
            <w:tcW w:w="2105" w:type="dxa"/>
            <w:gridSpan w:val="3"/>
            <w:tcBorders>
              <w:top w:val="nil"/>
              <w:left w:val="nil"/>
              <w:bottom w:val="single" w:color="auto" w:sz="4" w:space="0"/>
              <w:right w:val="single" w:color="auto" w:sz="4" w:space="0"/>
            </w:tcBorders>
          </w:tcPr>
          <w:p>
            <w:pPr>
              <w:rPr>
                <w:rFonts w:ascii="仿宋_GB2312" w:eastAsia="仿宋_GB2312"/>
                <w:sz w:val="24"/>
                <w:szCs w:val="24"/>
              </w:rPr>
            </w:pPr>
          </w:p>
        </w:tc>
        <w:tc>
          <w:tcPr>
            <w:tcW w:w="3316" w:type="dxa"/>
            <w:tcBorders>
              <w:top w:val="nil"/>
              <w:left w:val="nil"/>
              <w:bottom w:val="single" w:color="auto" w:sz="4" w:space="0"/>
              <w:right w:val="single" w:color="auto" w:sz="8" w:space="0"/>
            </w:tcBorders>
          </w:tcPr>
          <w:p>
            <w:pPr>
              <w:jc w:val="center"/>
              <w:rPr>
                <w:rFonts w:ascii="仿宋_GB2312" w:eastAsia="仿宋_GB2312"/>
                <w:sz w:val="24"/>
                <w:szCs w:val="24"/>
              </w:rPr>
            </w:pPr>
            <w:r>
              <w:rPr>
                <w:rFonts w:hint="eastAsia" w:ascii="仿宋_GB2312" w:eastAsia="仿宋_GB2312"/>
                <w:sz w:val="24"/>
                <w:szCs w:val="24"/>
              </w:rPr>
              <w:t>109.58</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20402</w:t>
            </w:r>
          </w:p>
        </w:tc>
        <w:tc>
          <w:tcPr>
            <w:tcW w:w="1681" w:type="dxa"/>
            <w:gridSpan w:val="2"/>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公安</w:t>
            </w:r>
          </w:p>
        </w:tc>
        <w:tc>
          <w:tcPr>
            <w:tcW w:w="1776" w:type="dxa"/>
            <w:gridSpan w:val="4"/>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109.58</w:t>
            </w:r>
          </w:p>
        </w:tc>
        <w:tc>
          <w:tcPr>
            <w:tcW w:w="2105" w:type="dxa"/>
            <w:gridSpan w:val="3"/>
            <w:tcBorders>
              <w:top w:val="nil"/>
              <w:left w:val="nil"/>
              <w:bottom w:val="single" w:color="auto" w:sz="4" w:space="0"/>
              <w:right w:val="single" w:color="auto" w:sz="4" w:space="0"/>
            </w:tcBorders>
          </w:tcPr>
          <w:p>
            <w:pPr>
              <w:rPr>
                <w:rFonts w:ascii="仿宋_GB2312" w:eastAsia="仿宋_GB2312"/>
                <w:sz w:val="24"/>
                <w:szCs w:val="24"/>
              </w:rPr>
            </w:pPr>
          </w:p>
        </w:tc>
        <w:tc>
          <w:tcPr>
            <w:tcW w:w="3316" w:type="dxa"/>
            <w:tcBorders>
              <w:top w:val="nil"/>
              <w:left w:val="nil"/>
              <w:bottom w:val="single" w:color="auto" w:sz="4" w:space="0"/>
              <w:right w:val="single" w:color="auto" w:sz="8" w:space="0"/>
            </w:tcBorders>
          </w:tcPr>
          <w:p>
            <w:pPr>
              <w:jc w:val="center"/>
              <w:rPr>
                <w:rFonts w:ascii="仿宋_GB2312" w:eastAsia="仿宋_GB2312"/>
                <w:sz w:val="24"/>
                <w:szCs w:val="24"/>
              </w:rPr>
            </w:pPr>
            <w:r>
              <w:rPr>
                <w:rFonts w:hint="eastAsia" w:ascii="仿宋_GB2312" w:eastAsia="仿宋_GB2312"/>
                <w:sz w:val="24"/>
                <w:szCs w:val="24"/>
              </w:rPr>
              <w:t>109.58</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2040299</w:t>
            </w:r>
          </w:p>
        </w:tc>
        <w:tc>
          <w:tcPr>
            <w:tcW w:w="1681" w:type="dxa"/>
            <w:gridSpan w:val="2"/>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其他公安支出</w:t>
            </w:r>
          </w:p>
        </w:tc>
        <w:tc>
          <w:tcPr>
            <w:tcW w:w="1776" w:type="dxa"/>
            <w:gridSpan w:val="4"/>
            <w:tcBorders>
              <w:top w:val="nil"/>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109.58</w:t>
            </w:r>
          </w:p>
        </w:tc>
        <w:tc>
          <w:tcPr>
            <w:tcW w:w="2105" w:type="dxa"/>
            <w:gridSpan w:val="3"/>
            <w:tcBorders>
              <w:top w:val="nil"/>
              <w:left w:val="nil"/>
              <w:bottom w:val="single" w:color="auto" w:sz="4" w:space="0"/>
              <w:right w:val="single" w:color="auto" w:sz="4" w:space="0"/>
            </w:tcBorders>
          </w:tcPr>
          <w:p>
            <w:pPr>
              <w:rPr>
                <w:rFonts w:ascii="仿宋_GB2312" w:eastAsia="仿宋_GB2312"/>
                <w:sz w:val="24"/>
                <w:szCs w:val="24"/>
              </w:rPr>
            </w:pPr>
          </w:p>
        </w:tc>
        <w:tc>
          <w:tcPr>
            <w:tcW w:w="3316" w:type="dxa"/>
            <w:tcBorders>
              <w:top w:val="nil"/>
              <w:left w:val="nil"/>
              <w:bottom w:val="single" w:color="auto" w:sz="4" w:space="0"/>
              <w:right w:val="single" w:color="auto" w:sz="8" w:space="0"/>
            </w:tcBorders>
          </w:tcPr>
          <w:p>
            <w:pPr>
              <w:jc w:val="center"/>
              <w:rPr>
                <w:rFonts w:ascii="仿宋_GB2312" w:eastAsia="仿宋_GB2312"/>
                <w:sz w:val="24"/>
                <w:szCs w:val="24"/>
              </w:rPr>
            </w:pPr>
            <w:r>
              <w:rPr>
                <w:rFonts w:hint="eastAsia" w:ascii="仿宋_GB2312" w:eastAsia="仿宋_GB2312"/>
                <w:sz w:val="24"/>
                <w:szCs w:val="24"/>
              </w:rPr>
              <w:t>109.58</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681" w:type="dxa"/>
            <w:gridSpan w:val="2"/>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776" w:type="dxa"/>
            <w:gridSpan w:val="4"/>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105" w:type="dxa"/>
            <w:gridSpan w:val="3"/>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3316" w:type="dxa"/>
            <w:tcBorders>
              <w:top w:val="nil"/>
              <w:left w:val="nil"/>
              <w:bottom w:val="single" w:color="auto" w:sz="4" w:space="0"/>
              <w:right w:val="single" w:color="auto" w:sz="8"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681" w:type="dxa"/>
            <w:gridSpan w:val="2"/>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776" w:type="dxa"/>
            <w:gridSpan w:val="4"/>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105" w:type="dxa"/>
            <w:gridSpan w:val="3"/>
            <w:tcBorders>
              <w:top w:val="nil"/>
              <w:left w:val="nil"/>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3316" w:type="dxa"/>
            <w:tcBorders>
              <w:top w:val="nil"/>
              <w:left w:val="nil"/>
              <w:bottom w:val="single" w:color="auto" w:sz="4" w:space="0"/>
              <w:right w:val="single" w:color="auto" w:sz="8"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r>
      <w:tr>
        <w:tblPrEx>
          <w:tblCellMar>
            <w:top w:w="0" w:type="dxa"/>
            <w:left w:w="108" w:type="dxa"/>
            <w:bottom w:w="0" w:type="dxa"/>
            <w:right w:w="108" w:type="dxa"/>
          </w:tblCellMar>
        </w:tblPrEx>
        <w:trPr>
          <w:gridAfter w:val="2"/>
          <w:wAfter w:w="1341" w:type="dxa"/>
          <w:trHeight w:val="450" w:hRule="atLeast"/>
          <w:jc w:val="center"/>
        </w:trPr>
        <w:tc>
          <w:tcPr>
            <w:tcW w:w="3147" w:type="dxa"/>
            <w:tcBorders>
              <w:top w:val="single" w:color="auto" w:sz="4" w:space="0"/>
              <w:left w:val="single" w:color="auto" w:sz="8" w:space="0"/>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681" w:type="dxa"/>
            <w:gridSpan w:val="2"/>
            <w:tcBorders>
              <w:top w:val="nil"/>
              <w:left w:val="nil"/>
              <w:bottom w:val="single" w:color="auto" w:sz="8"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776" w:type="dxa"/>
            <w:gridSpan w:val="4"/>
            <w:tcBorders>
              <w:top w:val="nil"/>
              <w:left w:val="nil"/>
              <w:bottom w:val="single" w:color="auto" w:sz="8"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105" w:type="dxa"/>
            <w:gridSpan w:val="3"/>
            <w:tcBorders>
              <w:top w:val="nil"/>
              <w:left w:val="nil"/>
              <w:bottom w:val="single" w:color="auto" w:sz="8" w:space="0"/>
              <w:right w:val="single" w:color="auto" w:sz="4"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3316" w:type="dxa"/>
            <w:tcBorders>
              <w:top w:val="nil"/>
              <w:left w:val="nil"/>
              <w:bottom w:val="single" w:color="auto" w:sz="8" w:space="0"/>
              <w:right w:val="single" w:color="auto" w:sz="8" w:space="0"/>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r>
      <w:tr>
        <w:tblPrEx>
          <w:tblCellMar>
            <w:top w:w="0" w:type="dxa"/>
            <w:left w:w="108" w:type="dxa"/>
            <w:bottom w:w="0" w:type="dxa"/>
            <w:right w:w="108" w:type="dxa"/>
          </w:tblCellMar>
        </w:tblPrEx>
        <w:trPr>
          <w:gridAfter w:val="2"/>
          <w:wAfter w:w="1341" w:type="dxa"/>
          <w:trHeight w:val="645" w:hRule="atLeast"/>
          <w:jc w:val="center"/>
        </w:trPr>
        <w:tc>
          <w:tcPr>
            <w:tcW w:w="12025" w:type="dxa"/>
            <w:gridSpan w:val="11"/>
            <w:tcBorders>
              <w:top w:val="nil"/>
              <w:left w:val="nil"/>
              <w:bottom w:val="nil"/>
              <w:right w:val="nil"/>
            </w:tcBorders>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7"/>
        <w:tblW w:w="0" w:type="auto"/>
        <w:tblInd w:w="-106" w:type="dxa"/>
        <w:tblLayout w:type="fixed"/>
        <w:tblCellMar>
          <w:top w:w="0" w:type="dxa"/>
          <w:left w:w="108" w:type="dxa"/>
          <w:bottom w:w="0" w:type="dxa"/>
          <w:right w:w="108" w:type="dxa"/>
        </w:tblCellMar>
      </w:tblPr>
      <w:tblGrid>
        <w:gridCol w:w="1194"/>
        <w:gridCol w:w="2964"/>
        <w:gridCol w:w="844"/>
        <w:gridCol w:w="1380"/>
        <w:gridCol w:w="2309"/>
        <w:gridCol w:w="844"/>
        <w:gridCol w:w="1194"/>
        <w:gridCol w:w="3235"/>
        <w:gridCol w:w="992"/>
      </w:tblGrid>
      <w:tr>
        <w:tblPrEx>
          <w:tblCellMar>
            <w:top w:w="0" w:type="dxa"/>
            <w:left w:w="108" w:type="dxa"/>
            <w:bottom w:w="0" w:type="dxa"/>
            <w:right w:w="108" w:type="dxa"/>
          </w:tblCellMar>
        </w:tblPrEx>
        <w:trPr>
          <w:trHeight w:val="113" w:hRule="atLeast"/>
        </w:trPr>
        <w:tc>
          <w:tcPr>
            <w:tcW w:w="14956" w:type="dxa"/>
            <w:gridSpan w:val="9"/>
            <w:tcBorders>
              <w:top w:val="nil"/>
              <w:left w:val="nil"/>
              <w:bottom w:val="nil"/>
              <w:right w:val="nil"/>
            </w:tcBorders>
            <w:noWrap/>
            <w:vAlign w:val="center"/>
          </w:tcPr>
          <w:p>
            <w:pPr>
              <w:widowControl/>
              <w:spacing w:line="360" w:lineRule="exact"/>
              <w:jc w:val="center"/>
              <w:rPr>
                <w:rFonts w:ascii="楷体_GB2312" w:hAnsi="华文中宋" w:eastAsia="楷体_GB2312" w:cs="Times New Roman"/>
                <w:color w:val="000000"/>
                <w:kern w:val="0"/>
                <w:sz w:val="32"/>
                <w:szCs w:val="32"/>
              </w:rPr>
            </w:pPr>
            <w:bookmarkStart w:id="2" w:name="RANGE_A1_I34"/>
            <w:r>
              <w:rPr>
                <w:rFonts w:hint="eastAsia" w:ascii="楷体_GB2312" w:hAnsi="华文中宋" w:eastAsia="楷体_GB2312" w:cs="华文中宋"/>
                <w:color w:val="000000"/>
                <w:kern w:val="0"/>
                <w:sz w:val="32"/>
                <w:szCs w:val="32"/>
              </w:rPr>
              <w:t>一般公共预算财政拨款基本支出决算表</w:t>
            </w:r>
            <w:bookmarkEnd w:id="2"/>
          </w:p>
          <w:p>
            <w:pPr>
              <w:widowControl/>
              <w:spacing w:line="360" w:lineRule="exact"/>
              <w:ind w:firstLine="13560" w:firstLineChars="5650"/>
              <w:jc w:val="left"/>
              <w:rPr>
                <w:rFonts w:ascii="仿宋_GB2312" w:hAnsi="Times New Roman" w:eastAsia="仿宋_GB2312" w:cs="仿宋_GB2312"/>
                <w:color w:val="000000"/>
                <w:kern w:val="0"/>
                <w:sz w:val="24"/>
                <w:szCs w:val="24"/>
              </w:rPr>
            </w:pPr>
            <w:r>
              <w:rPr>
                <w:rFonts w:hint="eastAsia" w:ascii="仿宋_GB2312" w:hAnsi="Times New Roman" w:eastAsia="仿宋_GB2312" w:cs="仿宋_GB2312"/>
                <w:color w:val="000000"/>
                <w:kern w:val="0"/>
                <w:sz w:val="24"/>
                <w:szCs w:val="24"/>
              </w:rPr>
              <w:t>公开06表</w:t>
            </w:r>
          </w:p>
          <w:p>
            <w:pPr>
              <w:widowControl/>
              <w:spacing w:line="360" w:lineRule="exact"/>
              <w:jc w:val="left"/>
              <w:rPr>
                <w:rFonts w:ascii="仿宋_GB2312" w:hAnsi="华文中宋" w:eastAsia="仿宋_GB2312" w:cs="Times New Roman"/>
                <w:color w:val="000000"/>
                <w:kern w:val="0"/>
                <w:sz w:val="24"/>
                <w:szCs w:val="24"/>
              </w:rPr>
            </w:pPr>
            <w:r>
              <w:rPr>
                <w:rFonts w:hint="eastAsia" w:ascii="仿宋_GB2312" w:hAnsi="Times New Roman" w:eastAsia="仿宋_GB2312" w:cs="仿宋_GB2312"/>
                <w:color w:val="000000"/>
                <w:kern w:val="0"/>
                <w:sz w:val="24"/>
                <w:szCs w:val="24"/>
              </w:rPr>
              <w:t>部门：</w:t>
            </w:r>
            <w:r>
              <w:rPr>
                <w:rFonts w:hint="eastAsia" w:ascii="仿宋_GB2312" w:hAnsi="Times New Roman" w:eastAsia="仿宋_GB2312" w:cs="Times New Roman"/>
                <w:color w:val="000000"/>
                <w:kern w:val="0"/>
                <w:sz w:val="24"/>
                <w:szCs w:val="24"/>
              </w:rPr>
              <w:t xml:space="preserve">湘潭县禁毒委员会办公室   </w:t>
            </w:r>
            <w:r>
              <w:rPr>
                <w:rFonts w:hint="eastAsia" w:ascii="仿宋_GB2312" w:hAnsi="Times New Roman" w:eastAsia="仿宋_GB2312" w:cs="Times New Roman"/>
                <w:color w:val="000000"/>
                <w:kern w:val="0"/>
                <w:sz w:val="24"/>
                <w:szCs w:val="24"/>
                <w:lang w:val="en-US" w:eastAsia="zh-CN"/>
              </w:rPr>
              <w:t xml:space="preserve">                                                                                 </w:t>
            </w:r>
            <w:r>
              <w:rPr>
                <w:rFonts w:hint="eastAsia" w:ascii="仿宋_GB2312" w:hAnsi="Times New Roman" w:eastAsia="仿宋_GB2312" w:cs="仿宋_GB2312"/>
                <w:color w:val="000000"/>
                <w:kern w:val="0"/>
                <w:sz w:val="24"/>
                <w:szCs w:val="24"/>
              </w:rPr>
              <w:t>单位：万元</w:t>
            </w:r>
          </w:p>
        </w:tc>
      </w:tr>
      <w:tr>
        <w:tblPrEx>
          <w:tblCellMar>
            <w:top w:w="0" w:type="dxa"/>
            <w:left w:w="108" w:type="dxa"/>
            <w:bottom w:w="0" w:type="dxa"/>
            <w:right w:w="108" w:type="dxa"/>
          </w:tblCellMar>
        </w:tblPrEx>
        <w:trPr>
          <w:trHeight w:val="11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经济分类科目编码</w:t>
            </w:r>
          </w:p>
        </w:tc>
        <w:tc>
          <w:tcPr>
            <w:tcW w:w="296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科目名称</w:t>
            </w:r>
          </w:p>
        </w:tc>
        <w:tc>
          <w:tcPr>
            <w:tcW w:w="84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决算数</w:t>
            </w:r>
          </w:p>
        </w:tc>
        <w:tc>
          <w:tcPr>
            <w:tcW w:w="1380"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经济分类科目编码</w:t>
            </w:r>
          </w:p>
        </w:tc>
        <w:tc>
          <w:tcPr>
            <w:tcW w:w="2309"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科目名称</w:t>
            </w:r>
          </w:p>
        </w:tc>
        <w:tc>
          <w:tcPr>
            <w:tcW w:w="84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决算数</w:t>
            </w:r>
          </w:p>
        </w:tc>
        <w:tc>
          <w:tcPr>
            <w:tcW w:w="119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经济分类科目编码</w:t>
            </w:r>
          </w:p>
        </w:tc>
        <w:tc>
          <w:tcPr>
            <w:tcW w:w="3235"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科目名称</w:t>
            </w: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决算数</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工资福利支出</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商品和服务支出</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307</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债务利息及费用支出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30101</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基本工资</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30201</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办公费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30701</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国内债务付息</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30102</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津贴补贴</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30202</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印刷费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30702</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国外债务付息</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30103</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奖金</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30203</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咨询费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资本性支出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30106</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伙食补助费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30204</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手续费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31001</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房屋建筑物购建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30107</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绩效工资</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30205</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31002</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办公设备购置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30108</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机关事业单位基本养老保险缴费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30206</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电费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31003</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专用设备购置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30109</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职业年金缴费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30207</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邮电费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31005</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基础设施建设</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30110</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职工基本医疗保险缴费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30208</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取暖费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31006</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大型修缮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30111</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公务员医疗补助缴费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30209</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物业管理费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31007</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信息网络及软件购置更新</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30112</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其他社会保障缴费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30211</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差旅费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31008</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物资储备</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30113</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住房公积金</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30212</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因公出国（境）费用</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31009</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土地补偿</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30114</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医疗费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30213</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维修（护）费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31010</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安置补助</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30199</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其他工资福利支出</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30214</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租赁费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31011</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地上附着物和青苗补偿</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对个人和家庭的补助</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30215</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会议费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31012</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拆迁补偿</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30301</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离休费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30216</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培训费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31013</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公务用车购置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30302</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退休费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30217</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公务接待费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31019</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其他交通工具购置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30303</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退职（役）费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30218</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专用材料费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31021</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文物和陈列品购置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30304</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抚恤金</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30224</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被装购置费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31022</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无形资产购置</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30305</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生活补助</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30225</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专用燃料费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31099</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其他资本性支出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30306</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救济费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30226</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劳务费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399</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30307</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医疗费补助</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30227</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委托业务费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39906</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赠与</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30308</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助学金</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30228</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工会经费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39907</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国家赔偿费用支出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30309</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奖励金</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30229</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福利费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39908</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对民间非营利组织和群众性自治组织补贴</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30310</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个人农业生产补贴</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30231</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公务用车运行维护费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39999</w:t>
            </w: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其他支出</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30311</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代缴社会保险费</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30239</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其他交通费用</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992" w:type="dxa"/>
            <w:tcBorders>
              <w:top w:val="nil"/>
              <w:left w:val="nil"/>
              <w:bottom w:val="single" w:color="auto" w:sz="4" w:space="0"/>
              <w:right w:val="single" w:color="auto" w:sz="4" w:space="0"/>
            </w:tcBorders>
            <w:noWrap/>
            <w:vAlign w:val="center"/>
          </w:tcPr>
          <w:p>
            <w:pPr>
              <w:widowControl/>
              <w:rPr>
                <w:rFonts w:ascii="仿宋_GB2312" w:eastAsia="仿宋_GB2312" w:cs="Times New Roman"/>
                <w:color w:val="000000"/>
                <w:kern w:val="0"/>
                <w:sz w:val="24"/>
                <w:szCs w:val="24"/>
              </w:rPr>
            </w:pP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30399</w:t>
            </w: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其他对个人和家庭的补助</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30240</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税金及附加费用</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992" w:type="dxa"/>
            <w:tcBorders>
              <w:top w:val="nil"/>
              <w:left w:val="nil"/>
              <w:bottom w:val="single" w:color="auto" w:sz="4" w:space="0"/>
              <w:right w:val="single" w:color="auto" w:sz="4" w:space="0"/>
            </w:tcBorders>
            <w:noWrap/>
            <w:vAlign w:val="center"/>
          </w:tcPr>
          <w:p>
            <w:pPr>
              <w:widowControl/>
              <w:rPr>
                <w:rFonts w:ascii="仿宋_GB2312" w:eastAsia="仿宋_GB2312" w:cs="Times New Roman"/>
                <w:color w:val="000000"/>
                <w:kern w:val="0"/>
                <w:sz w:val="24"/>
                <w:szCs w:val="24"/>
              </w:rPr>
            </w:pPr>
          </w:p>
        </w:tc>
      </w:tr>
      <w:tr>
        <w:tblPrEx>
          <w:tblCellMar>
            <w:top w:w="0" w:type="dxa"/>
            <w:left w:w="108" w:type="dxa"/>
            <w:bottom w:w="0" w:type="dxa"/>
            <w:right w:w="108" w:type="dxa"/>
          </w:tblCellMar>
        </w:tblPrEx>
        <w:trPr>
          <w:trHeight w:val="284" w:hRule="exact"/>
        </w:trPr>
        <w:tc>
          <w:tcPr>
            <w:tcW w:w="1194" w:type="dxa"/>
            <w:tcBorders>
              <w:top w:val="nil"/>
              <w:left w:val="single" w:color="auto" w:sz="4" w:space="0"/>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296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1380"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30299</w:t>
            </w:r>
          </w:p>
        </w:tc>
        <w:tc>
          <w:tcPr>
            <w:tcW w:w="2309"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其他商品和服务支出</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119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3235"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p>
        </w:tc>
        <w:tc>
          <w:tcPr>
            <w:tcW w:w="992" w:type="dxa"/>
            <w:tcBorders>
              <w:top w:val="nil"/>
              <w:left w:val="nil"/>
              <w:bottom w:val="single" w:color="auto" w:sz="4" w:space="0"/>
              <w:right w:val="single" w:color="auto" w:sz="4" w:space="0"/>
            </w:tcBorders>
            <w:noWrap/>
            <w:vAlign w:val="center"/>
          </w:tcPr>
          <w:p>
            <w:pPr>
              <w:widowControl/>
              <w:rPr>
                <w:rFonts w:ascii="仿宋_GB2312" w:eastAsia="仿宋_GB2312" w:cs="Times New Roman"/>
                <w:color w:val="000000"/>
                <w:kern w:val="0"/>
                <w:sz w:val="24"/>
                <w:szCs w:val="24"/>
              </w:rPr>
            </w:pPr>
          </w:p>
        </w:tc>
      </w:tr>
      <w:tr>
        <w:tblPrEx>
          <w:tblCellMar>
            <w:top w:w="0" w:type="dxa"/>
            <w:left w:w="108" w:type="dxa"/>
            <w:bottom w:w="0" w:type="dxa"/>
            <w:right w:w="108" w:type="dxa"/>
          </w:tblCellMar>
        </w:tblPrEx>
        <w:trPr>
          <w:trHeight w:val="284" w:hRule="exact"/>
        </w:trPr>
        <w:tc>
          <w:tcPr>
            <w:tcW w:w="415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人员经费合计</w:t>
            </w:r>
          </w:p>
        </w:tc>
        <w:tc>
          <w:tcPr>
            <w:tcW w:w="844" w:type="dxa"/>
            <w:tcBorders>
              <w:top w:val="nil"/>
              <w:left w:val="nil"/>
              <w:bottom w:val="single" w:color="auto" w:sz="4" w:space="0"/>
              <w:right w:val="single" w:color="auto" w:sz="4" w:space="0"/>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　0</w:t>
            </w:r>
          </w:p>
        </w:tc>
        <w:tc>
          <w:tcPr>
            <w:tcW w:w="8962" w:type="dxa"/>
            <w:gridSpan w:val="5"/>
            <w:tcBorders>
              <w:top w:val="single" w:color="auto" w:sz="4" w:space="0"/>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公用经费合计</w:t>
            </w:r>
          </w:p>
        </w:tc>
        <w:tc>
          <w:tcPr>
            <w:tcW w:w="992" w:type="dxa"/>
            <w:tcBorders>
              <w:top w:val="nil"/>
              <w:left w:val="nil"/>
              <w:bottom w:val="single" w:color="auto" w:sz="4" w:space="0"/>
              <w:right w:val="single" w:color="auto" w:sz="4" w:space="0"/>
            </w:tcBorders>
            <w:noWrap/>
            <w:vAlign w:val="center"/>
          </w:tcPr>
          <w:p>
            <w:pPr>
              <w:widowControl/>
              <w:jc w:val="center"/>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0</w:t>
            </w:r>
          </w:p>
        </w:tc>
      </w:tr>
      <w:tr>
        <w:tblPrEx>
          <w:tblCellMar>
            <w:top w:w="0" w:type="dxa"/>
            <w:left w:w="108" w:type="dxa"/>
            <w:bottom w:w="0" w:type="dxa"/>
            <w:right w:w="108" w:type="dxa"/>
          </w:tblCellMar>
        </w:tblPrEx>
        <w:trPr>
          <w:trHeight w:val="284" w:hRule="exact"/>
        </w:trPr>
        <w:tc>
          <w:tcPr>
            <w:tcW w:w="14956" w:type="dxa"/>
            <w:gridSpan w:val="9"/>
            <w:tcBorders>
              <w:top w:val="nil"/>
              <w:left w:val="nil"/>
              <w:bottom w:val="nil"/>
              <w:right w:val="nil"/>
            </w:tcBorders>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注：本表反映部门本年度一般公共预算财政拨款基本支出明细情况。</w:t>
            </w:r>
          </w:p>
        </w:tc>
      </w:tr>
    </w:tbl>
    <w:p>
      <w:pPr>
        <w:widowControl/>
        <w:jc w:val="center"/>
        <w:rPr>
          <w:rFonts w:ascii="楷体_GB2312" w:hAnsi="Times New Roman" w:eastAsia="楷体_GB2312" w:cs="Times New Roman"/>
          <w:color w:val="000000"/>
          <w:kern w:val="0"/>
          <w:sz w:val="32"/>
          <w:szCs w:val="32"/>
        </w:rPr>
      </w:pPr>
      <w:r>
        <w:rPr>
          <w:rFonts w:hint="eastAsia" w:ascii="楷体_GB2312" w:hAnsi="Times New Roman" w:eastAsia="楷体_GB2312" w:cs="方正小标宋_GBK"/>
          <w:color w:val="000000"/>
          <w:kern w:val="0"/>
          <w:sz w:val="32"/>
          <w:szCs w:val="32"/>
        </w:rPr>
        <w:t>一般公共预算财政拨款“三公”经费支出决算表</w:t>
      </w:r>
    </w:p>
    <w:p>
      <w:pPr>
        <w:widowControl/>
        <w:jc w:val="center"/>
        <w:rPr>
          <w:rFonts w:ascii="仿宋_GB2312" w:hAnsi="Times New Roman" w:eastAsia="仿宋_GB2312" w:cs="Times New Roman"/>
          <w:color w:val="000000"/>
          <w:kern w:val="0"/>
          <w:sz w:val="24"/>
          <w:szCs w:val="24"/>
        </w:rPr>
      </w:pPr>
      <w:r>
        <w:rPr>
          <w:rFonts w:hint="eastAsia" w:ascii="仿宋_GB2312" w:hAnsi="Times New Roman" w:eastAsia="仿宋_GB2312" w:cs="仿宋_GB2312"/>
          <w:color w:val="000000"/>
          <w:kern w:val="0"/>
          <w:sz w:val="24"/>
          <w:szCs w:val="24"/>
          <w:lang w:val="en-US" w:eastAsia="zh-CN"/>
        </w:rPr>
        <w:t xml:space="preserve">                                                                                                         </w:t>
      </w:r>
      <w:r>
        <w:rPr>
          <w:rFonts w:hint="eastAsia" w:ascii="仿宋_GB2312" w:hAnsi="Times New Roman" w:eastAsia="仿宋_GB2312" w:cs="仿宋_GB2312"/>
          <w:color w:val="000000"/>
          <w:kern w:val="0"/>
          <w:sz w:val="24"/>
          <w:szCs w:val="24"/>
        </w:rPr>
        <w:t>公开</w:t>
      </w:r>
      <w:r>
        <w:rPr>
          <w:rFonts w:hint="eastAsia" w:ascii="仿宋_GB2312" w:hAnsi="Times New Roman" w:eastAsia="仿宋_GB2312" w:cs="Times New Roman"/>
          <w:color w:val="000000"/>
          <w:kern w:val="0"/>
          <w:sz w:val="24"/>
          <w:szCs w:val="24"/>
        </w:rPr>
        <w:t>07</w:t>
      </w:r>
      <w:r>
        <w:rPr>
          <w:rFonts w:hint="eastAsia" w:ascii="仿宋_GB2312" w:hAnsi="Times New Roman" w:eastAsia="仿宋_GB2312" w:cs="仿宋_GB2312"/>
          <w:color w:val="000000"/>
          <w:kern w:val="0"/>
          <w:sz w:val="24"/>
          <w:szCs w:val="24"/>
        </w:rPr>
        <w:t>表</w:t>
      </w:r>
    </w:p>
    <w:p>
      <w:pPr>
        <w:widowControl/>
        <w:ind w:right="420" w:firstLine="480" w:firstLineChars="200"/>
        <w:jc w:val="left"/>
        <w:rPr>
          <w:rFonts w:ascii="仿宋_GB2312" w:hAnsi="Times New Roman" w:eastAsia="仿宋_GB2312" w:cs="Times New Roman"/>
          <w:color w:val="000000"/>
          <w:kern w:val="0"/>
          <w:sz w:val="24"/>
          <w:szCs w:val="24"/>
        </w:rPr>
      </w:pPr>
      <w:r>
        <w:rPr>
          <w:rFonts w:hint="eastAsia" w:ascii="仿宋_GB2312" w:hAnsi="Times New Roman" w:eastAsia="仿宋_GB2312" w:cs="仿宋_GB2312"/>
          <w:color w:val="000000"/>
          <w:kern w:val="0"/>
          <w:sz w:val="24"/>
          <w:szCs w:val="24"/>
        </w:rPr>
        <w:t>部门：湘潭县禁毒委员会办公室                                                                               单位：万元</w:t>
      </w:r>
    </w:p>
    <w:tbl>
      <w:tblPr>
        <w:tblStyle w:val="7"/>
        <w:tblW w:w="14505" w:type="dxa"/>
        <w:jc w:val="center"/>
        <w:tblLayout w:type="autofit"/>
        <w:tblCellMar>
          <w:top w:w="0" w:type="dxa"/>
          <w:left w:w="108" w:type="dxa"/>
          <w:bottom w:w="0" w:type="dxa"/>
          <w:right w:w="108" w:type="dxa"/>
        </w:tblCellMar>
      </w:tblPr>
      <w:tblGrid>
        <w:gridCol w:w="1220"/>
        <w:gridCol w:w="1220"/>
        <w:gridCol w:w="1220"/>
        <w:gridCol w:w="1220"/>
        <w:gridCol w:w="1220"/>
        <w:gridCol w:w="1220"/>
        <w:gridCol w:w="948"/>
        <w:gridCol w:w="1276"/>
        <w:gridCol w:w="1134"/>
        <w:gridCol w:w="1417"/>
        <w:gridCol w:w="1276"/>
        <w:gridCol w:w="1134"/>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预算数</w:t>
            </w:r>
          </w:p>
        </w:tc>
        <w:tc>
          <w:tcPr>
            <w:tcW w:w="7185" w:type="dxa"/>
            <w:gridSpan w:val="6"/>
            <w:tcBorders>
              <w:top w:val="single" w:color="auto" w:sz="8" w:space="0"/>
              <w:left w:val="nil"/>
              <w:bottom w:val="single" w:color="auto" w:sz="4" w:space="0"/>
              <w:right w:val="single" w:color="000000" w:sz="8"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w:t>
            </w:r>
          </w:p>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接待费</w:t>
            </w:r>
          </w:p>
        </w:tc>
        <w:tc>
          <w:tcPr>
            <w:tcW w:w="948" w:type="dxa"/>
            <w:vMerge w:val="restart"/>
            <w:tcBorders>
              <w:top w:val="nil"/>
              <w:left w:val="nil"/>
              <w:bottom w:val="single" w:color="000000"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合计</w:t>
            </w:r>
          </w:p>
        </w:tc>
        <w:tc>
          <w:tcPr>
            <w:tcW w:w="1276"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因公出国（境）费</w:t>
            </w:r>
          </w:p>
        </w:tc>
        <w:tc>
          <w:tcPr>
            <w:tcW w:w="3827" w:type="dxa"/>
            <w:gridSpan w:val="3"/>
            <w:tcBorders>
              <w:top w:val="single" w:color="auto" w:sz="4" w:space="0"/>
              <w:left w:val="nil"/>
              <w:bottom w:val="single" w:color="auto" w:sz="4" w:space="0"/>
              <w:right w:val="single" w:color="000000"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公务用车购置及运行费</w:t>
            </w:r>
          </w:p>
        </w:tc>
        <w:tc>
          <w:tcPr>
            <w:tcW w:w="1134" w:type="dxa"/>
            <w:vMerge w:val="restart"/>
            <w:tcBorders>
              <w:top w:val="nil"/>
              <w:left w:val="single" w:color="auto" w:sz="4" w:space="0"/>
              <w:bottom w:val="single" w:color="000000" w:sz="4" w:space="0"/>
              <w:right w:val="single" w:color="auto" w:sz="8"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w:t>
            </w:r>
          </w:p>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w:t>
            </w:r>
            <w:r>
              <w:rPr>
                <w:rFonts w:hint="eastAsia" w:ascii="仿宋_GB2312" w:hAnsi="Times New Roman" w:eastAsia="仿宋_GB2312" w:cs="Times New Roman"/>
                <w:kern w:val="0"/>
                <w:sz w:val="24"/>
                <w:szCs w:val="24"/>
              </w:rPr>
              <w:br w:type="textWrapping"/>
            </w:r>
            <w:r>
              <w:rPr>
                <w:rFonts w:hint="eastAsia" w:ascii="仿宋_GB2312" w:hAnsi="Times New Roman" w:eastAsia="仿宋_GB2312" w:cs="仿宋_GB2312"/>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w:t>
            </w:r>
            <w:r>
              <w:rPr>
                <w:rFonts w:hint="eastAsia" w:ascii="仿宋_GB2312" w:hAnsi="Times New Roman" w:eastAsia="仿宋_GB2312" w:cs="Times New Roman"/>
                <w:kern w:val="0"/>
                <w:sz w:val="24"/>
                <w:szCs w:val="24"/>
              </w:rPr>
              <w:br w:type="textWrapping"/>
            </w:r>
            <w:r>
              <w:rPr>
                <w:rFonts w:hint="eastAsia" w:ascii="仿宋_GB2312" w:hAnsi="Times New Roman" w:eastAsia="仿宋_GB2312" w:cs="仿宋_GB2312"/>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948" w:type="dxa"/>
            <w:vMerge w:val="continue"/>
            <w:tcBorders>
              <w:top w:val="nil"/>
              <w:left w:val="nil"/>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Times New Roman" w:eastAsia="仿宋_GB2312" w:cs="Times New Roman"/>
                <w:kern w:val="0"/>
                <w:sz w:val="24"/>
                <w:szCs w:val="24"/>
              </w:rPr>
            </w:pPr>
          </w:p>
        </w:tc>
        <w:tc>
          <w:tcPr>
            <w:tcW w:w="1134"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小计</w:t>
            </w:r>
          </w:p>
        </w:tc>
        <w:tc>
          <w:tcPr>
            <w:tcW w:w="1417"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w:t>
            </w:r>
            <w:r>
              <w:rPr>
                <w:rFonts w:hint="eastAsia" w:ascii="仿宋_GB2312" w:hAnsi="Times New Roman" w:eastAsia="仿宋_GB2312" w:cs="Times New Roman"/>
                <w:kern w:val="0"/>
                <w:sz w:val="24"/>
                <w:szCs w:val="24"/>
              </w:rPr>
              <w:br w:type="textWrapping"/>
            </w:r>
            <w:r>
              <w:rPr>
                <w:rFonts w:hint="eastAsia" w:ascii="仿宋_GB2312" w:hAnsi="Times New Roman" w:eastAsia="仿宋_GB2312" w:cs="仿宋_GB2312"/>
                <w:kern w:val="0"/>
                <w:sz w:val="24"/>
                <w:szCs w:val="24"/>
              </w:rPr>
              <w:t>购置费</w:t>
            </w:r>
          </w:p>
        </w:tc>
        <w:tc>
          <w:tcPr>
            <w:tcW w:w="1276"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公务用车</w:t>
            </w:r>
            <w:r>
              <w:rPr>
                <w:rFonts w:hint="eastAsia" w:ascii="仿宋_GB2312" w:hAnsi="Times New Roman" w:eastAsia="仿宋_GB2312" w:cs="Times New Roman"/>
                <w:kern w:val="0"/>
                <w:sz w:val="24"/>
                <w:szCs w:val="24"/>
              </w:rPr>
              <w:br w:type="textWrapping"/>
            </w:r>
            <w:r>
              <w:rPr>
                <w:rFonts w:hint="eastAsia" w:ascii="仿宋_GB2312" w:hAnsi="Times New Roman" w:eastAsia="仿宋_GB2312" w:cs="仿宋_GB2312"/>
                <w:kern w:val="0"/>
                <w:sz w:val="24"/>
                <w:szCs w:val="24"/>
              </w:rPr>
              <w:t>运行费</w:t>
            </w:r>
          </w:p>
        </w:tc>
        <w:tc>
          <w:tcPr>
            <w:tcW w:w="1134" w:type="dxa"/>
            <w:vMerge w:val="continue"/>
            <w:tcBorders>
              <w:top w:val="nil"/>
              <w:left w:val="single" w:color="auto" w:sz="4" w:space="0"/>
              <w:bottom w:val="single" w:color="000000" w:sz="4" w:space="0"/>
              <w:right w:val="single" w:color="auto" w:sz="8" w:space="0"/>
            </w:tcBorders>
            <w:vAlign w:val="center"/>
          </w:tcPr>
          <w:p>
            <w:pPr>
              <w:widowControl/>
              <w:jc w:val="left"/>
              <w:rPr>
                <w:rFonts w:ascii="仿宋_GB2312" w:hAnsi="Times New Roman" w:eastAsia="仿宋_GB2312" w:cs="Times New Roman"/>
                <w:kern w:val="0"/>
                <w:sz w:val="24"/>
                <w:szCs w:val="24"/>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3</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5</w:t>
            </w:r>
          </w:p>
        </w:tc>
        <w:tc>
          <w:tcPr>
            <w:tcW w:w="1220"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6</w:t>
            </w:r>
          </w:p>
        </w:tc>
        <w:tc>
          <w:tcPr>
            <w:tcW w:w="948"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7</w:t>
            </w:r>
          </w:p>
        </w:tc>
        <w:tc>
          <w:tcPr>
            <w:tcW w:w="1276"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8</w:t>
            </w:r>
          </w:p>
        </w:tc>
        <w:tc>
          <w:tcPr>
            <w:tcW w:w="1134"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9</w:t>
            </w:r>
          </w:p>
        </w:tc>
        <w:tc>
          <w:tcPr>
            <w:tcW w:w="1417"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10</w:t>
            </w:r>
          </w:p>
        </w:tc>
        <w:tc>
          <w:tcPr>
            <w:tcW w:w="1276" w:type="dxa"/>
            <w:tcBorders>
              <w:top w:val="nil"/>
              <w:left w:val="nil"/>
              <w:bottom w:val="single" w:color="auto" w:sz="4"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11</w:t>
            </w:r>
          </w:p>
        </w:tc>
        <w:tc>
          <w:tcPr>
            <w:tcW w:w="1134" w:type="dxa"/>
            <w:tcBorders>
              <w:top w:val="nil"/>
              <w:left w:val="nil"/>
              <w:bottom w:val="single" w:color="auto" w:sz="4" w:space="0"/>
              <w:right w:val="single" w:color="auto" w:sz="8"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20"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20"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0</w:t>
            </w:r>
          </w:p>
        </w:tc>
        <w:tc>
          <w:tcPr>
            <w:tcW w:w="1220"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20"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20"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948"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76"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134"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417" w:type="dxa"/>
            <w:tcBorders>
              <w:top w:val="nil"/>
              <w:left w:val="nil"/>
              <w:bottom w:val="single" w:color="auto" w:sz="8" w:space="0"/>
              <w:right w:val="single" w:color="auto" w:sz="4"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276" w:type="dxa"/>
            <w:tcBorders>
              <w:top w:val="nil"/>
              <w:left w:val="nil"/>
              <w:bottom w:val="single" w:color="auto" w:sz="8" w:space="0"/>
              <w:right w:val="nil"/>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1134" w:type="dxa"/>
            <w:tcBorders>
              <w:top w:val="nil"/>
              <w:left w:val="single" w:color="auto" w:sz="4" w:space="0"/>
              <w:bottom w:val="single" w:color="auto" w:sz="8" w:space="0"/>
              <w:right w:val="single" w:color="auto" w:sz="8" w:space="0"/>
            </w:tcBorders>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r>
    </w:tbl>
    <w:p>
      <w:pPr>
        <w:widowControl/>
        <w:ind w:firstLine="720" w:firstLineChars="300"/>
        <w:jc w:val="left"/>
        <w:rPr>
          <w:rFonts w:ascii="仿宋_GB2312" w:eastAsia="仿宋_GB2312" w:cs="宋体"/>
          <w:kern w:val="0"/>
          <w:sz w:val="24"/>
          <w:szCs w:val="24"/>
        </w:rPr>
      </w:pPr>
      <w:r>
        <w:rPr>
          <w:rFonts w:hint="eastAsia" w:ascii="仿宋_GB2312" w:eastAsia="仿宋_GB2312" w:cs="宋体"/>
          <w:kern w:val="0"/>
          <w:sz w:val="24"/>
          <w:szCs w:val="24"/>
        </w:rPr>
        <w:t>注：本表反映部门本年度“三公”经费支出预决算情况。其中，预算数为“三公”经费全年预算数，反映按规定程序调整后的预算数；</w:t>
      </w:r>
    </w:p>
    <w:p>
      <w:pPr>
        <w:widowControl/>
        <w:ind w:firstLine="720" w:firstLineChars="300"/>
        <w:jc w:val="left"/>
        <w:rPr>
          <w:rFonts w:ascii="仿宋_GB2312" w:eastAsia="仿宋_GB2312" w:cs="Times New Roman"/>
          <w:kern w:val="0"/>
          <w:sz w:val="24"/>
          <w:szCs w:val="24"/>
        </w:rPr>
      </w:pPr>
      <w:r>
        <w:rPr>
          <w:rFonts w:hint="eastAsia" w:ascii="仿宋_GB2312" w:eastAsia="仿宋_GB2312" w:cs="宋体"/>
          <w:kern w:val="0"/>
          <w:sz w:val="24"/>
          <w:szCs w:val="24"/>
        </w:rPr>
        <w:t>决算数是包括当年一般公共预算财政拨款和以前年度结转资金安排的实际支出。</w:t>
      </w:r>
      <w:r>
        <w:rPr>
          <w:rFonts w:hint="eastAsia" w:ascii="仿宋_GB2312" w:eastAsia="仿宋_GB2312" w:cs="Times New Roman"/>
          <w:kern w:val="0"/>
          <w:sz w:val="24"/>
          <w:szCs w:val="24"/>
        </w:rPr>
        <w:br w:type="page"/>
      </w:r>
    </w:p>
    <w:p>
      <w:pPr>
        <w:widowControl/>
        <w:jc w:val="center"/>
        <w:rPr>
          <w:rFonts w:ascii="楷体_GB2312" w:hAnsi="Times New Roman" w:eastAsia="楷体_GB2312" w:cs="Times New Roman"/>
          <w:b/>
          <w:kern w:val="0"/>
          <w:sz w:val="32"/>
          <w:szCs w:val="32"/>
        </w:rPr>
      </w:pPr>
      <w:r>
        <w:rPr>
          <w:rFonts w:hint="eastAsia" w:ascii="楷体_GB2312" w:hAnsi="Times New Roman" w:eastAsia="楷体_GB2312" w:cs="方正小标宋_GBK"/>
          <w:b/>
          <w:kern w:val="0"/>
          <w:sz w:val="32"/>
          <w:szCs w:val="32"/>
        </w:rPr>
        <w:t>政府性基金预算财政拨款收入支出决算表</w:t>
      </w:r>
    </w:p>
    <w:tbl>
      <w:tblPr>
        <w:tblStyle w:val="7"/>
        <w:tblW w:w="13366" w:type="dxa"/>
        <w:tblInd w:w="1101" w:type="dxa"/>
        <w:tblLayout w:type="autofit"/>
        <w:tblCellMar>
          <w:top w:w="0" w:type="dxa"/>
          <w:left w:w="108" w:type="dxa"/>
          <w:bottom w:w="0" w:type="dxa"/>
          <w:right w:w="108" w:type="dxa"/>
        </w:tblCellMar>
      </w:tblPr>
      <w:tblGrid>
        <w:gridCol w:w="1120"/>
        <w:gridCol w:w="560"/>
        <w:gridCol w:w="652"/>
        <w:gridCol w:w="1951"/>
        <w:gridCol w:w="805"/>
        <w:gridCol w:w="315"/>
        <w:gridCol w:w="258"/>
        <w:gridCol w:w="216"/>
        <w:gridCol w:w="1497"/>
        <w:gridCol w:w="300"/>
        <w:gridCol w:w="1700"/>
        <w:gridCol w:w="2000"/>
        <w:gridCol w:w="1510"/>
        <w:gridCol w:w="482"/>
      </w:tblGrid>
      <w:tr>
        <w:tblPrEx>
          <w:tblCellMar>
            <w:top w:w="0" w:type="dxa"/>
            <w:left w:w="108" w:type="dxa"/>
            <w:bottom w:w="0" w:type="dxa"/>
            <w:right w:w="108" w:type="dxa"/>
          </w:tblCellMar>
        </w:tblPrEx>
        <w:trPr>
          <w:trHeight w:val="285" w:hRule="atLeast"/>
        </w:trPr>
        <w:tc>
          <w:tcPr>
            <w:tcW w:w="236"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60"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97" w:type="dxa"/>
            <w:gridSpan w:val="3"/>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743" w:type="dxa"/>
            <w:gridSpan w:val="2"/>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620" w:type="dxa"/>
            <w:gridSpan w:val="3"/>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510" w:type="dxa"/>
            <w:gridSpan w:val="4"/>
            <w:tcBorders>
              <w:top w:val="nil"/>
              <w:left w:val="nil"/>
              <w:bottom w:val="nil"/>
              <w:right w:val="nil"/>
            </w:tcBorders>
            <w:shd w:val="clear" w:color="000000" w:fill="FFFFFF"/>
            <w:noWrap/>
            <w:vAlign w:val="center"/>
          </w:tcPr>
          <w:p>
            <w:pPr>
              <w:widowControl/>
              <w:ind w:right="460"/>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公开08表</w:t>
            </w:r>
          </w:p>
        </w:tc>
      </w:tr>
      <w:tr>
        <w:tblPrEx>
          <w:tblCellMar>
            <w:top w:w="0" w:type="dxa"/>
            <w:left w:w="108" w:type="dxa"/>
            <w:bottom w:w="0" w:type="dxa"/>
            <w:right w:w="108" w:type="dxa"/>
          </w:tblCellMar>
        </w:tblPrEx>
        <w:trPr>
          <w:gridAfter w:val="1"/>
          <w:wAfter w:w="383" w:type="dxa"/>
          <w:trHeight w:val="285" w:hRule="atLeast"/>
        </w:trPr>
        <w:tc>
          <w:tcPr>
            <w:tcW w:w="4493" w:type="dxa"/>
            <w:gridSpan w:val="5"/>
            <w:tcBorders>
              <w:top w:val="nil"/>
              <w:left w:val="nil"/>
              <w:bottom w:val="nil"/>
              <w:right w:val="nil"/>
            </w:tcBorders>
            <w:shd w:val="clear" w:color="000000" w:fill="FFFFFF"/>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部门：</w:t>
            </w:r>
            <w:r>
              <w:rPr>
                <w:rFonts w:hint="eastAsia" w:ascii="仿宋_GB2312" w:hAnsi="Times New Roman" w:eastAsia="仿宋_GB2312" w:cs="Times New Roman"/>
                <w:color w:val="000000"/>
                <w:kern w:val="0"/>
                <w:sz w:val="24"/>
                <w:szCs w:val="24"/>
              </w:rPr>
              <w:t>湘潭县禁毒委员会办公室</w:t>
            </w:r>
          </w:p>
        </w:tc>
        <w:tc>
          <w:tcPr>
            <w:tcW w:w="360" w:type="dxa"/>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620" w:type="dxa"/>
            <w:gridSpan w:val="3"/>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510" w:type="dxa"/>
            <w:gridSpan w:val="4"/>
            <w:tcBorders>
              <w:top w:val="nil"/>
              <w:left w:val="nil"/>
              <w:bottom w:val="nil"/>
              <w:right w:val="nil"/>
            </w:tcBorders>
            <w:shd w:val="clear" w:color="000000" w:fill="FFFFFF"/>
            <w:noWrap/>
            <w:vAlign w:val="center"/>
          </w:tcPr>
          <w:p>
            <w:pPr>
              <w:widowControl/>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单位：万元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3"/>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项目</w:t>
            </w:r>
          </w:p>
        </w:tc>
        <w:tc>
          <w:tcPr>
            <w:tcW w:w="2000" w:type="dxa"/>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年初结转和结余</w:t>
            </w:r>
          </w:p>
        </w:tc>
        <w:tc>
          <w:tcPr>
            <w:tcW w:w="2000" w:type="dxa"/>
            <w:gridSpan w:val="4"/>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本年收入</w:t>
            </w:r>
          </w:p>
        </w:tc>
        <w:tc>
          <w:tcPr>
            <w:tcW w:w="6000" w:type="dxa"/>
            <w:gridSpan w:val="4"/>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本年支出</w:t>
            </w:r>
          </w:p>
        </w:tc>
        <w:tc>
          <w:tcPr>
            <w:tcW w:w="2000" w:type="dxa"/>
            <w:gridSpan w:val="2"/>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功能分类科目编码</w:t>
            </w:r>
          </w:p>
        </w:tc>
        <w:tc>
          <w:tcPr>
            <w:tcW w:w="1320" w:type="dxa"/>
            <w:gridSpan w:val="2"/>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科目名称</w:t>
            </w:r>
          </w:p>
        </w:tc>
        <w:tc>
          <w:tcPr>
            <w:tcW w:w="2000" w:type="dxa"/>
            <w:vMerge w:val="continue"/>
            <w:vAlign w:val="center"/>
          </w:tcPr>
          <w:p>
            <w:pPr>
              <w:widowControl/>
              <w:jc w:val="left"/>
              <w:rPr>
                <w:rFonts w:ascii="仿宋_GB2312" w:hAnsi="Times New Roman" w:eastAsia="仿宋_GB2312" w:cs="Times New Roman"/>
                <w:bCs/>
                <w:kern w:val="0"/>
                <w:sz w:val="24"/>
                <w:szCs w:val="24"/>
              </w:rPr>
            </w:pPr>
          </w:p>
        </w:tc>
        <w:tc>
          <w:tcPr>
            <w:tcW w:w="2000" w:type="dxa"/>
            <w:gridSpan w:val="4"/>
            <w:vMerge w:val="continue"/>
            <w:vAlign w:val="center"/>
          </w:tcPr>
          <w:p>
            <w:pPr>
              <w:widowControl/>
              <w:jc w:val="left"/>
              <w:rPr>
                <w:rFonts w:ascii="仿宋_GB2312" w:hAnsi="Times New Roman" w:eastAsia="仿宋_GB2312" w:cs="Times New Roman"/>
                <w:bCs/>
                <w:kern w:val="0"/>
                <w:sz w:val="24"/>
                <w:szCs w:val="24"/>
              </w:rPr>
            </w:pPr>
          </w:p>
        </w:tc>
        <w:tc>
          <w:tcPr>
            <w:tcW w:w="2000" w:type="dxa"/>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小计</w:t>
            </w:r>
          </w:p>
        </w:tc>
        <w:tc>
          <w:tcPr>
            <w:tcW w:w="2000" w:type="dxa"/>
            <w:gridSpan w:val="2"/>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基本支出</w:t>
            </w:r>
          </w:p>
        </w:tc>
        <w:tc>
          <w:tcPr>
            <w:tcW w:w="2000" w:type="dxa"/>
            <w:vMerge w:val="restart"/>
            <w:vAlign w:val="center"/>
          </w:tcPr>
          <w:p>
            <w:pPr>
              <w:widowControl/>
              <w:jc w:val="center"/>
              <w:rPr>
                <w:rFonts w:ascii="仿宋_GB2312" w:hAnsi="Times New Roman" w:eastAsia="仿宋_GB2312" w:cs="Times New Roman"/>
                <w:bCs/>
                <w:kern w:val="0"/>
                <w:sz w:val="24"/>
                <w:szCs w:val="24"/>
              </w:rPr>
            </w:pPr>
            <w:r>
              <w:rPr>
                <w:rFonts w:hint="eastAsia" w:ascii="仿宋_GB2312" w:hAnsi="Times New Roman" w:eastAsia="仿宋_GB2312" w:cs="仿宋_GB2312"/>
                <w:bCs/>
                <w:kern w:val="0"/>
                <w:sz w:val="24"/>
                <w:szCs w:val="24"/>
              </w:rPr>
              <w:t>项目支出</w:t>
            </w:r>
          </w:p>
        </w:tc>
        <w:tc>
          <w:tcPr>
            <w:tcW w:w="2000" w:type="dxa"/>
            <w:gridSpan w:val="2"/>
            <w:vMerge w:val="continue"/>
            <w:vAlign w:val="center"/>
          </w:tcPr>
          <w:p>
            <w:pPr>
              <w:widowControl/>
              <w:jc w:val="left"/>
              <w:rPr>
                <w:rFonts w:ascii="仿宋_GB2312" w:hAnsi="Times New Roman" w:eastAsia="仿宋_GB2312" w:cs="Times New Roman"/>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仿宋_GB2312" w:hAnsi="Times New Roman" w:eastAsia="仿宋_GB2312" w:cs="Times New Roman"/>
                <w:kern w:val="0"/>
                <w:sz w:val="24"/>
                <w:szCs w:val="24"/>
              </w:rPr>
            </w:pPr>
          </w:p>
        </w:tc>
        <w:tc>
          <w:tcPr>
            <w:tcW w:w="1320" w:type="dxa"/>
            <w:gridSpan w:val="2"/>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4"/>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2"/>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2"/>
            <w:vMerge w:val="continue"/>
            <w:vAlign w:val="center"/>
          </w:tcPr>
          <w:p>
            <w:pPr>
              <w:widowControl/>
              <w:jc w:val="left"/>
              <w:rPr>
                <w:rFonts w:ascii="仿宋_GB2312" w:hAnsi="Times New Roman" w:eastAsia="仿宋_GB2312" w:cs="Times New Roman"/>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仿宋_GB2312" w:hAnsi="Times New Roman" w:eastAsia="仿宋_GB2312" w:cs="Times New Roman"/>
                <w:kern w:val="0"/>
                <w:sz w:val="24"/>
                <w:szCs w:val="24"/>
              </w:rPr>
            </w:pPr>
          </w:p>
        </w:tc>
        <w:tc>
          <w:tcPr>
            <w:tcW w:w="1320" w:type="dxa"/>
            <w:gridSpan w:val="2"/>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4"/>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2"/>
            <w:vMerge w:val="continue"/>
            <w:vAlign w:val="center"/>
          </w:tcPr>
          <w:p>
            <w:pPr>
              <w:widowControl/>
              <w:jc w:val="left"/>
              <w:rPr>
                <w:rFonts w:ascii="仿宋_GB2312" w:hAnsi="Times New Roman" w:eastAsia="仿宋_GB2312" w:cs="Times New Roman"/>
                <w:kern w:val="0"/>
                <w:sz w:val="24"/>
                <w:szCs w:val="24"/>
              </w:rPr>
            </w:pPr>
          </w:p>
        </w:tc>
        <w:tc>
          <w:tcPr>
            <w:tcW w:w="2000" w:type="dxa"/>
            <w:vMerge w:val="continue"/>
            <w:vAlign w:val="center"/>
          </w:tcPr>
          <w:p>
            <w:pPr>
              <w:widowControl/>
              <w:jc w:val="left"/>
              <w:rPr>
                <w:rFonts w:ascii="仿宋_GB2312" w:hAnsi="Times New Roman" w:eastAsia="仿宋_GB2312" w:cs="Times New Roman"/>
                <w:kern w:val="0"/>
                <w:sz w:val="24"/>
                <w:szCs w:val="24"/>
              </w:rPr>
            </w:pPr>
          </w:p>
        </w:tc>
        <w:tc>
          <w:tcPr>
            <w:tcW w:w="2000" w:type="dxa"/>
            <w:gridSpan w:val="2"/>
            <w:vMerge w:val="continue"/>
            <w:vAlign w:val="center"/>
          </w:tcPr>
          <w:p>
            <w:pPr>
              <w:widowControl/>
              <w:jc w:val="left"/>
              <w:rPr>
                <w:rFonts w:ascii="仿宋_GB2312" w:hAnsi="Times New Roman" w:eastAsia="仿宋_GB2312" w:cs="Times New Roman"/>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3"/>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栏次</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1</w:t>
            </w:r>
          </w:p>
        </w:tc>
        <w:tc>
          <w:tcPr>
            <w:tcW w:w="2000" w:type="dxa"/>
            <w:gridSpan w:val="4"/>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2</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3</w:t>
            </w:r>
          </w:p>
        </w:tc>
        <w:tc>
          <w:tcPr>
            <w:tcW w:w="2000" w:type="dxa"/>
            <w:gridSpan w:val="2"/>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4</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5</w:t>
            </w:r>
          </w:p>
        </w:tc>
        <w:tc>
          <w:tcPr>
            <w:tcW w:w="2000" w:type="dxa"/>
            <w:gridSpan w:val="2"/>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3"/>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合计</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2000" w:type="dxa"/>
            <w:gridSpan w:val="4"/>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2000" w:type="dxa"/>
            <w:gridSpan w:val="2"/>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2000" w:type="dxa"/>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c>
          <w:tcPr>
            <w:tcW w:w="2000" w:type="dxa"/>
            <w:gridSpan w:val="2"/>
            <w:vAlign w:val="center"/>
          </w:tcPr>
          <w:p>
            <w:pPr>
              <w:widowControl/>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1320" w:type="dxa"/>
            <w:gridSpan w:val="2"/>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gridSpan w:val="4"/>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gridSpan w:val="2"/>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c>
          <w:tcPr>
            <w:tcW w:w="2000" w:type="dxa"/>
            <w:gridSpan w:val="2"/>
            <w:vAlign w:val="center"/>
          </w:tcPr>
          <w:p>
            <w:pPr>
              <w:widowControl/>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gridSpan w:val="2"/>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gridSpan w:val="4"/>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gridSpan w:val="2"/>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gridSpan w:val="2"/>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720" w:firstLineChars="300"/>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注：本表反映部门本年度政府性基金预算财政拨款收入、支出及结转和结余情况</w:t>
      </w:r>
    </w:p>
    <w:p>
      <w:pPr>
        <w:widowControl/>
        <w:ind w:firstLine="600" w:firstLineChars="250"/>
        <w:jc w:val="left"/>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szCs w:val="24"/>
        </w:rPr>
        <w:t>湘潭县禁毒委员会办公室</w:t>
      </w:r>
      <w:r>
        <w:rPr>
          <w:rFonts w:hint="eastAsia" w:ascii="仿宋_GB2312" w:hAnsi="Times New Roman" w:eastAsia="仿宋_GB2312" w:cs="仿宋_GB2312"/>
          <w:kern w:val="0"/>
          <w:sz w:val="24"/>
          <w:szCs w:val="24"/>
        </w:rPr>
        <w:t>没有政府性基金收入，也没有使用政府性基金安排的支出，故本表无数据。</w:t>
      </w:r>
    </w:p>
    <w:p>
      <w:pPr>
        <w:widowControl/>
        <w:jc w:val="left"/>
        <w:rPr>
          <w:rFonts w:ascii="黑体" w:hAnsi="黑体" w:eastAsia="黑体" w:cs="Times New Roman"/>
        </w:rPr>
      </w:pPr>
      <w:r>
        <w:rPr>
          <w:rFonts w:ascii="黑体" w:hAnsi="黑体" w:eastAsia="黑体" w:cs="Times New Roman"/>
        </w:rPr>
        <w:br w:type="page"/>
      </w:r>
    </w:p>
    <w:tbl>
      <w:tblPr>
        <w:tblStyle w:val="7"/>
        <w:tblW w:w="13366" w:type="dxa"/>
        <w:tblInd w:w="1101" w:type="dxa"/>
        <w:tblLayout w:type="autofit"/>
        <w:tblCellMar>
          <w:top w:w="0" w:type="dxa"/>
          <w:left w:w="108" w:type="dxa"/>
          <w:bottom w:w="0" w:type="dxa"/>
          <w:right w:w="108" w:type="dxa"/>
        </w:tblCellMar>
      </w:tblPr>
      <w:tblGrid>
        <w:gridCol w:w="236"/>
        <w:gridCol w:w="560"/>
        <w:gridCol w:w="1472"/>
        <w:gridCol w:w="2225"/>
        <w:gridCol w:w="360"/>
        <w:gridCol w:w="383"/>
        <w:gridCol w:w="1284"/>
        <w:gridCol w:w="953"/>
        <w:gridCol w:w="383"/>
        <w:gridCol w:w="1300"/>
        <w:gridCol w:w="3827"/>
        <w:gridCol w:w="383"/>
      </w:tblGrid>
      <w:tr>
        <w:tblPrEx>
          <w:tblCellMar>
            <w:top w:w="0" w:type="dxa"/>
            <w:left w:w="108" w:type="dxa"/>
            <w:bottom w:w="0" w:type="dxa"/>
            <w:right w:w="108" w:type="dxa"/>
          </w:tblCellMar>
        </w:tblPrEx>
        <w:trPr>
          <w:gridAfter w:val="1"/>
          <w:wAfter w:w="383" w:type="dxa"/>
          <w:trHeight w:val="720" w:hRule="atLeast"/>
        </w:trPr>
        <w:tc>
          <w:tcPr>
            <w:tcW w:w="12983" w:type="dxa"/>
            <w:gridSpan w:val="11"/>
            <w:tcBorders>
              <w:top w:val="nil"/>
              <w:left w:val="nil"/>
              <w:bottom w:val="nil"/>
              <w:right w:val="nil"/>
            </w:tcBorders>
            <w:shd w:val="clear" w:color="000000" w:fill="FFFFFF"/>
            <w:vAlign w:val="center"/>
          </w:tcPr>
          <w:p>
            <w:pPr>
              <w:widowControl/>
              <w:jc w:val="center"/>
              <w:rPr>
                <w:rFonts w:ascii="楷体_GB2312" w:hAnsi="华文中宋" w:eastAsia="楷体_GB2312" w:cs="Times New Roman"/>
                <w:b/>
                <w:kern w:val="0"/>
                <w:sz w:val="32"/>
                <w:szCs w:val="32"/>
              </w:rPr>
            </w:pPr>
            <w:r>
              <w:rPr>
                <w:rFonts w:hint="eastAsia" w:ascii="楷体_GB2312" w:hAnsi="华文中宋" w:eastAsia="楷体_GB2312" w:cs="华文中宋"/>
                <w:b/>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236"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60" w:type="dxa"/>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3697" w:type="dxa"/>
            <w:gridSpan w:val="2"/>
            <w:tcBorders>
              <w:top w:val="nil"/>
              <w:left w:val="nil"/>
              <w:bottom w:val="nil"/>
              <w:right w:val="nil"/>
            </w:tcBorders>
            <w:shd w:val="clear" w:color="000000" w:fill="FFFFFF"/>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743" w:type="dxa"/>
            <w:gridSpan w:val="2"/>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620" w:type="dxa"/>
            <w:gridSpan w:val="3"/>
            <w:tcBorders>
              <w:top w:val="nil"/>
              <w:left w:val="nil"/>
              <w:bottom w:val="nil"/>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510" w:type="dxa"/>
            <w:gridSpan w:val="3"/>
            <w:tcBorders>
              <w:top w:val="nil"/>
              <w:left w:val="nil"/>
              <w:bottom w:val="nil"/>
              <w:right w:val="nil"/>
            </w:tcBorders>
            <w:shd w:val="clear" w:color="000000" w:fill="FFFFFF"/>
            <w:noWrap/>
            <w:vAlign w:val="center"/>
          </w:tcPr>
          <w:p>
            <w:pPr>
              <w:widowControl/>
              <w:ind w:right="460"/>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公开09表</w:t>
            </w:r>
          </w:p>
        </w:tc>
      </w:tr>
      <w:tr>
        <w:tblPrEx>
          <w:tblCellMar>
            <w:top w:w="0" w:type="dxa"/>
            <w:left w:w="108" w:type="dxa"/>
            <w:bottom w:w="0" w:type="dxa"/>
            <w:right w:w="108" w:type="dxa"/>
          </w:tblCellMar>
        </w:tblPrEx>
        <w:trPr>
          <w:gridAfter w:val="1"/>
          <w:wAfter w:w="383" w:type="dxa"/>
          <w:trHeight w:val="285" w:hRule="atLeast"/>
        </w:trPr>
        <w:tc>
          <w:tcPr>
            <w:tcW w:w="4493" w:type="dxa"/>
            <w:gridSpan w:val="4"/>
            <w:tcBorders>
              <w:top w:val="nil"/>
              <w:left w:val="nil"/>
              <w:bottom w:val="nil"/>
              <w:right w:val="nil"/>
            </w:tcBorders>
            <w:shd w:val="clear" w:color="000000" w:fill="FFFFFF"/>
            <w:noWrap/>
            <w:vAlign w:val="center"/>
          </w:tcPr>
          <w:p>
            <w:pPr>
              <w:widowControl/>
              <w:jc w:val="lef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部门：</w:t>
            </w:r>
            <w:r>
              <w:rPr>
                <w:rFonts w:hint="eastAsia" w:ascii="仿宋_GB2312" w:hAnsi="Times New Roman" w:eastAsia="仿宋_GB2312" w:cs="Times New Roman"/>
                <w:color w:val="000000"/>
                <w:kern w:val="0"/>
                <w:sz w:val="24"/>
                <w:szCs w:val="24"/>
              </w:rPr>
              <w:t>湘潭县禁毒委员会办公室</w:t>
            </w:r>
          </w:p>
        </w:tc>
        <w:tc>
          <w:tcPr>
            <w:tcW w:w="360" w:type="dxa"/>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2620" w:type="dxa"/>
            <w:gridSpan w:val="3"/>
            <w:tcBorders>
              <w:top w:val="nil"/>
              <w:left w:val="nil"/>
              <w:bottom w:val="single" w:color="auto" w:sz="8" w:space="0"/>
              <w:right w:val="nil"/>
            </w:tcBorders>
            <w:shd w:val="clear" w:color="000000" w:fill="FFFFFF"/>
            <w:vAlign w:val="center"/>
          </w:tcPr>
          <w:p>
            <w:pPr>
              <w:widowControl/>
              <w:jc w:val="left"/>
              <w:rPr>
                <w:rFonts w:ascii="仿宋_GB2312" w:eastAsia="仿宋_GB2312" w:cs="Times New Roman"/>
                <w:kern w:val="0"/>
                <w:sz w:val="24"/>
                <w:szCs w:val="24"/>
              </w:rPr>
            </w:pPr>
            <w:r>
              <w:rPr>
                <w:rFonts w:hint="eastAsia" w:ascii="仿宋_GB2312" w:hAnsi="宋体" w:eastAsia="仿宋_GB2312" w:cs="宋体"/>
                <w:kern w:val="0"/>
                <w:sz w:val="24"/>
                <w:szCs w:val="24"/>
              </w:rPr>
              <w:t>　</w:t>
            </w:r>
          </w:p>
        </w:tc>
        <w:tc>
          <w:tcPr>
            <w:tcW w:w="5510" w:type="dxa"/>
            <w:gridSpan w:val="3"/>
            <w:tcBorders>
              <w:top w:val="nil"/>
              <w:left w:val="nil"/>
              <w:bottom w:val="nil"/>
              <w:right w:val="nil"/>
            </w:tcBorders>
            <w:shd w:val="clear" w:color="000000" w:fill="FFFFFF"/>
            <w:noWrap/>
            <w:vAlign w:val="center"/>
          </w:tcPr>
          <w:p>
            <w:pPr>
              <w:widowControl/>
              <w:jc w:val="right"/>
              <w:rPr>
                <w:rFonts w:ascii="仿宋_GB2312" w:eastAsia="仿宋_GB2312" w:cs="Times New Roman"/>
                <w:color w:val="000000"/>
                <w:kern w:val="0"/>
                <w:sz w:val="24"/>
                <w:szCs w:val="24"/>
              </w:rPr>
            </w:pPr>
            <w:r>
              <w:rPr>
                <w:rFonts w:hint="eastAsia" w:ascii="仿宋_GB2312" w:hAnsi="宋体" w:eastAsia="仿宋_GB2312" w:cs="宋体"/>
                <w:color w:val="000000"/>
                <w:kern w:val="0"/>
                <w:sz w:val="24"/>
                <w:szCs w:val="24"/>
              </w:rPr>
              <w:t>单位：万元</w:t>
            </w:r>
          </w:p>
        </w:tc>
      </w:tr>
      <w:tr>
        <w:tblPrEx>
          <w:tblCellMar>
            <w:top w:w="0" w:type="dxa"/>
            <w:left w:w="108" w:type="dxa"/>
            <w:bottom w:w="0" w:type="dxa"/>
            <w:right w:w="108" w:type="dxa"/>
          </w:tblCellMar>
        </w:tblPrEx>
        <w:trPr>
          <w:gridAfter w:val="1"/>
          <w:wAfter w:w="383" w:type="dxa"/>
          <w:trHeight w:val="402" w:hRule="atLeast"/>
        </w:trPr>
        <w:tc>
          <w:tcPr>
            <w:tcW w:w="4493"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w:t>
            </w:r>
          </w:p>
        </w:tc>
        <w:tc>
          <w:tcPr>
            <w:tcW w:w="8490" w:type="dxa"/>
            <w:gridSpan w:val="7"/>
            <w:tcBorders>
              <w:top w:val="single" w:color="auto" w:sz="8" w:space="0"/>
              <w:left w:val="nil"/>
              <w:bottom w:val="single" w:color="auto" w:sz="4" w:space="0"/>
              <w:right w:val="single" w:color="000000"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本年支出</w:t>
            </w:r>
          </w:p>
        </w:tc>
      </w:tr>
      <w:tr>
        <w:tblPrEx>
          <w:tblCellMar>
            <w:top w:w="0" w:type="dxa"/>
            <w:left w:w="108" w:type="dxa"/>
            <w:bottom w:w="0" w:type="dxa"/>
            <w:right w:w="108" w:type="dxa"/>
          </w:tblCellMar>
        </w:tblPrEx>
        <w:trPr>
          <w:gridAfter w:val="1"/>
          <w:wAfter w:w="383" w:type="dxa"/>
          <w:trHeight w:val="402" w:hRule="atLeast"/>
        </w:trPr>
        <w:tc>
          <w:tcPr>
            <w:tcW w:w="2268"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功能分类科目编码</w:t>
            </w:r>
          </w:p>
        </w:tc>
        <w:tc>
          <w:tcPr>
            <w:tcW w:w="2225"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科目名称</w:t>
            </w:r>
          </w:p>
        </w:tc>
        <w:tc>
          <w:tcPr>
            <w:tcW w:w="2027"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合计</w:t>
            </w:r>
          </w:p>
        </w:tc>
        <w:tc>
          <w:tcPr>
            <w:tcW w:w="2636"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基本支出</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项目支出</w:t>
            </w:r>
          </w:p>
        </w:tc>
      </w:tr>
      <w:tr>
        <w:tblPrEx>
          <w:tblCellMar>
            <w:top w:w="0" w:type="dxa"/>
            <w:left w:w="108" w:type="dxa"/>
            <w:bottom w:w="0" w:type="dxa"/>
            <w:right w:w="108" w:type="dxa"/>
          </w:tblCellMar>
        </w:tblPrEx>
        <w:trPr>
          <w:gridAfter w:val="1"/>
          <w:wAfter w:w="383" w:type="dxa"/>
          <w:trHeight w:val="402" w:hRule="atLeast"/>
        </w:trPr>
        <w:tc>
          <w:tcPr>
            <w:tcW w:w="2268"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225"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2027"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c>
          <w:tcPr>
            <w:tcW w:w="2636"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gridAfter w:val="1"/>
          <w:wAfter w:w="383" w:type="dxa"/>
          <w:trHeight w:val="402" w:hRule="atLeast"/>
        </w:trPr>
        <w:tc>
          <w:tcPr>
            <w:tcW w:w="2268"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225"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Times New Roman"/>
                <w:kern w:val="0"/>
                <w:sz w:val="24"/>
                <w:szCs w:val="24"/>
              </w:rPr>
            </w:pPr>
          </w:p>
        </w:tc>
        <w:tc>
          <w:tcPr>
            <w:tcW w:w="2027"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c>
          <w:tcPr>
            <w:tcW w:w="2636"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cs="Times New Roman"/>
                <w:kern w:val="0"/>
                <w:sz w:val="24"/>
                <w:szCs w:val="24"/>
              </w:rPr>
            </w:pPr>
          </w:p>
        </w:tc>
      </w:tr>
      <w:tr>
        <w:tblPrEx>
          <w:tblCellMar>
            <w:top w:w="0" w:type="dxa"/>
            <w:left w:w="108" w:type="dxa"/>
            <w:bottom w:w="0" w:type="dxa"/>
            <w:right w:w="108" w:type="dxa"/>
          </w:tblCellMar>
        </w:tblPrEx>
        <w:trPr>
          <w:gridAfter w:val="1"/>
          <w:wAfter w:w="383" w:type="dxa"/>
          <w:trHeight w:val="402" w:hRule="atLeast"/>
        </w:trPr>
        <w:tc>
          <w:tcPr>
            <w:tcW w:w="4493"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栏次</w:t>
            </w:r>
          </w:p>
        </w:tc>
        <w:tc>
          <w:tcPr>
            <w:tcW w:w="2027" w:type="dxa"/>
            <w:gridSpan w:val="3"/>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1</w:t>
            </w:r>
          </w:p>
        </w:tc>
        <w:tc>
          <w:tcPr>
            <w:tcW w:w="2636" w:type="dxa"/>
            <w:gridSpan w:val="3"/>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3</w:t>
            </w:r>
          </w:p>
        </w:tc>
      </w:tr>
      <w:tr>
        <w:tblPrEx>
          <w:tblCellMar>
            <w:top w:w="0" w:type="dxa"/>
            <w:left w:w="108" w:type="dxa"/>
            <w:bottom w:w="0" w:type="dxa"/>
            <w:right w:w="108" w:type="dxa"/>
          </w:tblCellMar>
        </w:tblPrEx>
        <w:trPr>
          <w:gridAfter w:val="1"/>
          <w:wAfter w:w="383" w:type="dxa"/>
          <w:trHeight w:val="402" w:hRule="atLeast"/>
        </w:trPr>
        <w:tc>
          <w:tcPr>
            <w:tcW w:w="4493" w:type="dxa"/>
            <w:gridSpan w:val="4"/>
            <w:tcBorders>
              <w:top w:val="nil"/>
              <w:left w:val="single" w:color="auto" w:sz="8" w:space="0"/>
              <w:bottom w:val="single" w:color="auto" w:sz="4" w:space="0"/>
              <w:right w:val="single" w:color="000000"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合计</w:t>
            </w:r>
          </w:p>
        </w:tc>
        <w:tc>
          <w:tcPr>
            <w:tcW w:w="2027" w:type="dxa"/>
            <w:gridSpan w:val="3"/>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无数据</w:t>
            </w:r>
          </w:p>
        </w:tc>
        <w:tc>
          <w:tcPr>
            <w:tcW w:w="2636" w:type="dxa"/>
            <w:gridSpan w:val="3"/>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0</w:t>
            </w:r>
          </w:p>
        </w:tc>
        <w:tc>
          <w:tcPr>
            <w:tcW w:w="3827" w:type="dxa"/>
            <w:tcBorders>
              <w:top w:val="nil"/>
              <w:left w:val="nil"/>
              <w:bottom w:val="single" w:color="auto" w:sz="4" w:space="0"/>
              <w:right w:val="single" w:color="auto" w:sz="4" w:space="0"/>
            </w:tcBorders>
            <w:vAlign w:val="center"/>
          </w:tcPr>
          <w:p>
            <w:pPr>
              <w:widowControl/>
              <w:jc w:val="center"/>
              <w:rPr>
                <w:rFonts w:ascii="仿宋_GB2312" w:eastAsia="仿宋_GB2312" w:cs="Times New Roman"/>
                <w:kern w:val="0"/>
                <w:sz w:val="24"/>
                <w:szCs w:val="24"/>
              </w:rPr>
            </w:pPr>
            <w:r>
              <w:rPr>
                <w:rFonts w:hint="eastAsia" w:ascii="仿宋_GB2312" w:hAnsi="宋体" w:eastAsia="仿宋_GB2312" w:cs="宋体"/>
                <w:kern w:val="0"/>
                <w:sz w:val="24"/>
                <w:szCs w:val="24"/>
              </w:rPr>
              <w:t>0</w:t>
            </w:r>
          </w:p>
        </w:tc>
      </w:tr>
      <w:tr>
        <w:tblPrEx>
          <w:tblCellMar>
            <w:top w:w="0" w:type="dxa"/>
            <w:left w:w="108" w:type="dxa"/>
            <w:bottom w:w="0" w:type="dxa"/>
            <w:right w:w="108" w:type="dxa"/>
          </w:tblCellMar>
        </w:tblPrEx>
        <w:trPr>
          <w:gridAfter w:val="1"/>
          <w:wAfter w:w="383" w:type="dxa"/>
          <w:trHeight w:val="402" w:hRule="atLeast"/>
        </w:trPr>
        <w:tc>
          <w:tcPr>
            <w:tcW w:w="2268" w:type="dxa"/>
            <w:gridSpan w:val="3"/>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225" w:type="dxa"/>
            <w:tcBorders>
              <w:top w:val="nil"/>
              <w:left w:val="nil"/>
              <w:bottom w:val="single" w:color="auto" w:sz="4" w:space="0"/>
              <w:right w:val="single" w:color="auto" w:sz="4" w:space="0"/>
            </w:tcBorders>
            <w:vAlign w:val="center"/>
          </w:tcPr>
          <w:p>
            <w:pPr>
              <w:widowControl/>
              <w:rPr>
                <w:rFonts w:ascii="宋体" w:cs="Times New Roman"/>
                <w:kern w:val="0"/>
                <w:sz w:val="20"/>
                <w:szCs w:val="20"/>
              </w:rPr>
            </w:pPr>
            <w:r>
              <w:rPr>
                <w:rFonts w:hint="eastAsia" w:ascii="宋体" w:hAnsi="宋体" w:cs="宋体"/>
                <w:kern w:val="0"/>
                <w:sz w:val="20"/>
                <w:szCs w:val="20"/>
              </w:rPr>
              <w:t>　</w:t>
            </w:r>
          </w:p>
        </w:tc>
        <w:tc>
          <w:tcPr>
            <w:tcW w:w="2027"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36"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1"/>
          <w:wAfter w:w="383" w:type="dxa"/>
          <w:trHeight w:val="720" w:hRule="atLeast"/>
        </w:trPr>
        <w:tc>
          <w:tcPr>
            <w:tcW w:w="12983" w:type="dxa"/>
            <w:gridSpan w:val="11"/>
            <w:tcBorders>
              <w:top w:val="single" w:color="auto" w:sz="8" w:space="0"/>
              <w:left w:val="nil"/>
              <w:bottom w:val="nil"/>
              <w:right w:val="nil"/>
            </w:tcBorders>
            <w:vAlign w:val="center"/>
          </w:tcPr>
          <w:p>
            <w:pPr>
              <w:pStyle w:val="14"/>
              <w:ind w:firstLine="636"/>
              <w:rPr>
                <w:rFonts w:ascii="宋体" w:hAnsi="宋体" w:eastAsia="宋体" w:cs="宋体"/>
                <w:color w:val="auto"/>
              </w:rPr>
            </w:pPr>
            <w:r>
              <w:rPr>
                <w:rFonts w:hint="eastAsia" w:ascii="宋体" w:hAnsi="宋体" w:eastAsia="宋体" w:cs="宋体"/>
                <w:color w:val="auto"/>
              </w:rPr>
              <w:t>注：本单位无国有资本经营预算支出。</w:t>
            </w:r>
          </w:p>
        </w:tc>
      </w:tr>
    </w:tbl>
    <w:p>
      <w:pPr>
        <w:pStyle w:val="14"/>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4"/>
        <w:jc w:val="center"/>
        <w:rPr>
          <w:rFonts w:hAnsi="黑体"/>
          <w:b/>
          <w:bCs/>
          <w:sz w:val="32"/>
          <w:szCs w:val="32"/>
        </w:rPr>
      </w:pPr>
      <w:r>
        <w:rPr>
          <w:rFonts w:hint="eastAsia" w:ascii="方正小标宋简体" w:hAnsi="宋体" w:eastAsia="方正小标宋简体" w:cs="宋体"/>
          <w:b/>
          <w:sz w:val="36"/>
          <w:szCs w:val="36"/>
        </w:rPr>
        <w:t>第三部分2021年度部门决算情况说明</w:t>
      </w:r>
    </w:p>
    <w:p>
      <w:pPr>
        <w:pStyle w:val="14"/>
        <w:rPr>
          <w:rFonts w:ascii="楷体_GB2312" w:hAnsi="黑体" w:eastAsia="楷体_GB2312" w:cs="Times New Roman"/>
          <w:b/>
          <w:bCs/>
          <w:sz w:val="32"/>
          <w:szCs w:val="32"/>
        </w:rPr>
      </w:pPr>
      <w:r>
        <w:rPr>
          <w:rFonts w:hint="eastAsia" w:ascii="楷体_GB2312" w:hAnsi="黑体" w:eastAsia="楷体_GB2312"/>
          <w:b/>
          <w:bCs/>
          <w:sz w:val="32"/>
          <w:szCs w:val="32"/>
        </w:rPr>
        <w:t>一、收入支出决算总体情况说明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2021年度收、支总计109.58万元。与上年相比，减少29.66万元，减少22%，主要是因为</w:t>
      </w:r>
      <w:r>
        <w:rPr>
          <w:rFonts w:hint="eastAsia" w:ascii="仿宋_GB2312" w:hAnsi="宋体" w:eastAsia="仿宋_GB2312" w:cs="宋体"/>
          <w:color w:val="333333"/>
          <w:sz w:val="32"/>
          <w:szCs w:val="32"/>
          <w:shd w:val="clear" w:color="auto" w:fill="FFFFFF"/>
        </w:rPr>
        <w:t>主要是因为一项实报实销项目即特殊违法犯罪人员收治经费收治人员减少，故县财政2020年未调整预算安排。</w:t>
      </w:r>
    </w:p>
    <w:p>
      <w:pPr>
        <w:pStyle w:val="14"/>
        <w:rPr>
          <w:rFonts w:ascii="楷体_GB2312" w:hAnsi="黑体" w:eastAsia="楷体_GB2312" w:cs="Times New Roman"/>
          <w:b/>
          <w:bCs/>
          <w:sz w:val="32"/>
          <w:szCs w:val="32"/>
        </w:rPr>
      </w:pPr>
      <w:r>
        <w:rPr>
          <w:rFonts w:hint="eastAsia" w:ascii="楷体_GB2312" w:hAnsi="黑体" w:eastAsia="楷体_GB2312"/>
          <w:b/>
          <w:bCs/>
          <w:sz w:val="32"/>
          <w:szCs w:val="32"/>
        </w:rPr>
        <w:t>二、收入决算情况说明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本年收入合计109.58万元，其中：财政拨款收入109.58万元，占100%；上级补助收入0万元，占0%；事业收入0万元，占0%；经营收入0万元，占0%；附属单位上缴收入0万元，占0%；其他收入0万元，占0%。</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三、支出决算情况说明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本年支出合计109.58万元，其中：基本支出0万元，占0%；项目支出109.58万元，占100%；上缴上级支出0万元，占0%；经营支出0万元，占0%；对附属单位补助支出0万元，占0%。</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四、财政拨款收入支出决算总体情况说明</w:t>
      </w:r>
    </w:p>
    <w:p>
      <w:pPr>
        <w:pStyle w:val="14"/>
        <w:ind w:firstLine="800" w:firstLineChars="250"/>
        <w:rPr>
          <w:rFonts w:ascii="仿宋_GB2312" w:hAnsi="宋体" w:eastAsia="仿宋_GB2312" w:cs="宋体"/>
          <w:sz w:val="32"/>
          <w:szCs w:val="32"/>
        </w:rPr>
      </w:pPr>
      <w:r>
        <w:rPr>
          <w:rFonts w:hint="eastAsia" w:ascii="仿宋_GB2312" w:hAnsi="宋体" w:eastAsia="仿宋_GB2312" w:cs="宋体"/>
          <w:sz w:val="32"/>
          <w:szCs w:val="32"/>
        </w:rPr>
        <w:t>2021年度财政拨款收、支总计109.58万元，与上年相比，减少29.66万元,减少22%，主要是因为2020年有上年度结转的解决禁毒工作考核奖励经费19.15万元和中央禁毒补助专款10.47万元，县财政2021年未安排禁毒工作考核奖励经费，也没有中央禁毒补助专项经费。</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五、一般公共预算财政拨款支出决算情况说明</w:t>
      </w:r>
    </w:p>
    <w:p>
      <w:pPr>
        <w:pStyle w:val="14"/>
        <w:ind w:firstLine="640" w:firstLineChars="200"/>
        <w:rPr>
          <w:rFonts w:ascii="仿宋_GB2312" w:hAnsi="宋体" w:eastAsia="仿宋_GB2312" w:cs="Times New Roman"/>
          <w:b/>
          <w:bCs/>
          <w:sz w:val="32"/>
          <w:szCs w:val="32"/>
        </w:rPr>
      </w:pPr>
      <w:r>
        <w:rPr>
          <w:rFonts w:hint="eastAsia" w:ascii="仿宋_GB2312" w:hAnsi="宋体" w:eastAsia="仿宋_GB2312" w:cs="宋体"/>
          <w:b/>
          <w:bCs/>
          <w:sz w:val="32"/>
          <w:szCs w:val="32"/>
        </w:rPr>
        <w:t>（一）财政拨款支出决算总体情况</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2021年度财政拨款支出109.58万元，占本年支出合计的109.58%，与上年相比，财政拨款支出减少29.66万元，减少22%，主要是因为疫情原因特殊违法犯罪人员收治减少，部分收治费用没有及时结清。</w:t>
      </w:r>
    </w:p>
    <w:p>
      <w:pPr>
        <w:pStyle w:val="14"/>
        <w:ind w:firstLine="480" w:firstLineChars="150"/>
        <w:rPr>
          <w:rFonts w:ascii="仿宋_GB2312" w:hAnsi="宋体" w:eastAsia="仿宋_GB2312" w:cs="Times New Roman"/>
          <w:b/>
          <w:bCs/>
          <w:sz w:val="32"/>
          <w:szCs w:val="32"/>
        </w:rPr>
      </w:pPr>
      <w:r>
        <w:rPr>
          <w:rFonts w:hint="eastAsia" w:ascii="仿宋_GB2312" w:hAnsi="宋体" w:eastAsia="仿宋_GB2312" w:cs="宋体"/>
          <w:b/>
          <w:bCs/>
          <w:sz w:val="32"/>
          <w:szCs w:val="32"/>
        </w:rPr>
        <w:t>（二）财政拨款支出决算结构情况</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2021年度财政拨款支出109.58万元，主要用于以下方面：一般公共服务（类）的公共安全支出109.58万元，占100%；教育（类）支出0万元，占0%。</w:t>
      </w:r>
    </w:p>
    <w:p>
      <w:pPr>
        <w:pStyle w:val="14"/>
        <w:ind w:firstLine="800" w:firstLineChars="250"/>
        <w:rPr>
          <w:rFonts w:ascii="仿宋_GB2312" w:hAnsi="宋体" w:eastAsia="仿宋_GB2312" w:cs="Times New Roman"/>
          <w:b/>
          <w:bCs/>
          <w:sz w:val="32"/>
          <w:szCs w:val="32"/>
        </w:rPr>
      </w:pPr>
      <w:r>
        <w:rPr>
          <w:rFonts w:hint="eastAsia" w:ascii="仿宋_GB2312" w:hAnsi="宋体" w:eastAsia="仿宋_GB2312" w:cs="宋体"/>
          <w:b/>
          <w:bCs/>
          <w:sz w:val="32"/>
          <w:szCs w:val="32"/>
        </w:rPr>
        <w:t>（三）财政拨款支出决算具体情况</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2021年度财政拨款支出年初预算数为55万元，支出决算数为109.58万元，完成年初预算的200%，其中：</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1.一般公共服务（类）公共安全（款）公安（项）。</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年初预算为55万元，支出决算为109.58万元，完成年初预算的200%，决算数大于年初预算数的主要原因是：①县财政在年中追加经费87.6万元，②上年度结转23.2万元，③本单位2021年末还结余56.22万元。</w:t>
      </w:r>
    </w:p>
    <w:p>
      <w:pPr>
        <w:pStyle w:val="14"/>
        <w:ind w:firstLine="200"/>
        <w:rPr>
          <w:rFonts w:ascii="楷体_GB2312" w:hAnsi="黑体" w:eastAsia="楷体_GB2312" w:cs="Times New Roman"/>
          <w:b/>
          <w:bCs/>
          <w:sz w:val="32"/>
          <w:szCs w:val="32"/>
        </w:rPr>
      </w:pPr>
      <w:r>
        <w:rPr>
          <w:rFonts w:hint="eastAsia" w:ascii="楷体_GB2312" w:hAnsi="黑体" w:eastAsia="楷体_GB2312"/>
          <w:b/>
          <w:bCs/>
          <w:sz w:val="32"/>
          <w:szCs w:val="32"/>
        </w:rPr>
        <w:t>六、一般公共预算财政拨款基本支出决算情况说明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2021年度财政拨款基本支出0万元，其中：人员经费0万元，占基本支出的0%,主要包括基本工资、津贴补贴、奖金、伙食补助费0；公用经费0万元，占基本支出的0%，主要包括办公费、印刷费、咨询费、手续费0。</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七、一般公共预算财政拨款三公经费支出决算情况说明</w:t>
      </w:r>
    </w:p>
    <w:p>
      <w:pPr>
        <w:pStyle w:val="14"/>
        <w:ind w:firstLine="200"/>
        <w:rPr>
          <w:rFonts w:ascii="仿宋_GB2312" w:hAnsi="宋体" w:eastAsia="仿宋_GB2312" w:cs="Times New Roman"/>
          <w:b/>
          <w:bCs/>
          <w:sz w:val="32"/>
          <w:szCs w:val="32"/>
        </w:rPr>
      </w:pPr>
      <w:r>
        <w:rPr>
          <w:rFonts w:hint="eastAsia" w:ascii="仿宋_GB2312" w:hAnsi="宋体" w:eastAsia="仿宋_GB2312" w:cs="宋体"/>
          <w:b/>
          <w:bCs/>
          <w:sz w:val="32"/>
          <w:szCs w:val="32"/>
        </w:rPr>
        <w:t>（一）“三公”经费财政拨款支出决算总体情况说明</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“三公”经费财政拨款支出预算为0万元，支出决算为0万元，完成预算的0%，其中：</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因公出国（境）费支出预算为0万元，支出决算为0万元，完成预算的0%。</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公务接待费支出预算为0万元，支出决算为0万元，完成预算的0%0。</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公务用车购置费及运行维护费支出预算为0万元，支出决算为0万元，完成预算的0%0。</w:t>
      </w:r>
    </w:p>
    <w:p>
      <w:pPr>
        <w:pStyle w:val="14"/>
        <w:ind w:firstLine="200"/>
        <w:rPr>
          <w:rFonts w:ascii="仿宋_GB2312" w:hAnsi="宋体" w:eastAsia="仿宋_GB2312" w:cs="Times New Roman"/>
          <w:b/>
          <w:bCs/>
          <w:sz w:val="32"/>
          <w:szCs w:val="32"/>
        </w:rPr>
      </w:pPr>
      <w:r>
        <w:rPr>
          <w:rFonts w:hint="eastAsia" w:ascii="仿宋_GB2312" w:hAnsi="宋体" w:eastAsia="仿宋_GB2312" w:cs="宋体"/>
          <w:b/>
          <w:bCs/>
          <w:sz w:val="32"/>
          <w:szCs w:val="32"/>
        </w:rPr>
        <w:t>（二）“三公”经费财政拨款支出决算具体情况说明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2021年度“三公”经费财政拨款支出决算中，公务接待费支出决算0万元，占0%,因公出国（境）费支出决算0万元，占0%,公务用车购置费及运行维护费支出决算0万元，占0%。其中：</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1.因公出国（境）费支出决算为0万元，全年安排因公出国（境）团组0个，累计0人次。</w:t>
      </w:r>
    </w:p>
    <w:p>
      <w:pPr>
        <w:pStyle w:val="14"/>
        <w:ind w:firstLine="800" w:firstLineChars="250"/>
        <w:rPr>
          <w:rFonts w:ascii="仿宋_GB2312" w:hAnsi="宋体" w:eastAsia="仿宋_GB2312" w:cs="Times New Roman"/>
          <w:sz w:val="32"/>
          <w:szCs w:val="32"/>
        </w:rPr>
      </w:pPr>
      <w:r>
        <w:rPr>
          <w:rFonts w:hint="eastAsia" w:ascii="仿宋_GB2312" w:hAnsi="宋体" w:eastAsia="仿宋_GB2312" w:cs="宋体"/>
          <w:sz w:val="32"/>
          <w:szCs w:val="32"/>
        </w:rPr>
        <w:t>2.公务接待费支出决算为0万元，全年共接待来访团组0个、来宾0人。</w:t>
      </w:r>
    </w:p>
    <w:p>
      <w:pPr>
        <w:ind w:firstLine="800" w:firstLineChars="250"/>
        <w:rPr>
          <w:rFonts w:ascii="仿宋_GB2312" w:eastAsia="仿宋_GB2312" w:cs="Times New Roman"/>
          <w:color w:val="000000"/>
          <w:kern w:val="0"/>
          <w:sz w:val="32"/>
          <w:szCs w:val="32"/>
        </w:rPr>
      </w:pPr>
      <w:r>
        <w:rPr>
          <w:rFonts w:hint="eastAsia" w:ascii="仿宋_GB2312" w:hAnsi="宋体" w:eastAsia="仿宋_GB2312" w:cs="宋体"/>
          <w:sz w:val="32"/>
          <w:szCs w:val="32"/>
        </w:rPr>
        <w:t>3.公务用车购置费及运行维护费支出决算为0万元，其中：公务用车购置费0万元，0（单位本级或某二级机构）更新公务用车0辆</w:t>
      </w:r>
      <w:r>
        <w:rPr>
          <w:rFonts w:hint="eastAsia" w:ascii="仿宋_GB2312" w:eastAsia="仿宋_GB2312" w:cs="宋体"/>
          <w:sz w:val="32"/>
          <w:szCs w:val="32"/>
        </w:rPr>
        <w:t>0</w:t>
      </w:r>
      <w:r>
        <w:rPr>
          <w:rFonts w:hint="eastAsia" w:ascii="仿宋_GB2312" w:hAnsi="宋体" w:eastAsia="仿宋_GB2312" w:cs="宋体"/>
          <w:color w:val="000000"/>
          <w:sz w:val="32"/>
          <w:szCs w:val="32"/>
        </w:rPr>
        <w:t>。</w:t>
      </w:r>
      <w:r>
        <w:rPr>
          <w:rFonts w:hint="eastAsia" w:ascii="仿宋_GB2312" w:hAnsi="宋体" w:eastAsia="仿宋_GB2312" w:cs="宋体"/>
          <w:sz w:val="32"/>
          <w:szCs w:val="32"/>
        </w:rPr>
        <w:t>公务用车运行维护费0万元，截止2021年12月31日，我单位开支财政拨款的公务用车保有量为0辆。</w:t>
      </w:r>
    </w:p>
    <w:p>
      <w:pPr>
        <w:pStyle w:val="14"/>
        <w:ind w:firstLine="200"/>
        <w:rPr>
          <w:rFonts w:ascii="楷体_GB2312" w:hAnsi="黑体" w:eastAsia="楷体_GB2312" w:cs="Times New Roman"/>
          <w:b/>
          <w:bCs/>
          <w:sz w:val="32"/>
          <w:szCs w:val="32"/>
        </w:rPr>
      </w:pPr>
      <w:r>
        <w:rPr>
          <w:rFonts w:hint="eastAsia" w:ascii="楷体_GB2312" w:hAnsi="黑体" w:eastAsia="楷体_GB2312"/>
          <w:b/>
          <w:bCs/>
          <w:sz w:val="32"/>
          <w:szCs w:val="32"/>
        </w:rPr>
        <w:t>八、政府性基金预算收入支出决算情况</w:t>
      </w:r>
    </w:p>
    <w:p>
      <w:pPr>
        <w:pStyle w:val="14"/>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2021年度政府性基金预算财政拨款收入0万元；年初结转和结余0万元；支出0万元，其中基本支出0万元，项目支出0万元；年末结转和结余0万元。</w:t>
      </w:r>
    </w:p>
    <w:p>
      <w:pPr>
        <w:pStyle w:val="14"/>
        <w:ind w:firstLine="200"/>
        <w:rPr>
          <w:rFonts w:ascii="楷体_GB2312" w:hAnsi="黑体" w:eastAsia="楷体_GB2312" w:cs="Times New Roman"/>
          <w:b/>
          <w:bCs/>
          <w:sz w:val="32"/>
          <w:szCs w:val="32"/>
        </w:rPr>
      </w:pPr>
      <w:r>
        <w:rPr>
          <w:rFonts w:hint="eastAsia" w:ascii="楷体_GB2312" w:hAnsi="黑体" w:eastAsia="楷体_GB2312"/>
          <w:b/>
          <w:bCs/>
          <w:sz w:val="32"/>
          <w:szCs w:val="32"/>
        </w:rPr>
        <w:t>九、关于机关运行经费支出说明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本部门2021年度机关运行经费支出0万元，比年初预算数（或者上年决算数）增加（减少）0万元，增长（降低）0%。</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十、一般性支出情况</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2021年本部门开支会议费0万元，用于召开1次会议，人数110人，内容为全县禁毒工作会议；开支培训费0万元，用于开展禁毒业务培训，人数70余人，内容为禁毒知识；举办0等节庆、晚会、论坛、赛事活动，开支0万元。开会、培训是利用了县政府和县公安局的会议室，交通、食宿费用参会参训人员自理，故无相关费用。</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十一、关于政府采购支出说明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部门2021年度政府采购支出总额32.37万元，其中：政府采购货物支出0万元、政府采购工程支出0万元、政府采购服务支出32.37万元。授予中小企业合同金额32.37万元，占政府采购支出总额的100%，其中：授予小微企业合同金额32.37万元，占政府采购支出总额的100%。</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十二、关于国有资产占用情况说明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截至2021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pPr>
        <w:pStyle w:val="14"/>
        <w:ind w:firstLine="200"/>
        <w:rPr>
          <w:rFonts w:ascii="楷体_GB2312" w:hAnsi="黑体" w:eastAsia="楷体_GB2312"/>
          <w:b/>
          <w:bCs/>
          <w:sz w:val="32"/>
          <w:szCs w:val="32"/>
        </w:rPr>
      </w:pPr>
      <w:r>
        <w:rPr>
          <w:rFonts w:hint="eastAsia" w:ascii="楷体_GB2312" w:hAnsi="黑体" w:eastAsia="楷体_GB2312"/>
          <w:b/>
          <w:bCs/>
          <w:sz w:val="32"/>
          <w:szCs w:val="32"/>
        </w:rPr>
        <w:t>十三、关于2021年度预算绩效情况的说明</w:t>
      </w:r>
    </w:p>
    <w:p>
      <w:pPr>
        <w:pStyle w:val="14"/>
        <w:ind w:firstLine="640" w:firstLineChars="200"/>
        <w:rPr>
          <w:rFonts w:ascii="仿宋_GB2312" w:hAnsi="宋体" w:eastAsia="仿宋_GB2312" w:cs="Times New Roman"/>
          <w:sz w:val="32"/>
          <w:szCs w:val="32"/>
        </w:rPr>
      </w:pPr>
      <w:r>
        <w:rPr>
          <w:rFonts w:hint="eastAsia" w:ascii="仿宋_GB2312" w:hAnsi="宋体" w:eastAsia="仿宋_GB2312" w:cs="宋体"/>
          <w:sz w:val="32"/>
          <w:szCs w:val="32"/>
        </w:rPr>
        <w:t>本部门预算绩效管理开展情况、绩效目标和绩效评价报告等（按照财政绩效部门要求已公开或其他有关部门要求需随同部门决算一同公开的绩效信息，请作为附件公开）</w:t>
      </w:r>
    </w:p>
    <w:p>
      <w:pPr>
        <w:pStyle w:val="6"/>
        <w:shd w:val="clear" w:color="auto" w:fill="FFFFFF"/>
        <w:spacing w:before="0" w:beforeAutospacing="0" w:after="0" w:afterAutospacing="0" w:line="33" w:lineRule="atLeast"/>
        <w:ind w:firstLine="420"/>
        <w:jc w:val="center"/>
        <w:rPr>
          <w:rFonts w:ascii="方正小标宋简体" w:eastAsia="方正小标宋简体"/>
          <w:b/>
          <w:color w:val="333333"/>
          <w:sz w:val="36"/>
          <w:szCs w:val="36"/>
        </w:rPr>
      </w:pPr>
      <w:r>
        <w:rPr>
          <w:rFonts w:hint="eastAsia" w:ascii="方正小标宋简体" w:eastAsia="方正小标宋简体"/>
          <w:b/>
          <w:color w:val="333333"/>
          <w:sz w:val="36"/>
          <w:szCs w:val="36"/>
          <w:shd w:val="clear" w:color="auto" w:fill="FFFFFF"/>
        </w:rPr>
        <w:t>第四部分名词解释</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3.特殊违法犯罪人员收治经费是指有下列情形之一的，需要送湘潭市特殊违法犯罪人员医疗收治所予以收治产生的费用（2.5万元/人/半年）：</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（1）因患艾滋病等严重传染病或其他严重疾病以及吞食异物不适宜在看守所羁押，案件重大、有社会危害的犯罪嫌疑人或刑事犯罪被告人。</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（2）因患艾滋病或吞食异物不适宜在戒毒所执行强制隔离戒毒，有严重社会危害的戒毒人员。</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rPr>
      </w:pPr>
      <w:r>
        <w:rPr>
          <w:rFonts w:hint="eastAsia" w:ascii="仿宋_GB2312" w:eastAsia="仿宋_GB2312"/>
          <w:color w:val="333333"/>
          <w:sz w:val="32"/>
          <w:szCs w:val="32"/>
          <w:shd w:val="clear" w:color="auto" w:fill="FFFFFF"/>
        </w:rPr>
        <w:t>4.禁毒社会化工作经费是指由于毒品问题已经成为国际社会一大公害（至2021年底，我县有在册吸毒人员3155人），吸毒严重地损害人的身体健康，特别是损害青少年的身心健康，影响下一代青少年的健康成长，毒品滥用引发大量侵财案件和极端暴力凶杀案事件，影响社会的稳定，导致艾滋病的急剧蔓延。因此要利用多种形式开展毒品预防教育，充分利用春节、禁毒宣传月、中小学开学等节点，深入开展禁毒宣传“六进”活动，通过制作宣传栏（展板）、悬挂横幅、张贴挂图、散发资料、播放警示片、群发短信、微博微信等形式开展禁毒宣传活动，对在册吸毒人员，社区戒毒（康复）人员进行帮教管理等产生的费用。</w:t>
      </w:r>
    </w:p>
    <w:p>
      <w:pPr>
        <w:pStyle w:val="14"/>
        <w:jc w:val="center"/>
        <w:rPr>
          <w:rFonts w:ascii="方正小标宋简体" w:hAnsi="宋体" w:eastAsia="方正小标宋简体" w:cs="Times New Roman"/>
          <w:sz w:val="36"/>
          <w:szCs w:val="36"/>
        </w:rPr>
      </w:pPr>
      <w:r>
        <w:rPr>
          <w:rFonts w:hint="eastAsia" w:ascii="方正小标宋简体" w:hAnsi="宋体" w:eastAsia="方正小标宋简体" w:cs="宋体"/>
          <w:sz w:val="36"/>
          <w:szCs w:val="36"/>
        </w:rPr>
        <w:t>第五部分附件</w:t>
      </w:r>
    </w:p>
    <w:p>
      <w:pPr>
        <w:pStyle w:val="18"/>
        <w:spacing w:line="600" w:lineRule="exact"/>
        <w:jc w:val="center"/>
        <w:rPr>
          <w:rFonts w:ascii="楷体_GB2312" w:hAnsi="黑体" w:eastAsia="楷体_GB2312" w:cs="Times New Roman"/>
          <w:b/>
          <w:bCs/>
          <w:kern w:val="0"/>
          <w:sz w:val="32"/>
          <w:szCs w:val="32"/>
        </w:rPr>
      </w:pPr>
      <w:r>
        <w:rPr>
          <w:rFonts w:hint="eastAsia" w:ascii="楷体_GB2312" w:hAnsi="黑体" w:eastAsia="楷体_GB2312" w:cs="仿宋"/>
          <w:b/>
          <w:bCs/>
          <w:kern w:val="0"/>
          <w:sz w:val="32"/>
          <w:szCs w:val="32"/>
        </w:rPr>
        <w:t>湘潭县禁毒办2021年</w:t>
      </w:r>
      <w:r>
        <w:rPr>
          <w:rFonts w:hint="eastAsia" w:ascii="楷体_GB2312" w:hAnsi="黑体" w:eastAsia="楷体_GB2312" w:cs="宋体"/>
          <w:b/>
          <w:bCs/>
          <w:kern w:val="0"/>
          <w:sz w:val="32"/>
          <w:szCs w:val="32"/>
        </w:rPr>
        <w:t>部门整体支出绩效自评报告</w:t>
      </w:r>
    </w:p>
    <w:p>
      <w:pPr>
        <w:pStyle w:val="6"/>
        <w:spacing w:before="150" w:beforeAutospacing="0" w:after="0" w:afterAutospacing="0" w:line="600" w:lineRule="exact"/>
        <w:ind w:firstLine="640" w:firstLineChars="200"/>
        <w:rPr>
          <w:rFonts w:ascii="仿宋_GB2312" w:hAnsi="仿宋" w:eastAsia="仿宋_GB2312"/>
          <w:sz w:val="32"/>
          <w:szCs w:val="32"/>
        </w:rPr>
      </w:pPr>
      <w:r>
        <w:rPr>
          <w:rFonts w:hint="eastAsia" w:ascii="仿宋_GB2312" w:hAnsi="仿宋" w:eastAsia="仿宋_GB2312" w:cs="微软雅黑"/>
          <w:color w:val="000000"/>
          <w:sz w:val="32"/>
          <w:szCs w:val="32"/>
          <w:shd w:val="clear" w:color="auto" w:fill="FFFFFF"/>
        </w:rPr>
        <w:t>为进一步规范财</w:t>
      </w:r>
      <w:r>
        <w:rPr>
          <w:rFonts w:hint="eastAsia" w:ascii="仿宋_GB2312" w:hAnsi="仿宋" w:eastAsia="仿宋_GB2312" w:cs="微软雅黑"/>
          <w:color w:val="333333"/>
          <w:sz w:val="32"/>
          <w:szCs w:val="32"/>
          <w:shd w:val="clear" w:color="auto" w:fill="FFFFFF"/>
        </w:rPr>
        <w:t>政资金管理，牢固树立预算绩效理念，强化支出责任，提高财政资金使用效益，</w:t>
      </w:r>
      <w:r>
        <w:rPr>
          <w:rFonts w:hint="eastAsia" w:ascii="仿宋_GB2312" w:hAnsi="仿宋" w:eastAsia="仿宋_GB2312"/>
          <w:sz w:val="32"/>
          <w:szCs w:val="32"/>
        </w:rPr>
        <w:t>根据县财政局</w:t>
      </w:r>
      <w:r>
        <w:rPr>
          <w:rFonts w:hint="eastAsia" w:ascii="仿宋_GB2312" w:hAnsi="仿宋" w:eastAsia="仿宋_GB2312"/>
          <w:snapToGrid w:val="0"/>
          <w:sz w:val="32"/>
          <w:szCs w:val="32"/>
        </w:rPr>
        <w:t>《</w:t>
      </w:r>
      <w:r>
        <w:rPr>
          <w:rFonts w:hint="eastAsia" w:ascii="仿宋_GB2312" w:hAnsi="仿宋" w:eastAsia="仿宋_GB2312"/>
          <w:sz w:val="32"/>
          <w:szCs w:val="32"/>
        </w:rPr>
        <w:t>湘潭县2022年度预算绩效管理工作方案</w:t>
      </w:r>
      <w:r>
        <w:rPr>
          <w:rFonts w:hint="eastAsia" w:ascii="仿宋_GB2312" w:hAnsi="仿宋" w:eastAsia="仿宋_GB2312"/>
          <w:snapToGrid w:val="0"/>
          <w:sz w:val="32"/>
          <w:szCs w:val="32"/>
        </w:rPr>
        <w:t>》</w:t>
      </w:r>
      <w:r>
        <w:rPr>
          <w:rFonts w:hint="eastAsia" w:ascii="仿宋_GB2312" w:hAnsi="仿宋" w:eastAsia="仿宋_GB2312"/>
          <w:sz w:val="32"/>
          <w:szCs w:val="32"/>
        </w:rPr>
        <w:t>要求，</w:t>
      </w:r>
      <w:r>
        <w:rPr>
          <w:rFonts w:hint="eastAsia" w:ascii="仿宋_GB2312" w:hAnsi="仿宋" w:eastAsia="仿宋_GB2312" w:cs="微软雅黑"/>
          <w:color w:val="333333"/>
          <w:sz w:val="32"/>
          <w:szCs w:val="32"/>
          <w:shd w:val="clear" w:color="auto" w:fill="FFFFFF"/>
        </w:rPr>
        <w:t>我办认真组织进行了2021年度部门整体支出预算绩效自评工作，现将整体支出绩效评价情况报告如下：</w:t>
      </w:r>
    </w:p>
    <w:p>
      <w:pPr>
        <w:pStyle w:val="18"/>
        <w:spacing w:line="600" w:lineRule="exact"/>
        <w:ind w:firstLine="640" w:firstLineChars="200"/>
        <w:rPr>
          <w:rFonts w:ascii="仿宋_GB2312" w:hAnsi="黑体" w:eastAsia="仿宋_GB2312" w:cs="Times New Roman"/>
          <w:b/>
          <w:kern w:val="0"/>
          <w:sz w:val="32"/>
          <w:szCs w:val="32"/>
        </w:rPr>
      </w:pPr>
      <w:r>
        <w:rPr>
          <w:rFonts w:hint="eastAsia" w:ascii="楷体_GB2312" w:hAnsi="黑体" w:eastAsia="楷体_GB2312" w:cs="黑体"/>
          <w:b/>
          <w:kern w:val="0"/>
          <w:sz w:val="32"/>
          <w:szCs w:val="32"/>
        </w:rPr>
        <w:t>一、单位基本情况</w:t>
      </w:r>
      <w:r>
        <w:rPr>
          <w:rFonts w:hint="eastAsia" w:ascii="仿宋_GB2312" w:hAnsi="黑体" w:eastAsia="仿宋_GB2312" w:cs="黑体"/>
          <w:b/>
          <w:kern w:val="0"/>
          <w:sz w:val="32"/>
          <w:szCs w:val="32"/>
        </w:rPr>
        <w:t>：</w:t>
      </w:r>
    </w:p>
    <w:p>
      <w:pPr>
        <w:widowControl/>
        <w:shd w:val="clear" w:color="auto" w:fill="FFFFFF"/>
        <w:spacing w:line="420" w:lineRule="atLeast"/>
        <w:ind w:firstLine="640" w:firstLineChars="200"/>
        <w:jc w:val="left"/>
        <w:rPr>
          <w:rFonts w:ascii="仿宋_GB2312" w:hAnsi="仿宋" w:eastAsia="仿宋_GB2312" w:cs="仿宋_GB2312"/>
          <w:b/>
          <w:bCs/>
          <w:sz w:val="32"/>
          <w:szCs w:val="32"/>
        </w:rPr>
      </w:pPr>
      <w:r>
        <w:rPr>
          <w:rFonts w:hint="eastAsia" w:ascii="仿宋_GB2312" w:hAnsi="仿宋" w:eastAsia="仿宋_GB2312" w:cs="仿宋_GB2312"/>
          <w:b/>
          <w:bCs/>
          <w:sz w:val="32"/>
          <w:szCs w:val="32"/>
        </w:rPr>
        <w:t>（一）编制情况</w:t>
      </w:r>
    </w:p>
    <w:p>
      <w:pPr>
        <w:widowControl/>
        <w:shd w:val="clear" w:color="auto" w:fill="FFFFFF"/>
        <w:spacing w:line="420" w:lineRule="atLeast"/>
        <w:ind w:firstLine="640" w:firstLineChars="200"/>
        <w:jc w:val="left"/>
        <w:rPr>
          <w:rFonts w:ascii="仿宋_GB2312" w:hAnsi="仿宋" w:eastAsia="仿宋_GB2312" w:cs="宋体"/>
          <w:color w:val="333333"/>
          <w:kern w:val="0"/>
          <w:sz w:val="32"/>
          <w:szCs w:val="32"/>
        </w:rPr>
      </w:pPr>
      <w:r>
        <w:rPr>
          <w:rFonts w:hint="eastAsia" w:ascii="仿宋_GB2312" w:hAnsi="仿宋" w:eastAsia="仿宋_GB2312"/>
          <w:sz w:val="32"/>
          <w:szCs w:val="32"/>
        </w:rPr>
        <w:t>我办为全额拨款行政单位，编制数5人，暂</w:t>
      </w:r>
      <w:r>
        <w:rPr>
          <w:rFonts w:hint="eastAsia" w:ascii="仿宋_GB2312" w:hAnsi="仿宋" w:eastAsia="仿宋_GB2312" w:cs="宋体"/>
          <w:color w:val="333333"/>
          <w:kern w:val="0"/>
          <w:sz w:val="32"/>
          <w:szCs w:val="32"/>
        </w:rPr>
        <w:t>系其他行政单位抽调人员。</w:t>
      </w:r>
    </w:p>
    <w:p>
      <w:pPr>
        <w:widowControl/>
        <w:shd w:val="clear" w:color="auto" w:fill="FFFFFF"/>
        <w:spacing w:line="420" w:lineRule="atLeast"/>
        <w:ind w:firstLine="640" w:firstLineChars="200"/>
        <w:jc w:val="left"/>
        <w:rPr>
          <w:rFonts w:ascii="仿宋_GB2312" w:hAnsi="仿宋" w:eastAsia="仿宋_GB2312" w:cs="仿宋_GB2312"/>
          <w:b/>
          <w:bCs/>
          <w:sz w:val="32"/>
          <w:szCs w:val="32"/>
        </w:rPr>
      </w:pPr>
      <w:r>
        <w:rPr>
          <w:rFonts w:hint="eastAsia" w:ascii="仿宋_GB2312" w:hAnsi="仿宋" w:eastAsia="仿宋_GB2312" w:cs="仿宋_GB2312"/>
          <w:b/>
          <w:bCs/>
          <w:sz w:val="32"/>
          <w:szCs w:val="32"/>
        </w:rPr>
        <w:t>（二）主要职能</w:t>
      </w:r>
    </w:p>
    <w:p>
      <w:pPr>
        <w:ind w:firstLine="640" w:firstLineChars="200"/>
        <w:rPr>
          <w:rFonts w:ascii="仿宋_GB2312" w:hAnsi="仿宋" w:eastAsia="仿宋_GB2312"/>
          <w:sz w:val="32"/>
          <w:szCs w:val="32"/>
        </w:rPr>
      </w:pPr>
      <w:r>
        <w:rPr>
          <w:rFonts w:hint="eastAsia" w:ascii="仿宋_GB2312" w:hAnsi="仿宋" w:eastAsia="仿宋_GB2312"/>
          <w:sz w:val="32"/>
          <w:szCs w:val="32"/>
        </w:rPr>
        <w:t>1.开展多种形式的禁毒宣传，加强毒品预防教育；</w:t>
      </w:r>
    </w:p>
    <w:p>
      <w:pPr>
        <w:ind w:firstLine="640" w:firstLineChars="200"/>
        <w:rPr>
          <w:rFonts w:ascii="仿宋_GB2312" w:hAnsi="仿宋" w:eastAsia="仿宋_GB2312"/>
          <w:sz w:val="32"/>
          <w:szCs w:val="32"/>
        </w:rPr>
      </w:pPr>
      <w:r>
        <w:rPr>
          <w:rFonts w:hint="eastAsia" w:ascii="仿宋_GB2312" w:hAnsi="仿宋" w:eastAsia="仿宋_GB2312"/>
          <w:sz w:val="32"/>
          <w:szCs w:val="32"/>
        </w:rPr>
        <w:t>2.组织开展禁毒调查研究，及时分析禁毒工作面临的形势以及存在的突出问题提出对策建议；</w:t>
      </w:r>
    </w:p>
    <w:p>
      <w:pPr>
        <w:ind w:firstLine="640" w:firstLineChars="200"/>
        <w:rPr>
          <w:rFonts w:ascii="仿宋_GB2312" w:hAnsi="仿宋" w:eastAsia="仿宋_GB2312"/>
          <w:sz w:val="32"/>
          <w:szCs w:val="32"/>
        </w:rPr>
      </w:pPr>
      <w:r>
        <w:rPr>
          <w:rFonts w:hint="eastAsia" w:ascii="仿宋_GB2312" w:hAnsi="仿宋" w:eastAsia="仿宋_GB2312"/>
          <w:sz w:val="32"/>
          <w:szCs w:val="32"/>
        </w:rPr>
        <w:t>3.组织、协调、指导、督查禁毒办成员单位和各乡镇的工作，动员社会各方面力量共同参与禁毒工作；</w:t>
      </w:r>
    </w:p>
    <w:p>
      <w:pPr>
        <w:ind w:firstLine="640" w:firstLineChars="200"/>
        <w:rPr>
          <w:rFonts w:ascii="仿宋_GB2312" w:hAnsi="仿宋" w:eastAsia="仿宋_GB2312"/>
          <w:sz w:val="32"/>
          <w:szCs w:val="32"/>
        </w:rPr>
      </w:pPr>
      <w:r>
        <w:rPr>
          <w:rFonts w:hint="eastAsia" w:ascii="仿宋_GB2312" w:hAnsi="仿宋" w:eastAsia="仿宋_GB2312"/>
          <w:sz w:val="32"/>
          <w:szCs w:val="32"/>
        </w:rPr>
        <w:t>4.依照相关规定，对社会面吸毒人员开展分类分级评估，网格化服务管理，组织乡镇、村（社区）执行社区戒毒（康复）工作，会同相关职能部门对社区戒毒（康复）人员进行监督管理。</w:t>
      </w:r>
    </w:p>
    <w:p>
      <w:pPr>
        <w:ind w:firstLine="640" w:firstLineChars="200"/>
        <w:rPr>
          <w:rFonts w:ascii="仿宋_GB2312" w:hAnsi="仿宋" w:eastAsia="仿宋_GB2312"/>
          <w:sz w:val="32"/>
          <w:szCs w:val="32"/>
        </w:rPr>
      </w:pPr>
      <w:r>
        <w:rPr>
          <w:rFonts w:hint="eastAsia" w:ascii="仿宋_GB2312" w:hAnsi="仿宋" w:eastAsia="仿宋_GB2312"/>
          <w:sz w:val="32"/>
          <w:szCs w:val="32"/>
        </w:rPr>
        <w:t>5.对特殊违法犯罪人员收治和吸毒取异人员进行监督管理。</w:t>
      </w:r>
    </w:p>
    <w:p>
      <w:pPr>
        <w:pStyle w:val="18"/>
        <w:spacing w:line="600" w:lineRule="exact"/>
        <w:ind w:firstLine="640" w:firstLineChars="200"/>
        <w:rPr>
          <w:rFonts w:ascii="楷体_GB2312" w:hAnsi="黑体" w:eastAsia="楷体_GB2312" w:cs="Times New Roman"/>
          <w:b/>
          <w:kern w:val="0"/>
          <w:sz w:val="32"/>
          <w:szCs w:val="32"/>
        </w:rPr>
      </w:pPr>
      <w:r>
        <w:rPr>
          <w:rFonts w:hint="eastAsia" w:ascii="楷体_GB2312" w:hAnsi="黑体" w:eastAsia="楷体_GB2312" w:cs="黑体"/>
          <w:b/>
          <w:kern w:val="0"/>
          <w:sz w:val="32"/>
          <w:szCs w:val="32"/>
        </w:rPr>
        <w:t>二、绩效评价工作情况</w:t>
      </w:r>
    </w:p>
    <w:p>
      <w:pPr>
        <w:pStyle w:val="18"/>
        <w:spacing w:line="600" w:lineRule="exact"/>
        <w:ind w:firstLine="640" w:firstLineChars="200"/>
        <w:rPr>
          <w:rFonts w:ascii="仿宋_GB2312" w:hAnsi="仿宋" w:eastAsia="仿宋_GB2312" w:cs="Times New Roman"/>
          <w:b/>
          <w:bCs/>
          <w:kern w:val="0"/>
          <w:sz w:val="32"/>
          <w:szCs w:val="32"/>
        </w:rPr>
      </w:pPr>
      <w:r>
        <w:rPr>
          <w:rFonts w:hint="eastAsia" w:ascii="仿宋_GB2312" w:hAnsi="仿宋" w:eastAsia="仿宋_GB2312" w:cs="仿宋_GB2312"/>
          <w:b/>
          <w:bCs/>
          <w:kern w:val="0"/>
          <w:sz w:val="32"/>
          <w:szCs w:val="32"/>
        </w:rPr>
        <w:t>（一）绩效评价工作组织情况</w:t>
      </w:r>
    </w:p>
    <w:p>
      <w:pPr>
        <w:pStyle w:val="19"/>
        <w:tabs>
          <w:tab w:val="left" w:pos="2160"/>
        </w:tabs>
        <w:spacing w:line="600" w:lineRule="exact"/>
        <w:ind w:firstLine="640" w:firstLineChars="200"/>
        <w:rPr>
          <w:rFonts w:ascii="仿宋_GB2312" w:hAnsi="仿宋" w:eastAsia="仿宋_GB2312" w:cs="Times New Roman"/>
          <w:kern w:val="0"/>
          <w:sz w:val="32"/>
          <w:szCs w:val="32"/>
        </w:rPr>
      </w:pPr>
      <w:r>
        <w:rPr>
          <w:rFonts w:hint="eastAsia" w:ascii="仿宋_GB2312" w:hAnsi="仿宋" w:eastAsia="仿宋_GB2312"/>
          <w:kern w:val="0"/>
          <w:sz w:val="32"/>
          <w:szCs w:val="32"/>
        </w:rPr>
        <w:t>根据县财政局</w:t>
      </w:r>
      <w:r>
        <w:rPr>
          <w:rFonts w:hint="eastAsia" w:ascii="仿宋_GB2312" w:hAnsi="仿宋" w:eastAsia="仿宋_GB2312"/>
          <w:snapToGrid w:val="0"/>
          <w:kern w:val="0"/>
          <w:sz w:val="32"/>
          <w:szCs w:val="32"/>
        </w:rPr>
        <w:t>《</w:t>
      </w:r>
      <w:r>
        <w:rPr>
          <w:rFonts w:hint="eastAsia" w:ascii="仿宋_GB2312" w:hAnsi="仿宋" w:eastAsia="仿宋_GB2312"/>
          <w:sz w:val="32"/>
          <w:szCs w:val="32"/>
        </w:rPr>
        <w:t>湘潭县2022年度预算绩效管理工作方案</w:t>
      </w:r>
      <w:r>
        <w:rPr>
          <w:rFonts w:hint="eastAsia" w:ascii="仿宋_GB2312" w:hAnsi="仿宋" w:eastAsia="仿宋_GB2312"/>
          <w:snapToGrid w:val="0"/>
          <w:kern w:val="0"/>
          <w:sz w:val="32"/>
          <w:szCs w:val="32"/>
        </w:rPr>
        <w:t>》</w:t>
      </w:r>
      <w:r>
        <w:rPr>
          <w:rFonts w:hint="eastAsia" w:ascii="仿宋_GB2312" w:hAnsi="仿宋" w:eastAsia="仿宋_GB2312" w:cs="仿宋_GB2312"/>
          <w:kern w:val="0"/>
          <w:sz w:val="32"/>
          <w:szCs w:val="32"/>
        </w:rPr>
        <w:t>要求，我办对本单位2021的整体支出进行了绩效评价。</w:t>
      </w:r>
    </w:p>
    <w:p>
      <w:pPr>
        <w:pStyle w:val="19"/>
        <w:spacing w:line="60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1.前期准备：学习领会相关文件和会议精神安排布置前期准备工作，确定</w:t>
      </w:r>
      <w:r>
        <w:rPr>
          <w:rFonts w:hint="eastAsia" w:ascii="仿宋_GB2312" w:hAnsi="仿宋" w:eastAsia="仿宋_GB2312" w:cs="仿宋_GB2312"/>
          <w:color w:val="000000"/>
          <w:sz w:val="32"/>
          <w:szCs w:val="32"/>
          <w:shd w:val="clear" w:color="auto" w:fill="FFFFFF"/>
        </w:rPr>
        <w:t>禁毒办</w:t>
      </w:r>
      <w:r>
        <w:rPr>
          <w:rFonts w:hint="eastAsia" w:ascii="仿宋_GB2312" w:hAnsi="仿宋" w:eastAsia="仿宋_GB2312" w:cs="宋体"/>
          <w:color w:val="000000"/>
          <w:kern w:val="0"/>
          <w:sz w:val="32"/>
          <w:szCs w:val="32"/>
        </w:rPr>
        <w:t>2021年度</w:t>
      </w:r>
      <w:r>
        <w:rPr>
          <w:rFonts w:hint="eastAsia" w:ascii="仿宋_GB2312" w:hAnsi="仿宋" w:eastAsia="仿宋_GB2312"/>
          <w:kern w:val="0"/>
          <w:sz w:val="32"/>
          <w:szCs w:val="32"/>
        </w:rPr>
        <w:t>部门整体支出和</w:t>
      </w:r>
      <w:r>
        <w:rPr>
          <w:rFonts w:hint="eastAsia" w:ascii="仿宋_GB2312" w:hAnsi="仿宋" w:eastAsia="仿宋_GB2312" w:cs="仿宋_GB2312"/>
          <w:color w:val="000000"/>
          <w:sz w:val="32"/>
          <w:szCs w:val="32"/>
          <w:shd w:val="clear" w:color="auto" w:fill="FFFFFF"/>
        </w:rPr>
        <w:t>1个专项支出为</w:t>
      </w:r>
      <w:r>
        <w:rPr>
          <w:rFonts w:hint="eastAsia" w:ascii="仿宋_GB2312" w:hAnsi="仿宋" w:eastAsia="仿宋_GB2312" w:cs="仿宋_GB2312"/>
          <w:kern w:val="0"/>
          <w:sz w:val="32"/>
          <w:szCs w:val="32"/>
        </w:rPr>
        <w:t>绩效评价项目。通过制定工作方案，结合实际认真分析，完成了此次评价工作。根据财政支出绩效评价的有关规定，遵循“科学、规范、客观、公正”的原则形成本绩效评价报告。</w:t>
      </w:r>
    </w:p>
    <w:p>
      <w:pPr>
        <w:pStyle w:val="19"/>
        <w:spacing w:line="60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2.组织实施：制定《湘潭县禁毒委员会办公室2021年部门整体支出绩效自评实施方案》。根据2021年县禁毒工作要点，确定项目的具体指标、项目效益，填报《部门整体支出绩效申报表》。根据</w:t>
      </w:r>
      <w:r>
        <w:rPr>
          <w:rFonts w:hint="eastAsia" w:ascii="仿宋_GB2312" w:hAnsi="仿宋" w:eastAsia="仿宋_GB2312"/>
          <w:kern w:val="0"/>
          <w:sz w:val="32"/>
          <w:szCs w:val="32"/>
        </w:rPr>
        <w:t>《湘潭县财政局关于做好2021年度财政支出绩效自评工作的通知》</w:t>
      </w:r>
      <w:r>
        <w:rPr>
          <w:rFonts w:hint="eastAsia" w:ascii="仿宋_GB2312" w:hAnsi="仿宋" w:eastAsia="仿宋_GB2312" w:cs="仿宋_GB2312"/>
          <w:kern w:val="0"/>
          <w:sz w:val="32"/>
          <w:szCs w:val="32"/>
        </w:rPr>
        <w:t>进行自评，撰写自评报告。</w:t>
      </w:r>
    </w:p>
    <w:p>
      <w:pPr>
        <w:pStyle w:val="18"/>
        <w:spacing w:line="600" w:lineRule="exact"/>
        <w:ind w:firstLine="640" w:firstLineChars="200"/>
        <w:rPr>
          <w:rFonts w:ascii="仿宋_GB2312" w:hAnsi="仿宋" w:eastAsia="仿宋_GB2312" w:cs="仿宋_GB2312"/>
          <w:b/>
          <w:bCs/>
          <w:kern w:val="0"/>
          <w:sz w:val="32"/>
          <w:szCs w:val="32"/>
        </w:rPr>
      </w:pPr>
      <w:r>
        <w:rPr>
          <w:rFonts w:hint="eastAsia" w:ascii="仿宋_GB2312" w:hAnsi="仿宋" w:eastAsia="仿宋_GB2312" w:cs="仿宋_GB2312"/>
          <w:b/>
          <w:bCs/>
          <w:kern w:val="0"/>
          <w:sz w:val="32"/>
          <w:szCs w:val="32"/>
        </w:rPr>
        <w:t>（二）部门自评情况</w:t>
      </w:r>
    </w:p>
    <w:p>
      <w:pPr>
        <w:pStyle w:val="19"/>
        <w:spacing w:line="600" w:lineRule="exact"/>
        <w:ind w:firstLine="640" w:firstLineChars="200"/>
        <w:rPr>
          <w:rFonts w:ascii="仿宋_GB2312" w:hAnsi="仿宋" w:eastAsia="仿宋_GB2312" w:cs="仿宋_GB2312"/>
          <w:kern w:val="0"/>
          <w:sz w:val="32"/>
          <w:szCs w:val="32"/>
        </w:rPr>
      </w:pPr>
      <w:r>
        <w:rPr>
          <w:rFonts w:hint="eastAsia" w:ascii="仿宋_GB2312" w:hAnsi="仿宋" w:eastAsia="仿宋_GB2312" w:cs="仿宋_GB2312"/>
          <w:kern w:val="0"/>
          <w:sz w:val="32"/>
          <w:szCs w:val="32"/>
        </w:rPr>
        <w:t>我办成立了绩效自评工作领导小组，由禁毒办主任汤炳奎任组长，禁毒办专职副主任刘杰任副组长，禁毒办其余人员任成员。根据工作计划对项目绩效进行审核、完善，通过核查、汇总、综合分析，形成绩效评价报告，并根据部门整体支出绩效评价指标体系自评打分为93分，自评定等次为优。</w:t>
      </w:r>
    </w:p>
    <w:p>
      <w:pPr>
        <w:numPr>
          <w:ilvl w:val="0"/>
          <w:numId w:val="1"/>
        </w:numPr>
        <w:spacing w:line="600" w:lineRule="exact"/>
        <w:ind w:firstLine="640" w:firstLineChars="200"/>
        <w:rPr>
          <w:rFonts w:ascii="仿宋_GB2312" w:hAnsi="仿宋" w:eastAsia="仿宋_GB2312"/>
          <w:b/>
          <w:bCs/>
          <w:sz w:val="32"/>
          <w:szCs w:val="32"/>
        </w:rPr>
      </w:pPr>
      <w:r>
        <w:rPr>
          <w:rFonts w:hint="eastAsia" w:ascii="仿宋_GB2312" w:hAnsi="仿宋" w:eastAsia="仿宋_GB2312"/>
          <w:b/>
          <w:bCs/>
          <w:sz w:val="32"/>
          <w:szCs w:val="32"/>
        </w:rPr>
        <w:t>支出管理情况</w:t>
      </w:r>
    </w:p>
    <w:p>
      <w:pPr>
        <w:spacing w:line="600" w:lineRule="exact"/>
        <w:ind w:firstLine="640" w:firstLineChars="200"/>
        <w:rPr>
          <w:rFonts w:ascii="仿宋_GB2312" w:hAnsi="仿宋" w:eastAsia="仿宋_GB2312"/>
          <w:b/>
          <w:bCs/>
          <w:sz w:val="32"/>
          <w:szCs w:val="32"/>
          <w:highlight w:val="yellow"/>
        </w:rPr>
      </w:pPr>
      <w:r>
        <w:rPr>
          <w:rFonts w:hint="eastAsia" w:ascii="仿宋_GB2312" w:hAnsi="仿宋" w:eastAsia="仿宋_GB2312"/>
          <w:sz w:val="32"/>
          <w:szCs w:val="32"/>
        </w:rPr>
        <w:t>1.成立禁毒办专项经费支出领导小组，进一步完善了</w:t>
      </w:r>
      <w:r>
        <w:rPr>
          <w:rFonts w:hint="eastAsia" w:ascii="仿宋_GB2312" w:hAnsi="仿宋" w:eastAsia="仿宋_GB2312" w:cs="宋体"/>
          <w:kern w:val="0"/>
          <w:sz w:val="32"/>
          <w:szCs w:val="32"/>
        </w:rPr>
        <w:t>专项资金管理办法等管理制度。</w:t>
      </w:r>
    </w:p>
    <w:p>
      <w:pPr>
        <w:pStyle w:val="18"/>
        <w:spacing w:line="6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kern w:val="0"/>
          <w:sz w:val="32"/>
          <w:szCs w:val="32"/>
        </w:rPr>
        <w:t>2.以“科学调度、厉行节约”为工作目标。充分利用我办现有的资源，科学调度，合理调剂，以最小的支出，取得最佳的效果，把办公费、差旅费、公务接待费作为节支工作的重点，严格按制度进行。同时加大对</w:t>
      </w:r>
      <w:r>
        <w:rPr>
          <w:rFonts w:hint="eastAsia" w:ascii="仿宋_GB2312" w:hAnsi="仿宋" w:eastAsia="仿宋_GB2312" w:cs="宋体"/>
          <w:bCs/>
          <w:kern w:val="0"/>
          <w:sz w:val="32"/>
          <w:szCs w:val="32"/>
        </w:rPr>
        <w:t>“三公”经费管理</w:t>
      </w:r>
      <w:r>
        <w:rPr>
          <w:rFonts w:hint="eastAsia" w:ascii="仿宋_GB2312" w:hAnsi="仿宋" w:eastAsia="仿宋_GB2312" w:cs="宋体"/>
          <w:kern w:val="0"/>
          <w:sz w:val="32"/>
          <w:szCs w:val="32"/>
        </w:rPr>
        <w:t>，</w:t>
      </w:r>
      <w:r>
        <w:rPr>
          <w:rFonts w:hint="eastAsia" w:ascii="仿宋_GB2312" w:hAnsi="仿宋" w:eastAsia="仿宋_GB2312"/>
          <w:sz w:val="32"/>
          <w:szCs w:val="32"/>
        </w:rPr>
        <w:t>根据中央</w:t>
      </w:r>
      <w:bookmarkStart w:id="3" w:name="_GoBack"/>
      <w:bookmarkEnd w:id="3"/>
      <w:r>
        <w:rPr>
          <w:rFonts w:hint="eastAsia" w:ascii="仿宋_GB2312" w:hAnsi="仿宋" w:eastAsia="仿宋_GB2312"/>
          <w:sz w:val="32"/>
          <w:szCs w:val="32"/>
        </w:rPr>
        <w:t>八项规定、积极控制“三公”经费，降低行政运行成本，勤俭节约。</w:t>
      </w:r>
      <w:r>
        <w:rPr>
          <w:rFonts w:hint="eastAsia" w:ascii="仿宋_GB2312" w:hAnsi="仿宋" w:eastAsia="仿宋_GB2312" w:cs="宋体"/>
          <w:color w:val="000000"/>
          <w:kern w:val="0"/>
          <w:sz w:val="32"/>
          <w:szCs w:val="32"/>
        </w:rPr>
        <w:t>通过对财政资金的有效管理和运用，有力保障了我办各项职能工作的正常开展。</w:t>
      </w:r>
    </w:p>
    <w:p>
      <w:pPr>
        <w:pStyle w:val="18"/>
        <w:spacing w:line="600" w:lineRule="exact"/>
        <w:ind w:firstLine="640" w:firstLineChars="200"/>
        <w:rPr>
          <w:rFonts w:ascii="仿宋_GB2312" w:hAnsi="仿宋" w:eastAsia="仿宋_GB2312" w:cs="Times New Roman"/>
          <w:b/>
          <w:sz w:val="32"/>
          <w:szCs w:val="32"/>
        </w:rPr>
      </w:pPr>
      <w:r>
        <w:rPr>
          <w:rFonts w:hint="eastAsia" w:ascii="仿宋_GB2312" w:hAnsi="仿宋" w:eastAsia="仿宋_GB2312" w:cs="仿宋"/>
          <w:b/>
          <w:bCs/>
          <w:color w:val="333333"/>
          <w:sz w:val="32"/>
          <w:szCs w:val="32"/>
          <w:shd w:val="clear" w:color="auto" w:fill="FFFFFF"/>
        </w:rPr>
        <w:t>（四）</w:t>
      </w:r>
      <w:r>
        <w:rPr>
          <w:rFonts w:hint="eastAsia" w:ascii="仿宋_GB2312" w:hAnsi="仿宋" w:eastAsia="仿宋_GB2312" w:cs="黑体"/>
          <w:b/>
          <w:bCs/>
          <w:kern w:val="0"/>
          <w:sz w:val="32"/>
          <w:szCs w:val="32"/>
        </w:rPr>
        <w:t>部</w:t>
      </w:r>
      <w:r>
        <w:rPr>
          <w:rFonts w:hint="eastAsia" w:ascii="仿宋_GB2312" w:hAnsi="仿宋" w:eastAsia="仿宋_GB2312" w:cs="黑体"/>
          <w:b/>
          <w:kern w:val="0"/>
          <w:sz w:val="32"/>
          <w:szCs w:val="32"/>
        </w:rPr>
        <w:t>门年度预算执行情况</w:t>
      </w:r>
    </w:p>
    <w:p>
      <w:pPr>
        <w:widowControl/>
        <w:shd w:val="clear" w:color="auto" w:fill="FFFFFF"/>
        <w:spacing w:line="420" w:lineRule="atLeast"/>
        <w:ind w:firstLine="640" w:firstLineChars="200"/>
        <w:jc w:val="left"/>
        <w:rPr>
          <w:rFonts w:ascii="仿宋_GB2312" w:hAnsi="仿宋" w:eastAsia="仿宋_GB2312" w:cs="宋体"/>
          <w:color w:val="333333"/>
          <w:kern w:val="0"/>
          <w:sz w:val="32"/>
          <w:szCs w:val="32"/>
        </w:rPr>
      </w:pPr>
      <w:r>
        <w:rPr>
          <w:rFonts w:hint="eastAsia" w:ascii="仿宋_GB2312" w:hAnsi="仿宋" w:eastAsia="仿宋_GB2312"/>
          <w:sz w:val="32"/>
          <w:szCs w:val="32"/>
        </w:rPr>
        <w:t>1.2020</w:t>
      </w:r>
      <w:r>
        <w:rPr>
          <w:rFonts w:hint="eastAsia" w:ascii="仿宋_GB2312" w:hAnsi="仿宋" w:eastAsia="仿宋_GB2312" w:cs="宋体"/>
          <w:sz w:val="32"/>
          <w:szCs w:val="32"/>
        </w:rPr>
        <w:t>年部门年初预算安排为</w:t>
      </w:r>
      <w:r>
        <w:rPr>
          <w:rFonts w:hint="eastAsia" w:ascii="仿宋_GB2312" w:hAnsi="仿宋" w:eastAsia="仿宋_GB2312" w:cs="宋体"/>
          <w:color w:val="333333"/>
          <w:kern w:val="0"/>
          <w:sz w:val="32"/>
          <w:szCs w:val="32"/>
        </w:rPr>
        <w:t>550000元。</w:t>
      </w:r>
    </w:p>
    <w:p>
      <w:pPr>
        <w:widowControl/>
        <w:shd w:val="clear" w:color="auto" w:fill="FFFFFF"/>
        <w:spacing w:line="420" w:lineRule="atLeast"/>
        <w:ind w:firstLine="640" w:firstLineChars="200"/>
        <w:jc w:val="left"/>
        <w:rPr>
          <w:rFonts w:ascii="仿宋_GB2312" w:hAnsi="仿宋" w:eastAsia="仿宋_GB2312" w:cs="黑体"/>
          <w:sz w:val="32"/>
          <w:szCs w:val="32"/>
        </w:rPr>
      </w:pPr>
      <w:r>
        <w:rPr>
          <w:rFonts w:hint="eastAsia" w:ascii="仿宋_GB2312" w:hAnsi="仿宋" w:eastAsia="仿宋_GB2312" w:cs="黑体"/>
          <w:sz w:val="32"/>
          <w:szCs w:val="32"/>
        </w:rPr>
        <w:t>2.预算执行情况</w:t>
      </w:r>
    </w:p>
    <w:p>
      <w:pPr>
        <w:widowControl/>
        <w:shd w:val="clear" w:color="auto" w:fill="FFFFFF"/>
        <w:spacing w:line="420" w:lineRule="atLeast"/>
        <w:ind w:firstLine="640" w:firstLineChars="200"/>
        <w:jc w:val="left"/>
        <w:rPr>
          <w:rFonts w:ascii="仿宋_GB2312" w:hAnsi="仿宋" w:eastAsia="仿宋_GB2312" w:cs="宋体"/>
          <w:color w:val="333333"/>
          <w:kern w:val="0"/>
          <w:sz w:val="32"/>
          <w:szCs w:val="32"/>
        </w:rPr>
      </w:pPr>
      <w:r>
        <w:rPr>
          <w:rFonts w:hint="eastAsia" w:ascii="仿宋_GB2312" w:hAnsi="仿宋" w:eastAsia="仿宋_GB2312"/>
          <w:sz w:val="32"/>
          <w:szCs w:val="32"/>
        </w:rPr>
        <w:t>2021年度收入总额</w:t>
      </w:r>
      <w:r>
        <w:rPr>
          <w:rFonts w:hint="eastAsia" w:ascii="仿宋_GB2312" w:hAnsi="仿宋" w:eastAsia="仿宋_GB2312"/>
          <w:color w:val="000000"/>
          <w:sz w:val="32"/>
          <w:szCs w:val="32"/>
        </w:rPr>
        <w:t>1095806.71</w:t>
      </w:r>
      <w:r>
        <w:rPr>
          <w:rFonts w:hint="eastAsia" w:ascii="仿宋_GB2312" w:hAnsi="仿宋" w:eastAsia="仿宋_GB2312" w:cs="宋体"/>
          <w:color w:val="333333"/>
          <w:kern w:val="0"/>
          <w:sz w:val="32"/>
          <w:szCs w:val="32"/>
        </w:rPr>
        <w:t>。</w:t>
      </w:r>
    </w:p>
    <w:p>
      <w:pPr>
        <w:widowControl/>
        <w:shd w:val="clear" w:color="auto" w:fill="FFFFFF"/>
        <w:spacing w:line="420" w:lineRule="atLeast"/>
        <w:ind w:firstLine="640" w:firstLineChars="200"/>
        <w:jc w:val="left"/>
        <w:rPr>
          <w:rFonts w:ascii="仿宋_GB2312" w:hAnsi="仿宋" w:eastAsia="仿宋_GB2312" w:cs="宋体"/>
          <w:color w:val="000000"/>
          <w:kern w:val="0"/>
          <w:sz w:val="32"/>
          <w:szCs w:val="32"/>
        </w:rPr>
      </w:pPr>
      <w:r>
        <w:rPr>
          <w:rFonts w:hint="eastAsia" w:ascii="仿宋_GB2312" w:hAnsi="仿宋" w:eastAsia="仿宋_GB2312"/>
          <w:color w:val="000000"/>
          <w:sz w:val="32"/>
          <w:szCs w:val="32"/>
        </w:rPr>
        <w:t>2021年度支出总额1095806.71</w:t>
      </w:r>
      <w:r>
        <w:rPr>
          <w:rFonts w:hint="eastAsia" w:ascii="仿宋_GB2312" w:hAnsi="仿宋" w:eastAsia="仿宋_GB2312" w:cs="宋体"/>
          <w:color w:val="000000"/>
          <w:kern w:val="0"/>
          <w:sz w:val="32"/>
          <w:szCs w:val="32"/>
        </w:rPr>
        <w:t>元。</w:t>
      </w:r>
    </w:p>
    <w:p>
      <w:pPr>
        <w:spacing w:line="600" w:lineRule="exact"/>
        <w:ind w:firstLine="627" w:firstLineChars="196"/>
        <w:rPr>
          <w:rFonts w:ascii="楷体_GB2312" w:hAnsi="黑体" w:eastAsia="楷体_GB2312" w:cs="黑体"/>
          <w:b/>
          <w:color w:val="333333"/>
          <w:sz w:val="32"/>
          <w:szCs w:val="32"/>
        </w:rPr>
      </w:pPr>
      <w:r>
        <w:rPr>
          <w:rFonts w:hint="eastAsia" w:ascii="楷体_GB2312" w:hAnsi="黑体" w:eastAsia="楷体_GB2312" w:cs="黑体"/>
          <w:b/>
          <w:color w:val="333333"/>
          <w:sz w:val="32"/>
          <w:szCs w:val="32"/>
        </w:rPr>
        <w:t>三、部门整体绩效完成情况</w:t>
      </w:r>
    </w:p>
    <w:p>
      <w:pPr>
        <w:pStyle w:val="6"/>
        <w:spacing w:before="0" w:beforeAutospacing="0" w:after="0" w:afterAutospacing="0" w:line="560" w:lineRule="atLeast"/>
        <w:ind w:left="150" w:right="150" w:firstLine="645"/>
        <w:rPr>
          <w:rFonts w:ascii="仿宋_GB2312" w:hAnsi="仿宋" w:eastAsia="仿宋_GB2312" w:cs="Arial"/>
          <w:sz w:val="32"/>
          <w:szCs w:val="32"/>
        </w:rPr>
      </w:pPr>
      <w:r>
        <w:rPr>
          <w:rFonts w:hint="eastAsia" w:ascii="仿宋_GB2312" w:hAnsi="仿宋" w:eastAsia="仿宋_GB2312"/>
          <w:sz w:val="32"/>
          <w:szCs w:val="32"/>
        </w:rPr>
        <w:t>2021年，在县委、县政府的正确领导和上级禁毒办、公安部门的大力支持下，湘潭县在规范禁毒管理、加强禁毒宣传等方面取得实效</w:t>
      </w:r>
      <w:r>
        <w:rPr>
          <w:rFonts w:hint="eastAsia" w:ascii="仿宋_GB2312" w:hAnsi="仿宋" w:eastAsia="仿宋_GB2312" w:cs="Arial"/>
          <w:sz w:val="32"/>
          <w:szCs w:val="32"/>
        </w:rPr>
        <w:t>取得显著成效</w:t>
      </w:r>
      <w:r>
        <w:rPr>
          <w:rFonts w:hint="eastAsia" w:ascii="仿宋_GB2312" w:hAnsi="仿宋" w:eastAsia="仿宋_GB2312"/>
          <w:sz w:val="32"/>
          <w:szCs w:val="32"/>
        </w:rPr>
        <w:t>。</w:t>
      </w:r>
    </w:p>
    <w:p>
      <w:pPr>
        <w:pStyle w:val="6"/>
        <w:spacing w:before="0" w:beforeAutospacing="0" w:after="0" w:afterAutospacing="0" w:line="560" w:lineRule="atLeast"/>
        <w:ind w:right="150" w:firstLine="627" w:firstLineChars="196"/>
        <w:rPr>
          <w:rFonts w:ascii="仿宋_GB2312" w:hAnsi="仿宋" w:eastAsia="仿宋_GB2312" w:cs="Arial"/>
          <w:sz w:val="32"/>
          <w:szCs w:val="32"/>
        </w:rPr>
      </w:pPr>
      <w:r>
        <w:rPr>
          <w:rStyle w:val="9"/>
          <w:rFonts w:hint="eastAsia" w:ascii="仿宋_GB2312" w:hAnsi="仿宋" w:eastAsia="仿宋_GB2312" w:cs="Arial"/>
          <w:sz w:val="32"/>
          <w:szCs w:val="32"/>
        </w:rPr>
        <w:t>（一）狠抓宣传</w:t>
      </w:r>
      <w:r>
        <w:fldChar w:fldCharType="begin"/>
      </w:r>
      <w:r>
        <w:instrText xml:space="preserve"> HYPERLINK "http://m.haoword.com/gongwen/jiaoyu/" \t "http://m.haoword.com/gongzuozongjie/qitazongjie/_blank" </w:instrText>
      </w:r>
      <w:r>
        <w:fldChar w:fldCharType="separate"/>
      </w:r>
      <w:r>
        <w:rPr>
          <w:rStyle w:val="10"/>
          <w:rFonts w:hint="eastAsia" w:ascii="仿宋_GB2312" w:hAnsi="仿宋" w:eastAsia="仿宋_GB2312" w:cs="Arial"/>
          <w:b/>
          <w:sz w:val="32"/>
          <w:szCs w:val="32"/>
        </w:rPr>
        <w:t>教育</w:t>
      </w:r>
      <w:r>
        <w:rPr>
          <w:rStyle w:val="10"/>
          <w:rFonts w:hint="eastAsia" w:ascii="仿宋_GB2312" w:hAnsi="仿宋" w:eastAsia="仿宋_GB2312" w:cs="Arial"/>
          <w:b/>
          <w:sz w:val="32"/>
          <w:szCs w:val="32"/>
        </w:rPr>
        <w:fldChar w:fldCharType="end"/>
      </w:r>
      <w:r>
        <w:rPr>
          <w:rStyle w:val="9"/>
          <w:rFonts w:hint="eastAsia" w:ascii="仿宋_GB2312" w:hAnsi="仿宋" w:eastAsia="仿宋_GB2312" w:cs="Arial"/>
          <w:sz w:val="32"/>
          <w:szCs w:val="32"/>
        </w:rPr>
        <w:t>，强化源头预防</w:t>
      </w:r>
    </w:p>
    <w:p>
      <w:pPr>
        <w:shd w:val="clear" w:color="auto" w:fill="FFFFFF"/>
        <w:spacing w:line="560" w:lineRule="atLeast"/>
        <w:ind w:firstLine="640" w:firstLineChars="200"/>
        <w:rPr>
          <w:rFonts w:ascii="仿宋_GB2312" w:hAnsi="仿宋" w:eastAsia="仿宋_GB2312"/>
          <w:kern w:val="0"/>
          <w:sz w:val="32"/>
          <w:szCs w:val="32"/>
        </w:rPr>
      </w:pPr>
      <w:r>
        <w:rPr>
          <w:rFonts w:hint="eastAsia" w:ascii="仿宋_GB2312" w:hAnsi="仿宋" w:eastAsia="仿宋_GB2312" w:cs="Arial"/>
          <w:sz w:val="32"/>
          <w:szCs w:val="32"/>
        </w:rPr>
        <w:t>一</w:t>
      </w:r>
      <w:r>
        <w:rPr>
          <w:rStyle w:val="9"/>
          <w:rFonts w:hint="eastAsia" w:ascii="仿宋_GB2312" w:hAnsi="仿宋" w:eastAsia="仿宋_GB2312" w:cs="Arial"/>
          <w:sz w:val="32"/>
          <w:szCs w:val="32"/>
        </w:rPr>
        <w:t>是农村禁毒宣传有声有色。</w:t>
      </w:r>
      <w:r>
        <w:rPr>
          <w:rFonts w:hint="eastAsia" w:ascii="仿宋_GB2312" w:hAnsi="仿宋" w:eastAsia="仿宋_GB2312"/>
          <w:kern w:val="0"/>
          <w:sz w:val="32"/>
          <w:szCs w:val="32"/>
        </w:rPr>
        <w:t>年初我县继续实行“两毒并禁”方针，借助预防新冠病毒的宣传契机大力开展农村禁毒集中宣传教育活动，全面补齐农村禁毒宣传短板，织牢织密识毒、拒毒防线。组织开展了“春季流动课堂”今冬明春集中禁毒宣传活动、六月禁毒宣传月、通过张贴海报、横幅、标语、发放禁毒宣传手册，利用村村响、宣传车等播放禁毒知识，利用各单位、门店、企业、社区村等电子显示屏滚动播出禁毒标语，利用有线电视播出禁毒知识或标语，利用微信群发布禁毒小视频等方式精准传播禁毒知识，全面浓厚创建全国禁毒示范城市氛围。</w:t>
      </w:r>
      <w:r>
        <w:rPr>
          <w:rStyle w:val="9"/>
          <w:rFonts w:hint="eastAsia" w:ascii="仿宋_GB2312" w:hAnsi="仿宋" w:eastAsia="仿宋_GB2312" w:cs="Arial"/>
          <w:sz w:val="32"/>
          <w:szCs w:val="32"/>
        </w:rPr>
        <w:t>二是“6.27”工程稳步推进。</w:t>
      </w:r>
      <w:r>
        <w:rPr>
          <w:rFonts w:hint="eastAsia" w:ascii="仿宋_GB2312" w:hAnsi="仿宋" w:eastAsia="仿宋_GB2312"/>
          <w:kern w:val="0"/>
          <w:sz w:val="32"/>
          <w:szCs w:val="32"/>
        </w:rPr>
        <w:t>以提升在校学生“认知毒品、抵制毒品”能力为主线，健全中、小学毒品预防教育工作组织机构,加强了校园禁毒宣传,做深做实毒品预防教育“6.27工程”。8月份，组织全县新进初、高中学生到禁毒教育基地参观学习禁毒知识。10月份，组织全县50000多名中小学生参加2021年全国青少年禁毒知识竞赛活动，确保在校学生100%在青骄第二课堂注册、参学，100%参加全国青少年禁毒知识竞赛，全面增强青少年识毒、拒毒、防毒意识。12月组织了全县6000多名党政机关干部参与省禁毒办举办的“我是答题王”禁毒答题活动。</w:t>
      </w:r>
      <w:r>
        <w:rPr>
          <w:rStyle w:val="9"/>
          <w:rFonts w:hint="eastAsia" w:ascii="仿宋_GB2312" w:hAnsi="仿宋" w:eastAsia="仿宋_GB2312" w:cs="Arial"/>
          <w:sz w:val="32"/>
          <w:szCs w:val="32"/>
        </w:rPr>
        <w:t>三是禁毒宣传月活动高潮迭起。</w:t>
      </w:r>
      <w:r>
        <w:rPr>
          <w:rFonts w:hint="eastAsia" w:ascii="仿宋_GB2312" w:hAnsi="仿宋" w:eastAsia="仿宋_GB2312"/>
          <w:kern w:val="0"/>
          <w:sz w:val="32"/>
          <w:szCs w:val="32"/>
        </w:rPr>
        <w:t>6月全民禁毒宣传月期间，全县各级各部门开展主题宣传活动40余场次，提升了全民参与禁毒的积极性。6月22日，县禁毒办联合县总工会</w:t>
      </w:r>
      <w:r>
        <w:rPr>
          <w:rFonts w:hint="eastAsia" w:ascii="仿宋_GB2312" w:hAnsi="宋体" w:eastAsia="仿宋_GB2312" w:cs="宋体"/>
          <w:sz w:val="32"/>
          <w:szCs w:val="32"/>
        </w:rPr>
        <w:t>在湘潭县全民健身中心举行以“健康人生、绿色无毒”为主题的禁毒宣传活动暨首届“莲乡禁毒杯”乒乓球健身赛启动仪式。活动由县公安局政委黄健主持，县委常委、县政法委书记、县禁毒委副主任为本次活动致辞。</w:t>
      </w:r>
      <w:r>
        <w:rPr>
          <w:rFonts w:hint="eastAsia" w:ascii="仿宋_GB2312" w:eastAsia="仿宋_GB2312" w:cs="Times New Roman"/>
          <w:sz w:val="32"/>
          <w:szCs w:val="32"/>
        </w:rPr>
        <w:t>6月26日国际禁毒日当天，县禁毒办组织易俗河镇政府及社区、易俗河派出所等禁毒志愿者在易俗河镇同丰广场开展禁毒宣传，县禁毒办主任汤炳葵、县公安局副局长谢伟出席了此次宣传活动。</w:t>
      </w:r>
      <w:r>
        <w:rPr>
          <w:rFonts w:hint="eastAsia" w:ascii="仿宋_GB2312" w:hAnsi="仿宋" w:eastAsia="仿宋_GB2312"/>
          <w:kern w:val="0"/>
          <w:sz w:val="32"/>
          <w:szCs w:val="32"/>
        </w:rPr>
        <w:t>活动中展出展板25块，发放《禁毒宣传进家庭》等宣传折页600余份。发动全县各乡镇开展各具特色的禁毒宣传专项行动，如易俗河镇开展“我是大富豪”禁毒知识答题活动，杨嘉桥镇开展了禁毒主题党日活动，乌石禁毒加红色旅游活动等。</w:t>
      </w:r>
    </w:p>
    <w:p>
      <w:pPr>
        <w:pStyle w:val="6"/>
        <w:spacing w:before="0" w:beforeAutospacing="0" w:after="0" w:afterAutospacing="0" w:line="560" w:lineRule="atLeast"/>
        <w:ind w:left="150" w:right="150" w:firstLine="645"/>
        <w:rPr>
          <w:rStyle w:val="9"/>
          <w:rFonts w:ascii="仿宋_GB2312" w:hAnsi="仿宋" w:eastAsia="仿宋_GB2312" w:cs="Arial"/>
          <w:sz w:val="32"/>
          <w:szCs w:val="32"/>
        </w:rPr>
      </w:pPr>
      <w:r>
        <w:rPr>
          <w:rStyle w:val="9"/>
          <w:rFonts w:hint="eastAsia" w:ascii="仿宋_GB2312" w:hAnsi="仿宋" w:eastAsia="仿宋_GB2312" w:cs="Arial"/>
          <w:sz w:val="32"/>
          <w:szCs w:val="32"/>
        </w:rPr>
        <w:t>（二）狠抓禁吸戒毒，强化帮扶管控</w:t>
      </w:r>
    </w:p>
    <w:p>
      <w:pPr>
        <w:widowControl/>
        <w:shd w:val="clear" w:color="auto" w:fill="FFFFFF"/>
        <w:spacing w:line="560" w:lineRule="exact"/>
        <w:ind w:firstLine="675" w:firstLineChars="211"/>
        <w:outlineLvl w:val="2"/>
        <w:rPr>
          <w:rFonts w:ascii="仿宋_GB2312" w:hAnsi="仿宋" w:eastAsia="仿宋_GB2312"/>
          <w:sz w:val="32"/>
          <w:szCs w:val="32"/>
        </w:rPr>
      </w:pPr>
      <w:r>
        <w:rPr>
          <w:rStyle w:val="9"/>
          <w:rFonts w:hint="eastAsia" w:ascii="仿宋_GB2312" w:hAnsi="仿宋" w:eastAsia="仿宋_GB2312" w:cs="Arial"/>
          <w:sz w:val="32"/>
          <w:szCs w:val="32"/>
        </w:rPr>
        <w:t>一是切实加强分类评估管控</w:t>
      </w:r>
      <w:r>
        <w:rPr>
          <w:rFonts w:hint="eastAsia" w:ascii="仿宋_GB2312" w:hAnsi="仿宋" w:eastAsia="仿宋_GB2312" w:cs="Arial"/>
          <w:sz w:val="32"/>
          <w:szCs w:val="32"/>
        </w:rPr>
        <w:t>。</w:t>
      </w:r>
      <w:r>
        <w:rPr>
          <w:rFonts w:hint="eastAsia" w:ascii="仿宋_GB2312" w:hAnsi="仿宋" w:eastAsia="仿宋_GB2312"/>
          <w:sz w:val="32"/>
          <w:szCs w:val="32"/>
        </w:rPr>
        <w:t>县委政法委搭建了“</w:t>
      </w:r>
      <w:r>
        <w:rPr>
          <w:rFonts w:hint="eastAsia" w:ascii="仿宋_GB2312" w:hAnsi="仿宋" w:eastAsia="仿宋_GB2312"/>
          <w:kern w:val="0"/>
          <w:sz w:val="32"/>
          <w:szCs w:val="32"/>
        </w:rPr>
        <w:t>湘潭县综合信息化平台”，</w:t>
      </w:r>
      <w:r>
        <w:rPr>
          <w:rFonts w:hint="eastAsia" w:ascii="仿宋_GB2312" w:hAnsi="仿宋" w:eastAsia="仿宋_GB2312"/>
          <w:sz w:val="32"/>
          <w:szCs w:val="32"/>
        </w:rPr>
        <w:t>吸毒人员已100%纳入网格管理。</w:t>
      </w:r>
      <w:r>
        <w:rPr>
          <w:rFonts w:hint="eastAsia" w:ascii="仿宋_GB2312" w:hAnsi="仿宋" w:eastAsia="仿宋_GB2312" w:cs="Arial"/>
          <w:sz w:val="32"/>
          <w:szCs w:val="32"/>
        </w:rPr>
        <w:t>深入开展社会面吸毒人员风险分类评估管控，对辖区吸毒人员全面开展走访，了解吸毒人员的思想动态及工作、生活情况等，并按程序进行分类评估审批,</w:t>
      </w:r>
      <w:r>
        <w:rPr>
          <w:rFonts w:hint="eastAsia" w:ascii="仿宋_GB2312" w:hAnsi="仿宋" w:eastAsia="仿宋_GB2312"/>
          <w:sz w:val="32"/>
          <w:szCs w:val="32"/>
        </w:rPr>
        <w:t>对13名高风险人员和7名有精神病史吸毒史人员，逐人制定管控方案，建立管控小组，做到100%管控到位。</w:t>
      </w:r>
      <w:r>
        <w:rPr>
          <w:rStyle w:val="9"/>
          <w:rFonts w:hint="eastAsia" w:ascii="仿宋_GB2312" w:hAnsi="仿宋" w:eastAsia="仿宋_GB2312" w:cs="Arial"/>
          <w:sz w:val="32"/>
          <w:szCs w:val="32"/>
        </w:rPr>
        <w:t>二是“8.31”工程全面推进。</w:t>
      </w:r>
      <w:r>
        <w:rPr>
          <w:rFonts w:hint="eastAsia" w:ascii="仿宋_GB2312" w:hAnsi="仿宋" w:eastAsia="仿宋_GB2312" w:cs="Arial"/>
          <w:sz w:val="32"/>
          <w:szCs w:val="32"/>
        </w:rPr>
        <w:t>认真落实社区戒毒（康复）管理工作规定，强化综治、司法、民政、人社、卫健、</w:t>
      </w:r>
      <w:r>
        <w:fldChar w:fldCharType="begin"/>
      </w:r>
      <w:r>
        <w:instrText xml:space="preserve"> HYPERLINK "http://m.haoword.com/gongwen/fulian/" \t "http://m.haoword.com/gongzuozongjie/qitazongjie/_blank" </w:instrText>
      </w:r>
      <w:r>
        <w:fldChar w:fldCharType="separate"/>
      </w:r>
      <w:r>
        <w:rPr>
          <w:rStyle w:val="10"/>
          <w:rFonts w:hint="eastAsia" w:ascii="仿宋_GB2312" w:hAnsi="仿宋" w:eastAsia="仿宋_GB2312" w:cs="Arial"/>
          <w:sz w:val="32"/>
          <w:szCs w:val="32"/>
        </w:rPr>
        <w:t>妇联</w:t>
      </w:r>
      <w:r>
        <w:rPr>
          <w:rStyle w:val="10"/>
          <w:rFonts w:hint="eastAsia" w:ascii="仿宋_GB2312" w:hAnsi="仿宋" w:eastAsia="仿宋_GB2312" w:cs="Arial"/>
          <w:sz w:val="32"/>
          <w:szCs w:val="32"/>
        </w:rPr>
        <w:fldChar w:fldCharType="end"/>
      </w:r>
      <w:r>
        <w:rPr>
          <w:rFonts w:hint="eastAsia" w:ascii="仿宋_GB2312" w:hAnsi="仿宋" w:eastAsia="仿宋_GB2312" w:cs="Arial"/>
          <w:sz w:val="32"/>
          <w:szCs w:val="32"/>
        </w:rPr>
        <w:t>对社区戒毒（康复）人员的“五位一体”动态管控；全年全县执行社区戒毒（康复）人员388人、执行率99%。全县在册吸毒人员戒毒三年未复吸人员已达1998人。</w:t>
      </w:r>
      <w:r>
        <w:rPr>
          <w:rStyle w:val="9"/>
          <w:rFonts w:hint="eastAsia" w:ascii="仿宋_GB2312" w:hAnsi="仿宋" w:eastAsia="仿宋_GB2312" w:cs="Arial"/>
          <w:sz w:val="32"/>
          <w:szCs w:val="32"/>
        </w:rPr>
        <w:t>三是开展了毛发毒品检测工作。</w:t>
      </w:r>
      <w:r>
        <w:rPr>
          <w:rFonts w:hint="eastAsia" w:ascii="仿宋_GB2312" w:hAnsi="仿宋" w:eastAsia="仿宋_GB2312"/>
          <w:sz w:val="32"/>
          <w:szCs w:val="32"/>
        </w:rPr>
        <w:t>组织开展了对重点驾驶人的毛发检测。县禁毒办组织公安局、交通局、县教育局“一客一危一校”驾驶员进行了毛发检测。400余名驾驶员的吗啡类、甲基苯丙胺、氯胺酮类检测均呈阴性。行动中，禁毒民警发放禁毒知识宣传手册400余份。驾驶员提交了《湘潭县重点车辆驾驶人安全驾驶排查表》，承诺不毒驾，确保安全驾驶。下半年，对全县公、检、法、司和县委政法委的干部、职工和临聘人员共2499人开展了毛发验毒检测，全面呈阴性，未发现呈阳性人员。</w:t>
      </w:r>
    </w:p>
    <w:p>
      <w:pPr>
        <w:spacing w:line="520" w:lineRule="exact"/>
        <w:ind w:firstLine="640" w:firstLineChars="200"/>
        <w:rPr>
          <w:rFonts w:ascii="仿宋_GB2312" w:hAnsi="仿宋" w:eastAsia="仿宋_GB2312"/>
          <w:b/>
          <w:color w:val="000000"/>
          <w:kern w:val="0"/>
          <w:sz w:val="32"/>
          <w:szCs w:val="32"/>
        </w:rPr>
      </w:pPr>
      <w:r>
        <w:rPr>
          <w:rFonts w:hint="eastAsia" w:ascii="仿宋_GB2312" w:hAnsi="仿宋" w:eastAsia="仿宋_GB2312"/>
          <w:b/>
          <w:color w:val="000000"/>
          <w:kern w:val="0"/>
          <w:sz w:val="32"/>
          <w:szCs w:val="32"/>
        </w:rPr>
        <w:t>（三）强化特殊违法犯罪人员收治工作和</w:t>
      </w:r>
      <w:r>
        <w:rPr>
          <w:rFonts w:hint="eastAsia" w:ascii="仿宋_GB2312" w:hAnsi="仿宋" w:eastAsia="仿宋_GB2312"/>
          <w:b/>
          <w:sz w:val="32"/>
          <w:szCs w:val="32"/>
        </w:rPr>
        <w:t>施行手术取出罪犯体内异物工作</w:t>
      </w:r>
    </w:p>
    <w:p>
      <w:pPr>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市委、市政府《关于进一步加强禁毒工作的实施意见》（潭市发[2015年]12号）、市政府《常务会议纪要》（第38次）、市政法委《收治工作2016年第1次联席会议纪要》的要求、《湘潭市公安局特殊违法犯罪人员收治办法》（试行）规定，特殊违法犯罪人员收治在收治中心产生的费用由被收治人员所属县（市、区）财政负担，先缴费后收人。2021年</w:t>
      </w:r>
      <w:r>
        <w:rPr>
          <w:rFonts w:hint="eastAsia" w:ascii="仿宋_GB2312" w:hAnsi="仿宋" w:eastAsia="仿宋_GB2312"/>
          <w:color w:val="000000"/>
          <w:sz w:val="32"/>
          <w:szCs w:val="32"/>
        </w:rPr>
        <w:t>，我县已将7人次特殊违法犯罪人员送湘潭市收治中心收治。另外，根据中共湘潭</w:t>
      </w:r>
      <w:r>
        <w:rPr>
          <w:rFonts w:hint="eastAsia" w:ascii="仿宋_GB2312" w:hAnsi="仿宋" w:eastAsia="仿宋_GB2312"/>
          <w:sz w:val="32"/>
          <w:szCs w:val="32"/>
        </w:rPr>
        <w:t>县委政法委员会关于印发《关于施行手术取出罪犯体内异物的意见》的通知（潭政法发[2016]2号），对于体内有异物或故意吞食异物的罪犯一律先送县看守所收押，办案机关应在五个工作日内负责组织手术取出异物工作，并委托湘潭县人民医院为承担对吞食异物罪犯施行手术取出异物的定点单位。2021年，我县施行取异手术或重病治疗的罪犯嫌疑人共计4人。</w:t>
      </w:r>
    </w:p>
    <w:p>
      <w:pPr>
        <w:spacing w:line="520" w:lineRule="exact"/>
        <w:ind w:firstLine="640" w:firstLineChars="200"/>
        <w:rPr>
          <w:rFonts w:ascii="仿宋_GB2312" w:hAnsi="仿宋" w:eastAsia="仿宋_GB2312"/>
          <w:b/>
          <w:sz w:val="32"/>
          <w:szCs w:val="32"/>
        </w:rPr>
      </w:pPr>
      <w:r>
        <w:rPr>
          <w:rFonts w:hint="eastAsia" w:ascii="仿宋_GB2312" w:hAnsi="仿宋" w:eastAsia="仿宋_GB2312"/>
          <w:b/>
          <w:sz w:val="32"/>
          <w:szCs w:val="32"/>
        </w:rPr>
        <w:t>(四)对社区戒毒、社区康复人员进行管理</w:t>
      </w:r>
    </w:p>
    <w:p>
      <w:pPr>
        <w:ind w:firstLine="640" w:firstLineChars="200"/>
        <w:rPr>
          <w:rFonts w:ascii="仿宋_GB2312" w:hAnsi="仿宋" w:eastAsia="仿宋_GB2312"/>
          <w:sz w:val="32"/>
          <w:szCs w:val="32"/>
        </w:rPr>
      </w:pPr>
      <w:r>
        <w:rPr>
          <w:rFonts w:hint="eastAsia" w:ascii="仿宋_GB2312" w:hAnsi="仿宋" w:eastAsia="仿宋_GB2312"/>
          <w:sz w:val="32"/>
          <w:szCs w:val="32"/>
        </w:rPr>
        <w:t>依照相关规定，对社区戒毒（康复）人员实施管理，会同相关职能部门对社区戒毒（康复）人员进行监督管理，全年共监督管理社区戒毒社区康复人员388人。</w:t>
      </w:r>
    </w:p>
    <w:p>
      <w:pPr>
        <w:pStyle w:val="6"/>
        <w:shd w:val="clear" w:color="auto" w:fill="FFFFFF"/>
        <w:spacing w:before="0" w:beforeAutospacing="0" w:after="0" w:afterAutospacing="0" w:line="33" w:lineRule="atLeast"/>
        <w:ind w:firstLine="420"/>
        <w:jc w:val="both"/>
        <w:rPr>
          <w:rFonts w:ascii="仿宋_GB2312" w:hAnsi="仿宋" w:eastAsia="仿宋_GB2312" w:cs="Calibri"/>
          <w:b/>
          <w:kern w:val="2"/>
          <w:sz w:val="32"/>
          <w:szCs w:val="32"/>
        </w:rPr>
      </w:pPr>
      <w:r>
        <w:rPr>
          <w:rFonts w:hint="eastAsia" w:ascii="仿宋_GB2312" w:hAnsi="仿宋" w:eastAsia="仿宋_GB2312" w:cs="Calibri"/>
          <w:b/>
          <w:kern w:val="2"/>
          <w:sz w:val="32"/>
          <w:szCs w:val="32"/>
        </w:rPr>
        <w:t>（五）重点绩效目标</w:t>
      </w:r>
    </w:p>
    <w:p>
      <w:pPr>
        <w:pStyle w:val="6"/>
        <w:shd w:val="clear" w:color="auto" w:fill="FFFFFF"/>
        <w:spacing w:before="0" w:beforeAutospacing="0" w:after="0" w:afterAutospacing="0" w:line="33" w:lineRule="atLeast"/>
        <w:ind w:firstLine="420"/>
        <w:jc w:val="both"/>
        <w:rPr>
          <w:rFonts w:ascii="仿宋_GB2312" w:eastAsia="仿宋_GB2312"/>
          <w:color w:val="333333"/>
          <w:sz w:val="32"/>
          <w:szCs w:val="32"/>
          <w:shd w:val="clear" w:color="auto" w:fill="FFFFFF"/>
        </w:rPr>
      </w:pPr>
      <w:r>
        <w:rPr>
          <w:rFonts w:hint="eastAsia" w:ascii="仿宋_GB2312" w:eastAsia="仿宋_GB2312"/>
          <w:color w:val="333333"/>
          <w:sz w:val="32"/>
          <w:szCs w:val="32"/>
          <w:shd w:val="clear" w:color="auto" w:fill="FFFFFF"/>
        </w:rPr>
        <w:t>本单位无重点绩效项目。</w:t>
      </w:r>
    </w:p>
    <w:p>
      <w:pPr>
        <w:pStyle w:val="18"/>
        <w:spacing w:line="600" w:lineRule="exact"/>
        <w:ind w:firstLine="640" w:firstLineChars="200"/>
        <w:rPr>
          <w:rFonts w:ascii="楷体_GB2312" w:hAnsi="黑体" w:eastAsia="楷体_GB2312"/>
          <w:b/>
          <w:kern w:val="0"/>
          <w:sz w:val="32"/>
          <w:szCs w:val="32"/>
        </w:rPr>
      </w:pPr>
      <w:r>
        <w:rPr>
          <w:rFonts w:hint="eastAsia" w:ascii="楷体_GB2312" w:hAnsi="黑体" w:eastAsia="楷体_GB2312"/>
          <w:b/>
          <w:kern w:val="0"/>
          <w:sz w:val="32"/>
          <w:szCs w:val="32"/>
        </w:rPr>
        <w:t>四、存在的问题和改进措施</w:t>
      </w:r>
    </w:p>
    <w:p>
      <w:pPr>
        <w:pStyle w:val="18"/>
        <w:spacing w:line="600" w:lineRule="exact"/>
        <w:ind w:firstLine="640" w:firstLineChars="200"/>
        <w:rPr>
          <w:rFonts w:ascii="仿宋_GB2312" w:hAnsi="仿宋" w:eastAsia="仿宋_GB2312" w:cs="仿宋_GB2312"/>
          <w:b/>
          <w:sz w:val="32"/>
          <w:szCs w:val="32"/>
          <w:shd w:val="clear" w:color="auto" w:fill="FFFFFF"/>
        </w:rPr>
      </w:pPr>
      <w:r>
        <w:rPr>
          <w:rFonts w:hint="eastAsia" w:ascii="仿宋_GB2312" w:hAnsi="仿宋" w:eastAsia="仿宋_GB2312" w:cs="仿宋_GB2312"/>
          <w:b/>
          <w:sz w:val="32"/>
          <w:szCs w:val="32"/>
          <w:shd w:val="clear" w:color="auto" w:fill="FFFFFF"/>
        </w:rPr>
        <w:t>（一）存在的问题</w:t>
      </w:r>
    </w:p>
    <w:p>
      <w:pPr>
        <w:pStyle w:val="18"/>
        <w:spacing w:line="600" w:lineRule="exact"/>
        <w:ind w:firstLine="640" w:firstLineChars="200"/>
        <w:rPr>
          <w:rFonts w:ascii="仿宋_GB2312" w:hAnsi="仿宋" w:eastAsia="仿宋_GB2312" w:cs="黑体"/>
          <w:b/>
          <w:kern w:val="0"/>
          <w:sz w:val="32"/>
          <w:szCs w:val="32"/>
        </w:rPr>
      </w:pPr>
      <w:r>
        <w:rPr>
          <w:rFonts w:hint="eastAsia" w:ascii="仿宋_GB2312" w:hAnsi="仿宋" w:eastAsia="仿宋_GB2312" w:cs="仿宋_GB2312"/>
          <w:sz w:val="32"/>
          <w:szCs w:val="32"/>
          <w:shd w:val="clear" w:color="auto" w:fill="FFFFFF"/>
        </w:rPr>
        <w:t>预算编制工作有待进一步细化。预算编制不够明确和细化，导致专项资金的预算调整较大，预算编制的合理性需要提高，预算执行力度还要进一步加强。</w:t>
      </w:r>
    </w:p>
    <w:p>
      <w:pPr>
        <w:pStyle w:val="18"/>
        <w:spacing w:line="600" w:lineRule="exact"/>
        <w:ind w:firstLine="640" w:firstLineChars="200"/>
        <w:rPr>
          <w:rFonts w:ascii="仿宋_GB2312" w:hAnsi="仿宋" w:eastAsia="仿宋_GB2312"/>
          <w:b/>
          <w:sz w:val="32"/>
          <w:szCs w:val="32"/>
        </w:rPr>
      </w:pPr>
      <w:r>
        <w:rPr>
          <w:rFonts w:hint="eastAsia" w:ascii="仿宋_GB2312" w:hAnsi="仿宋" w:eastAsia="仿宋_GB2312"/>
          <w:b/>
          <w:sz w:val="32"/>
          <w:szCs w:val="32"/>
        </w:rPr>
        <w:t>（二）改进的措施</w:t>
      </w:r>
    </w:p>
    <w:p>
      <w:pPr>
        <w:pStyle w:val="6"/>
        <w:spacing w:before="0" w:beforeAutospacing="0" w:after="0" w:afterAutospacing="0" w:line="600" w:lineRule="exact"/>
        <w:ind w:firstLine="576" w:firstLineChars="180"/>
        <w:jc w:val="both"/>
        <w:rPr>
          <w:rFonts w:ascii="仿宋_GB2312" w:hAnsi="仿宋" w:eastAsia="仿宋_GB2312"/>
          <w:color w:val="000000"/>
          <w:sz w:val="32"/>
          <w:szCs w:val="32"/>
        </w:rPr>
      </w:pPr>
      <w:r>
        <w:rPr>
          <w:rFonts w:hint="eastAsia" w:ascii="仿宋_GB2312" w:hAnsi="仿宋" w:eastAsia="仿宋_GB2312"/>
          <w:b/>
          <w:color w:val="333333"/>
          <w:sz w:val="32"/>
          <w:szCs w:val="32"/>
          <w:shd w:val="clear" w:color="auto" w:fill="FFFFFF"/>
        </w:rPr>
        <w:t>1.加强预算绩效管理。</w:t>
      </w:r>
      <w:r>
        <w:rPr>
          <w:rFonts w:hint="eastAsia" w:ascii="仿宋_GB2312" w:hAnsi="仿宋" w:eastAsia="仿宋_GB2312"/>
          <w:color w:val="333333"/>
          <w:sz w:val="32"/>
          <w:szCs w:val="32"/>
          <w:shd w:val="clear" w:color="auto" w:fill="FFFFFF"/>
        </w:rPr>
        <w:t>进一步加强本单位的预算资金管理，减少预算资金使用的随意性，对预算的事前、事中、事后进行全过程控制，加大对预算编制与执行的监督管理力度，提高预算资金使用效率。同时还应提高专项资金责任人员对预算资金使用效益的认识。</w:t>
      </w:r>
    </w:p>
    <w:p>
      <w:pPr>
        <w:pStyle w:val="6"/>
        <w:spacing w:before="0" w:beforeAutospacing="0" w:after="0" w:afterAutospacing="0" w:line="600" w:lineRule="exact"/>
        <w:ind w:firstLine="576" w:firstLineChars="180"/>
        <w:jc w:val="both"/>
        <w:rPr>
          <w:rFonts w:ascii="仿宋_GB2312" w:hAnsi="仿宋" w:eastAsia="仿宋_GB2312"/>
          <w:color w:val="333333"/>
          <w:sz w:val="32"/>
          <w:szCs w:val="32"/>
          <w:shd w:val="clear" w:color="auto" w:fill="FFFFFF"/>
        </w:rPr>
      </w:pPr>
      <w:r>
        <w:rPr>
          <w:rFonts w:hint="eastAsia" w:ascii="仿宋_GB2312" w:hAnsi="仿宋" w:eastAsia="仿宋_GB2312" w:cs="仿宋_GB2312"/>
          <w:b/>
          <w:bCs/>
          <w:sz w:val="32"/>
          <w:szCs w:val="32"/>
          <w:shd w:val="clear" w:color="auto" w:fill="FFFFFF"/>
        </w:rPr>
        <w:t>2.加强财务管理，严格财务审核。</w:t>
      </w:r>
      <w:r>
        <w:rPr>
          <w:rFonts w:hint="eastAsia" w:ascii="仿宋_GB2312" w:hAnsi="仿宋" w:eastAsia="仿宋_GB2312" w:cs="仿宋_GB2312"/>
          <w:sz w:val="32"/>
          <w:szCs w:val="32"/>
          <w:shd w:val="clear" w:color="auto" w:fill="FFFFFF"/>
        </w:rPr>
        <w:t>加强本单位财务管理，健全单位财务管理制度体系，规范单位财务行为，</w:t>
      </w:r>
      <w:r>
        <w:rPr>
          <w:rFonts w:hint="eastAsia" w:ascii="仿宋_GB2312" w:hAnsi="仿宋" w:eastAsia="仿宋_GB2312"/>
          <w:color w:val="333333"/>
          <w:sz w:val="32"/>
          <w:szCs w:val="32"/>
          <w:shd w:val="clear" w:color="auto" w:fill="FFFFFF"/>
        </w:rPr>
        <w:t>对预算外经费严格落实“收支两条线”要求，精细测算支出额度，把需求核准核实，充分发挥财政资金的最大效益。</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BFD91"/>
    <w:multiLevelType w:val="singleLevel"/>
    <w:tmpl w:val="FC7BFD9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hmZDQ2NzliNWExNzkzOTA0NmQwMDljMjI4MmE4NjQifQ=="/>
  </w:docVars>
  <w:rsids>
    <w:rsidRoot w:val="004506F9"/>
    <w:rsid w:val="0002229B"/>
    <w:rsid w:val="00024754"/>
    <w:rsid w:val="000273BD"/>
    <w:rsid w:val="000279BC"/>
    <w:rsid w:val="000415B7"/>
    <w:rsid w:val="00041E3F"/>
    <w:rsid w:val="000557A0"/>
    <w:rsid w:val="00055DAA"/>
    <w:rsid w:val="00061F7B"/>
    <w:rsid w:val="000658A3"/>
    <w:rsid w:val="00074155"/>
    <w:rsid w:val="000746BC"/>
    <w:rsid w:val="00077450"/>
    <w:rsid w:val="000969EB"/>
    <w:rsid w:val="000A3F69"/>
    <w:rsid w:val="000E72C7"/>
    <w:rsid w:val="00103957"/>
    <w:rsid w:val="00152C6D"/>
    <w:rsid w:val="00157B72"/>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41F81"/>
    <w:rsid w:val="00264552"/>
    <w:rsid w:val="00264EF9"/>
    <w:rsid w:val="00265724"/>
    <w:rsid w:val="00272E5C"/>
    <w:rsid w:val="0027426B"/>
    <w:rsid w:val="002E0A30"/>
    <w:rsid w:val="003130C4"/>
    <w:rsid w:val="00313CB7"/>
    <w:rsid w:val="00316C4B"/>
    <w:rsid w:val="0032192B"/>
    <w:rsid w:val="003479BD"/>
    <w:rsid w:val="0037197D"/>
    <w:rsid w:val="003768D5"/>
    <w:rsid w:val="00383885"/>
    <w:rsid w:val="003C47E6"/>
    <w:rsid w:val="003C4FC2"/>
    <w:rsid w:val="00416E61"/>
    <w:rsid w:val="0042790C"/>
    <w:rsid w:val="004506F9"/>
    <w:rsid w:val="00450CF4"/>
    <w:rsid w:val="004717A2"/>
    <w:rsid w:val="00473CA2"/>
    <w:rsid w:val="00473DF3"/>
    <w:rsid w:val="00475595"/>
    <w:rsid w:val="00487911"/>
    <w:rsid w:val="00491741"/>
    <w:rsid w:val="0049506D"/>
    <w:rsid w:val="004E0FA2"/>
    <w:rsid w:val="004E72D6"/>
    <w:rsid w:val="004F2662"/>
    <w:rsid w:val="004F713B"/>
    <w:rsid w:val="00500E5F"/>
    <w:rsid w:val="005122EF"/>
    <w:rsid w:val="0051441A"/>
    <w:rsid w:val="00517C33"/>
    <w:rsid w:val="00523644"/>
    <w:rsid w:val="0054069E"/>
    <w:rsid w:val="00544866"/>
    <w:rsid w:val="005767CC"/>
    <w:rsid w:val="00590D9F"/>
    <w:rsid w:val="00595D26"/>
    <w:rsid w:val="005979D7"/>
    <w:rsid w:val="005A7452"/>
    <w:rsid w:val="005A74E6"/>
    <w:rsid w:val="005B404E"/>
    <w:rsid w:val="005D4D55"/>
    <w:rsid w:val="005E2CFB"/>
    <w:rsid w:val="005F32BD"/>
    <w:rsid w:val="005F3D1C"/>
    <w:rsid w:val="00602440"/>
    <w:rsid w:val="0062378F"/>
    <w:rsid w:val="00641842"/>
    <w:rsid w:val="00651EEC"/>
    <w:rsid w:val="00663566"/>
    <w:rsid w:val="00665D17"/>
    <w:rsid w:val="00691E8C"/>
    <w:rsid w:val="006A22C4"/>
    <w:rsid w:val="006A351B"/>
    <w:rsid w:val="006B0422"/>
    <w:rsid w:val="006C1B53"/>
    <w:rsid w:val="006D7730"/>
    <w:rsid w:val="006E5284"/>
    <w:rsid w:val="006F10EB"/>
    <w:rsid w:val="006F3EB5"/>
    <w:rsid w:val="007023CA"/>
    <w:rsid w:val="00702E34"/>
    <w:rsid w:val="00704395"/>
    <w:rsid w:val="00717621"/>
    <w:rsid w:val="00720FF1"/>
    <w:rsid w:val="00727A53"/>
    <w:rsid w:val="0073736E"/>
    <w:rsid w:val="00787B42"/>
    <w:rsid w:val="007A2E9C"/>
    <w:rsid w:val="007C4539"/>
    <w:rsid w:val="007F0FA1"/>
    <w:rsid w:val="007F3657"/>
    <w:rsid w:val="00812ED5"/>
    <w:rsid w:val="008204F3"/>
    <w:rsid w:val="008277D9"/>
    <w:rsid w:val="0084478C"/>
    <w:rsid w:val="0086638C"/>
    <w:rsid w:val="00891C17"/>
    <w:rsid w:val="008A3E8D"/>
    <w:rsid w:val="009237C4"/>
    <w:rsid w:val="00944C48"/>
    <w:rsid w:val="00950252"/>
    <w:rsid w:val="00967F5D"/>
    <w:rsid w:val="0097198E"/>
    <w:rsid w:val="00997D7A"/>
    <w:rsid w:val="009A0F95"/>
    <w:rsid w:val="009B3ADF"/>
    <w:rsid w:val="009C3B52"/>
    <w:rsid w:val="009D09F6"/>
    <w:rsid w:val="009D2977"/>
    <w:rsid w:val="009E6817"/>
    <w:rsid w:val="009E6E9A"/>
    <w:rsid w:val="00A01D2B"/>
    <w:rsid w:val="00A12AB8"/>
    <w:rsid w:val="00A42218"/>
    <w:rsid w:val="00A70249"/>
    <w:rsid w:val="00A70B02"/>
    <w:rsid w:val="00A71D9F"/>
    <w:rsid w:val="00A92E9F"/>
    <w:rsid w:val="00AD5124"/>
    <w:rsid w:val="00B33BEA"/>
    <w:rsid w:val="00B36887"/>
    <w:rsid w:val="00B407A8"/>
    <w:rsid w:val="00B451FD"/>
    <w:rsid w:val="00B57C9F"/>
    <w:rsid w:val="00B63572"/>
    <w:rsid w:val="00B649CC"/>
    <w:rsid w:val="00B82883"/>
    <w:rsid w:val="00B845B3"/>
    <w:rsid w:val="00B85D8B"/>
    <w:rsid w:val="00BB4A40"/>
    <w:rsid w:val="00BD6C3E"/>
    <w:rsid w:val="00BE3674"/>
    <w:rsid w:val="00C10681"/>
    <w:rsid w:val="00C3049A"/>
    <w:rsid w:val="00C31B1E"/>
    <w:rsid w:val="00C77645"/>
    <w:rsid w:val="00C87642"/>
    <w:rsid w:val="00CA359D"/>
    <w:rsid w:val="00CB6E8B"/>
    <w:rsid w:val="00CC3E93"/>
    <w:rsid w:val="00CC61BD"/>
    <w:rsid w:val="00CE04C3"/>
    <w:rsid w:val="00CE76A0"/>
    <w:rsid w:val="00D145A6"/>
    <w:rsid w:val="00D148C6"/>
    <w:rsid w:val="00D17A8A"/>
    <w:rsid w:val="00D21921"/>
    <w:rsid w:val="00D336B0"/>
    <w:rsid w:val="00D36D21"/>
    <w:rsid w:val="00D415BA"/>
    <w:rsid w:val="00D4194D"/>
    <w:rsid w:val="00D5679D"/>
    <w:rsid w:val="00D644EE"/>
    <w:rsid w:val="00DB44BF"/>
    <w:rsid w:val="00DD06FF"/>
    <w:rsid w:val="00DD5FE9"/>
    <w:rsid w:val="00DF7CF4"/>
    <w:rsid w:val="00E00C7A"/>
    <w:rsid w:val="00E11C1B"/>
    <w:rsid w:val="00E37D6C"/>
    <w:rsid w:val="00E474BB"/>
    <w:rsid w:val="00E55B68"/>
    <w:rsid w:val="00E67BE6"/>
    <w:rsid w:val="00E8641A"/>
    <w:rsid w:val="00E8683C"/>
    <w:rsid w:val="00EA2B72"/>
    <w:rsid w:val="00EB088B"/>
    <w:rsid w:val="00EB6C0C"/>
    <w:rsid w:val="00F25650"/>
    <w:rsid w:val="00F60FCD"/>
    <w:rsid w:val="00F74360"/>
    <w:rsid w:val="00FB462F"/>
    <w:rsid w:val="00FE16FA"/>
    <w:rsid w:val="00FE328A"/>
    <w:rsid w:val="00FE6269"/>
    <w:rsid w:val="284E65ED"/>
    <w:rsid w:val="2DA5620A"/>
    <w:rsid w:val="474B2221"/>
    <w:rsid w:val="4C737C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17"/>
    <w:qFormat/>
    <w:locked/>
    <w:uiPriority w:val="0"/>
    <w:pPr>
      <w:spacing w:before="100" w:beforeAutospacing="1" w:after="100" w:afterAutospacing="1"/>
      <w:jc w:val="left"/>
      <w:outlineLvl w:val="1"/>
    </w:pPr>
    <w:rPr>
      <w:rFonts w:hint="eastAsia" w:ascii="宋体" w:hAnsi="宋体" w:cs="Times New Roman"/>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0"/>
    <w:rPr>
      <w:b/>
      <w:bCs/>
    </w:rPr>
  </w:style>
  <w:style w:type="character" w:styleId="10">
    <w:name w:val="Hyperlink"/>
    <w:basedOn w:val="8"/>
    <w:semiHidden/>
    <w:qFormat/>
    <w:uiPriority w:val="99"/>
    <w:rPr>
      <w:color w:val="auto"/>
      <w:u w:val="none"/>
    </w:rPr>
  </w:style>
  <w:style w:type="character" w:customStyle="1" w:styleId="11">
    <w:name w:val="批注框文本 Char"/>
    <w:basedOn w:val="8"/>
    <w:link w:val="3"/>
    <w:semiHidden/>
    <w:qFormat/>
    <w:locked/>
    <w:uiPriority w:val="99"/>
    <w:rPr>
      <w:sz w:val="18"/>
      <w:szCs w:val="18"/>
    </w:rPr>
  </w:style>
  <w:style w:type="character" w:customStyle="1" w:styleId="12">
    <w:name w:val="页脚 Char"/>
    <w:basedOn w:val="8"/>
    <w:link w:val="4"/>
    <w:qFormat/>
    <w:locked/>
    <w:uiPriority w:val="99"/>
    <w:rPr>
      <w:sz w:val="18"/>
      <w:szCs w:val="18"/>
    </w:rPr>
  </w:style>
  <w:style w:type="character" w:customStyle="1" w:styleId="13">
    <w:name w:val="页眉 Char"/>
    <w:basedOn w:val="8"/>
    <w:link w:val="5"/>
    <w:qFormat/>
    <w:locked/>
    <w:uiPriority w:val="99"/>
    <w:rPr>
      <w:sz w:val="18"/>
      <w:szCs w:val="18"/>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5">
    <w:name w:val="List Paragraph"/>
    <w:basedOn w:val="1"/>
    <w:qFormat/>
    <w:uiPriority w:val="99"/>
    <w:pPr>
      <w:ind w:firstLine="420" w:firstLineChars="200"/>
    </w:pPr>
  </w:style>
  <w:style w:type="paragraph" w:customStyle="1" w:styleId="16">
    <w:name w:val="List Paragraph1"/>
    <w:basedOn w:val="1"/>
    <w:qFormat/>
    <w:uiPriority w:val="99"/>
    <w:pPr>
      <w:ind w:firstLine="420" w:firstLineChars="200"/>
    </w:pPr>
  </w:style>
  <w:style w:type="character" w:customStyle="1" w:styleId="17">
    <w:name w:val="标题 2 Char"/>
    <w:basedOn w:val="8"/>
    <w:link w:val="2"/>
    <w:qFormat/>
    <w:uiPriority w:val="0"/>
    <w:rPr>
      <w:rFonts w:ascii="宋体" w:hAnsi="宋体"/>
      <w:b/>
      <w:kern w:val="0"/>
      <w:sz w:val="36"/>
      <w:szCs w:val="36"/>
    </w:rPr>
  </w:style>
  <w:style w:type="paragraph" w:styleId="18">
    <w:name w:val="No Spacing"/>
    <w:qFormat/>
    <w:uiPriority w:val="99"/>
    <w:pPr>
      <w:widowControl w:val="0"/>
      <w:jc w:val="both"/>
    </w:pPr>
    <w:rPr>
      <w:rFonts w:ascii="Times New Roman" w:hAnsi="Times New Roman" w:eastAsia="宋体" w:cs="Calibri"/>
      <w:kern w:val="2"/>
      <w:sz w:val="21"/>
      <w:szCs w:val="21"/>
      <w:lang w:val="en-US" w:eastAsia="zh-CN" w:bidi="ar-SA"/>
    </w:rPr>
  </w:style>
  <w:style w:type="paragraph" w:customStyle="1" w:styleId="19">
    <w:name w:val="无间隔1"/>
    <w:qFormat/>
    <w:uiPriority w:val="99"/>
    <w:pPr>
      <w:widowControl w:val="0"/>
      <w:jc w:val="both"/>
    </w:pPr>
    <w:rPr>
      <w:rFonts w:ascii="Times New Roman" w:hAnsi="Times New Roman"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9223</Words>
  <Characters>10241</Characters>
  <Lines>86</Lines>
  <Paragraphs>24</Paragraphs>
  <TotalTime>2</TotalTime>
  <ScaleCrop>false</ScaleCrop>
  <LinksUpToDate>false</LinksUpToDate>
  <CharactersWithSpaces>10656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2022-07-28T08:24:00Z</dcterms:created>
  <dc:creator>李航 null</dc:creator>
  <cp:lastModifiedBy>醒狮中国</cp:lastModifiedBy>
  <cp:lastPrinted>2021-07-28T00:12:00Z</cp:lastPrinted>
  <dcterms:modified xsi:type="dcterms:W3CDTF">2023-09-12T11:47:09Z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2052-12.1.0.15374</vt:lpwstr>
  </property>
  <property fmtid="{D5CDD505-2E9C-101B-9397-08002B2CF9AE}" pid="4" name="ICV">
    <vt:lpwstr>A657EFB301FC4D5FB16B55F61293875A</vt:lpwstr>
  </property>
</Properties>
</file>