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76" w:lineRule="exact"/>
        <w:jc w:val="center"/>
        <w:rPr>
          <w:rFonts w:hint="eastAsia" w:ascii="宋体" w:hAnsi="宋体" w:cs="仿宋_GB2312"/>
          <w:b/>
          <w:bCs/>
          <w:color w:val="000000"/>
          <w:kern w:val="0"/>
          <w:sz w:val="36"/>
          <w:szCs w:val="36"/>
        </w:rPr>
      </w:pPr>
      <w:bookmarkStart w:id="0" w:name="_GoBack"/>
      <w:r>
        <w:rPr>
          <w:rFonts w:hint="eastAsia" w:ascii="宋体" w:hAnsi="宋体" w:cs="仿宋_GB2312"/>
          <w:b/>
          <w:bCs/>
          <w:color w:val="000000"/>
          <w:kern w:val="0"/>
          <w:sz w:val="36"/>
          <w:szCs w:val="36"/>
          <w:lang w:val="en-US" w:eastAsia="zh-CN"/>
        </w:rPr>
        <w:t>2018年度商贸流通发展引导资金</w:t>
      </w:r>
      <w:r>
        <w:rPr>
          <w:rFonts w:hint="eastAsia" w:ascii="宋体" w:hAnsi="宋体" w:cs="仿宋_GB2312"/>
          <w:b/>
          <w:bCs/>
          <w:color w:val="000000"/>
          <w:kern w:val="0"/>
          <w:sz w:val="36"/>
          <w:szCs w:val="36"/>
        </w:rPr>
        <w:t>项目支出</w:t>
      </w:r>
    </w:p>
    <w:p>
      <w:pPr>
        <w:widowControl/>
        <w:spacing w:line="576" w:lineRule="exact"/>
        <w:jc w:val="center"/>
        <w:rPr>
          <w:rFonts w:hint="eastAsia" w:ascii="方正小标宋_GBK" w:hAnsi="方正小标宋_GBK" w:eastAsia="方正小标宋_GBK" w:cs="方正小标宋_GBK"/>
          <w:sz w:val="36"/>
          <w:szCs w:val="36"/>
          <w:u w:val="single"/>
        </w:rPr>
      </w:pPr>
      <w:r>
        <w:rPr>
          <w:rFonts w:hint="eastAsia" w:ascii="宋体" w:hAnsi="宋体" w:cs="仿宋_GB2312"/>
          <w:b/>
          <w:bCs/>
          <w:color w:val="000000"/>
          <w:kern w:val="0"/>
          <w:sz w:val="36"/>
          <w:szCs w:val="36"/>
        </w:rPr>
        <w:t>绩效评价报告</w:t>
      </w:r>
    </w:p>
    <w:bookmarkEnd w:id="0"/>
    <w:tbl>
      <w:tblPr>
        <w:tblStyle w:val="5"/>
        <w:tblpPr w:leftFromText="180" w:rightFromText="180" w:vertAnchor="text" w:horzAnchor="margin" w:tblpXSpec="center" w:tblpY="189"/>
        <w:tblW w:w="9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restart"/>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部门概况</w:t>
            </w:r>
          </w:p>
        </w:tc>
        <w:tc>
          <w:tcPr>
            <w:tcW w:w="1985" w:type="dxa"/>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专项名称</w:t>
            </w:r>
          </w:p>
        </w:tc>
        <w:tc>
          <w:tcPr>
            <w:tcW w:w="5670" w:type="dxa"/>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lang w:val="en-US" w:eastAsia="zh-CN"/>
              </w:rPr>
              <w:t>商贸流通发展引导资金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 w:hAnsi="仿宋" w:eastAsia="仿宋" w:cs="仿宋"/>
                <w:sz w:val="28"/>
                <w:szCs w:val="28"/>
              </w:rPr>
            </w:pPr>
          </w:p>
        </w:tc>
        <w:tc>
          <w:tcPr>
            <w:tcW w:w="1985" w:type="dxa"/>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年度预算金额</w:t>
            </w:r>
          </w:p>
        </w:tc>
        <w:tc>
          <w:tcPr>
            <w:tcW w:w="5670" w:type="dxa"/>
            <w:noWrap w:val="0"/>
            <w:vAlign w:val="center"/>
          </w:tcPr>
          <w:p>
            <w:pPr>
              <w:spacing w:line="576" w:lineRule="exac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 w:hAnsi="仿宋" w:eastAsia="仿宋" w:cs="仿宋"/>
                <w:sz w:val="28"/>
                <w:szCs w:val="28"/>
              </w:rPr>
            </w:pPr>
          </w:p>
        </w:tc>
        <w:tc>
          <w:tcPr>
            <w:tcW w:w="1985" w:type="dxa"/>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项目主管部门</w:t>
            </w:r>
          </w:p>
        </w:tc>
        <w:tc>
          <w:tcPr>
            <w:tcW w:w="5670" w:type="dxa"/>
            <w:noWrap w:val="0"/>
            <w:vAlign w:val="center"/>
          </w:tcPr>
          <w:p>
            <w:pPr>
              <w:spacing w:line="576" w:lineRule="exact"/>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企财股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 w:hAnsi="仿宋" w:eastAsia="仿宋" w:cs="仿宋"/>
                <w:sz w:val="28"/>
                <w:szCs w:val="28"/>
              </w:rPr>
            </w:pPr>
          </w:p>
        </w:tc>
        <w:tc>
          <w:tcPr>
            <w:tcW w:w="1985" w:type="dxa"/>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项目立项目的</w:t>
            </w:r>
          </w:p>
        </w:tc>
        <w:tc>
          <w:tcPr>
            <w:tcW w:w="5670" w:type="dxa"/>
            <w:noWrap w:val="0"/>
            <w:vAlign w:val="center"/>
          </w:tcPr>
          <w:p>
            <w:pPr>
              <w:pStyle w:val="13"/>
              <w:keepNext w:val="0"/>
              <w:keepLines w:val="0"/>
              <w:pageBreakBefore w:val="0"/>
              <w:widowControl w:val="0"/>
              <w:numPr>
                <w:ilvl w:val="0"/>
                <w:numId w:val="1"/>
              </w:numPr>
              <w:kinsoku/>
              <w:wordWrap/>
              <w:overflowPunct/>
              <w:topLinePunct w:val="0"/>
              <w:autoSpaceDE/>
              <w:autoSpaceDN/>
              <w:bidi w:val="0"/>
              <w:adjustRightInd/>
              <w:snapToGrid/>
              <w:spacing w:line="560" w:lineRule="exact"/>
              <w:ind w:right="0" w:rightChars="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以科学发展观为指导，以实施长株潭城市群“两型社会”综合配套改革和承接产业梯度转移为契机，进一步开拓国内国外市场、扩大消费；通过对商贸流通领域的整体引导，以市场为主、政府指导为辅的方式，加快建设湘潭县商品市场体系、现代流通体系、市场监控体系、商业信用体系4大整体布局，促进我县商贸流通现代化、安全生产化、特色化步伐，着力提升对外贸易的水平。      </w:t>
            </w:r>
          </w:p>
          <w:p>
            <w:pPr>
              <w:pStyle w:val="13"/>
              <w:keepNext w:val="0"/>
              <w:keepLines w:val="0"/>
              <w:pageBreakBefore w:val="0"/>
              <w:widowControl w:val="0"/>
              <w:numPr>
                <w:ilvl w:val="0"/>
                <w:numId w:val="1"/>
              </w:numPr>
              <w:kinsoku/>
              <w:wordWrap/>
              <w:overflowPunct/>
              <w:topLinePunct w:val="0"/>
              <w:autoSpaceDE/>
              <w:autoSpaceDN/>
              <w:bidi w:val="0"/>
              <w:adjustRightInd/>
              <w:snapToGrid/>
              <w:spacing w:line="560" w:lineRule="exact"/>
              <w:ind w:right="0" w:rightChars="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通过农村淘宝及电子商务产业发展,促进湘潭县特色产品销售，使整个湘潭县的环境、经济、文化等各个方面的风采和特色通过“淘宝网”这个魅力平台向全世界传播,打造湘潭县电子商务品牌名片。</w:t>
            </w:r>
          </w:p>
          <w:p>
            <w:pPr>
              <w:spacing w:line="576" w:lineRule="exact"/>
              <w:ind w:right="880" w:rightChars="419"/>
              <w:jc w:val="center"/>
              <w:rPr>
                <w:rFonts w:hint="eastAsia" w:ascii="仿宋" w:hAnsi="仿宋" w:eastAsia="仿宋" w:cs="仿宋"/>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jc w:val="center"/>
        </w:trPr>
        <w:tc>
          <w:tcPr>
            <w:tcW w:w="1567" w:type="dxa"/>
            <w:vMerge w:val="restart"/>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绩效情况</w:t>
            </w:r>
          </w:p>
        </w:tc>
        <w:tc>
          <w:tcPr>
            <w:tcW w:w="1985" w:type="dxa"/>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项目支出管理和使用基本情况</w:t>
            </w:r>
          </w:p>
        </w:tc>
        <w:tc>
          <w:tcPr>
            <w:tcW w:w="5670" w:type="dxa"/>
            <w:noWrap w:val="0"/>
            <w:vAlign w:val="center"/>
          </w:tcPr>
          <w:p>
            <w:pPr>
              <w:pStyle w:val="14"/>
              <w:spacing w:line="620" w:lineRule="exact"/>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资金到位及使用情况：2018年商贸流通发展引导资金到位200万元，资金分配严格按照县财政局、县商粮局联合行文分配方案使用，其中便民服务体系建设20万元、国内市场开拓13万元、境外市场开拓20万元、地方特色产业发展35万元、农村淘宝50万元、商贸流通建设7.5万元、电子商务产业发展59.5万元（详见2018年商贸流通发展引导资金分配方案）。</w:t>
            </w:r>
          </w:p>
          <w:p>
            <w:pPr>
              <w:pStyle w:val="13"/>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2、项目资金管理情况：我局以创新机制为抓手，全面推行项目资金审核制，定期、有计划的对项目实施过程中的前期准备、申报审批、实施管理和验收管护等各个环节实行实地检查、互查互审、保证农村电商示范县以及农村电商推进工程项目资金安全运行和高效使用。加强对项目资金的管理和监督工作，项目资金做到专款专用，不得挪作它用，凡发现有虚报、骗报、挪用项目资金行为的，一经查实将收回所拨资金，并对相关人员给予责任追究。</w:t>
            </w:r>
          </w:p>
          <w:p>
            <w:pPr>
              <w:pStyle w:val="14"/>
              <w:spacing w:line="620" w:lineRule="exact"/>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3、项目组织和项目管理情况：我局成立了由局长任组长，相关内设股室任成员的商贸流通引导项目工作小组，各相关业务股室具体负责指导工作及上级各项政策的落实，明确项目责任分工和工作职责。项目所涉及有建设项目的，均认真落实项目招投标、公示、审计和专家评审等制度，严格按照项目完成进度和质量规定拨付项目资金，项目验收合格后方可兑付项目资金并向社会公示，接受社会监督。</w:t>
            </w:r>
          </w:p>
          <w:p>
            <w:pPr>
              <w:spacing w:line="576" w:lineRule="exact"/>
              <w:ind w:right="880" w:rightChars="419"/>
              <w:jc w:val="center"/>
              <w:rPr>
                <w:rFonts w:hint="eastAsia" w:ascii="仿宋" w:hAnsi="仿宋" w:eastAsia="仿宋" w:cs="仿宋"/>
                <w:color w:val="auto"/>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567" w:type="dxa"/>
            <w:vMerge w:val="continue"/>
            <w:noWrap w:val="0"/>
            <w:vAlign w:val="top"/>
          </w:tcPr>
          <w:p>
            <w:pPr>
              <w:spacing w:line="576" w:lineRule="exact"/>
              <w:jc w:val="center"/>
              <w:rPr>
                <w:rFonts w:hint="eastAsia" w:ascii="仿宋" w:hAnsi="仿宋" w:eastAsia="仿宋" w:cs="仿宋"/>
                <w:sz w:val="28"/>
                <w:szCs w:val="28"/>
              </w:rPr>
            </w:pPr>
          </w:p>
        </w:tc>
        <w:tc>
          <w:tcPr>
            <w:tcW w:w="1985" w:type="dxa"/>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项目绩效目标完成情况</w:t>
            </w:r>
          </w:p>
        </w:tc>
        <w:tc>
          <w:tcPr>
            <w:tcW w:w="5670" w:type="dxa"/>
            <w:noWrap w:val="0"/>
            <w:vAlign w:val="center"/>
          </w:tcPr>
          <w:p>
            <w:pPr>
              <w:pStyle w:val="14"/>
              <w:spacing w:line="620" w:lineRule="exact"/>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专项资金政策情况：我县县委县政府高度重视商贸流通产业发展，根据《国务院办公厅关于推动实体零售创新转型的意见》国办发〔2016〕78号、《湖南省人民政府关于促进加工贸易创新发展的实施意见》（湘政发[2016]20号）、湘潭县人民政府关于印发《湘潭县电子商务发展三年行动计划（2017-2019年）的通知》（潭县政发[2017]5号）、湘潭县人民政府办公室印发《关于加快电子商务产业发展的实施办法（实行）》的通知（潭县政办发[2017]8号）等相关文件精神，由地方财政合理安排资金用于引导商贸流通产业发展。本年度我局将职能职责中有关市场体系、商贸流通及电子商务三大版块整合为2018年商贸流通引导资金项目（县设专项）。</w:t>
            </w:r>
          </w:p>
          <w:p>
            <w:pPr>
              <w:pStyle w:val="14"/>
              <w:spacing w:line="620" w:lineRule="exact"/>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2、专项资金管理情况：我局始终认真贯彻执行《会计法》、《预算法》、《行政单位会计制度》、《专项资金管理制度》等法律法规，各项经费支出严格按照政府采购、国库集中支付及预算管理等有关规定执行。制订了《湘潭商务粮食局财务管理办法》、《湘潭县商务粮食局专项资金管理办法》等相关制度，明确了经费审批权限及程序。按时、按质、按量完成了项目投资和建设任务，无资金缺口，无浪费行为，无挤占挪用或套取资金等现象。</w:t>
            </w:r>
          </w:p>
          <w:p>
            <w:pPr>
              <w:pStyle w:val="14"/>
              <w:spacing w:line="620" w:lineRule="exact"/>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3、专项资金安排情况：2018年商贸流通发展引导资金到位200万元，我局项目资金严格按照县财政局、县商粮局联合行文的资金分配方案使用，其中便民服务体系建设20万元、国内市场开拓13万元、境外市场开拓20万元、地方特色产业发展35万元、农村淘宝50万元、商贸流通建设7.5万元、电子商务产业发展59.5万元。项目资金安排合理,资金安排依据企业申报条件，不存在“散、小、乱”及多头申报、重复安排资金的情况，项目中涉及政府采购项目严格按照采购程序备案，登记，采购，支付步骤，无不按专家评审结果确定项目的情况。</w:t>
            </w:r>
          </w:p>
          <w:p>
            <w:pPr>
              <w:numPr>
                <w:ilvl w:val="0"/>
                <w:numId w:val="0"/>
              </w:numPr>
              <w:spacing w:line="600" w:lineRule="exact"/>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4、专项资金使用情况：2018年商贸流通发展引导资金到位200万元，资金使用严格按照资金分配方案拨付，2018年按时、按质、按量完成项目投资和建设任务，无资金缺口，无浪费行为，无挤占挪用或套取资金等现象。</w:t>
            </w:r>
          </w:p>
          <w:p>
            <w:pPr>
              <w:numPr>
                <w:ilvl w:val="0"/>
                <w:numId w:val="0"/>
              </w:numPr>
              <w:spacing w:line="600" w:lineRule="exact"/>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5、专项资金绩效情况：我局2018年商贸流通发展引导资金项目较好的完成了该项目资金预算编制时提出的绩效目标，项目的实施效果较佳，具体体现在：</w:t>
            </w:r>
          </w:p>
          <w:p>
            <w:pPr>
              <w:numPr>
                <w:ilvl w:val="0"/>
                <w:numId w:val="0"/>
              </w:numPr>
              <w:spacing w:line="600" w:lineRule="exact"/>
              <w:rPr>
                <w:rFonts w:hint="eastAsia" w:ascii="仿宋" w:hAnsi="仿宋" w:eastAsia="仿宋" w:cs="仿宋"/>
                <w:sz w:val="28"/>
                <w:szCs w:val="28"/>
                <w:lang w:eastAsia="zh-CN"/>
              </w:rPr>
            </w:pPr>
            <w:r>
              <w:rPr>
                <w:rFonts w:hint="eastAsia" w:ascii="仿宋" w:hAnsi="仿宋" w:eastAsia="仿宋" w:cs="仿宋"/>
                <w:color w:val="auto"/>
                <w:kern w:val="2"/>
                <w:sz w:val="28"/>
                <w:szCs w:val="28"/>
                <w:lang w:val="en-US" w:eastAsia="zh-CN" w:bidi="ar-SA"/>
              </w:rPr>
              <w:t>（1）项目经济性：项目预算编制合理，资金安排上严格控制项目成本，项目补助按照申报条件实施，有效的节约了项目资金；对有重点项目、特色产业及电子商务的企业补助一律在经过考核验收后给予兑付，有效规避项目资金使用风险。项目成效上2018年我县社会消费品零售总额累计实现96亿元，同比增长10.3%,增速在全市五个县（市、区）中排名第二，其中，限额以上企业（单位）实现社会消费品零售额15.1亿元，同比增长14.59%；对外贸易额超额完成：2018年</w:t>
            </w:r>
            <w:r>
              <w:rPr>
                <w:rFonts w:hint="eastAsia" w:ascii="仿宋" w:hAnsi="仿宋" w:eastAsia="仿宋" w:cs="仿宋"/>
                <w:sz w:val="28"/>
                <w:szCs w:val="28"/>
              </w:rPr>
              <w:t>我县完成进出口总额16852万美元，同比增长512%，其中出口16655万美元，进口197万美元，增幅居全市第一，总量在市县区排名第二；截至2018年12月我县累计对外输出劳务人员3200人次，完成劳务合作营业额7200万美元，对外承包工程和劳务合作完成营业额任务完成在增幅、总量和进度上全市排名第一，增幅49.53%</w:t>
            </w:r>
            <w:r>
              <w:rPr>
                <w:rFonts w:hint="eastAsia" w:ascii="仿宋" w:hAnsi="仿宋" w:eastAsia="仿宋" w:cs="仿宋"/>
                <w:sz w:val="28"/>
                <w:szCs w:val="28"/>
                <w:lang w:eastAsia="zh-CN"/>
              </w:rPr>
              <w:t>；电商成绩喜人：</w:t>
            </w:r>
            <w:r>
              <w:rPr>
                <w:rFonts w:hint="eastAsia" w:ascii="仿宋" w:hAnsi="仿宋" w:eastAsia="仿宋" w:cs="仿宋"/>
                <w:sz w:val="28"/>
                <w:szCs w:val="28"/>
              </w:rPr>
              <w:t>2018年农村淘宝项目开通了68个村级服务站，47个淘帮手，销售额过5000万元，农村商贸综合服务体入驻供应商30余家，各乡镇门店2400余家，销售额突破2亿元</w:t>
            </w:r>
            <w:r>
              <w:rPr>
                <w:rFonts w:hint="eastAsia" w:ascii="仿宋" w:hAnsi="仿宋" w:eastAsia="仿宋" w:cs="仿宋"/>
                <w:sz w:val="28"/>
                <w:szCs w:val="28"/>
                <w:lang w:eastAsia="zh-CN"/>
              </w:rPr>
              <w:t>。</w:t>
            </w:r>
          </w:p>
          <w:p>
            <w:pPr>
              <w:numPr>
                <w:ilvl w:val="0"/>
                <w:numId w:val="0"/>
              </w:numPr>
              <w:spacing w:line="600" w:lineRule="exact"/>
              <w:rPr>
                <w:rFonts w:hint="eastAsia" w:ascii="仿宋" w:hAnsi="仿宋" w:eastAsia="仿宋" w:cs="仿宋"/>
                <w:sz w:val="28"/>
                <w:szCs w:val="28"/>
              </w:rPr>
            </w:pP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lang w:eastAsia="zh-CN"/>
                <w14:textFill>
                  <w14:solidFill>
                    <w14:schemeClr w14:val="tx1"/>
                  </w14:solidFill>
                </w14:textFill>
              </w:rPr>
              <w:t>）项目的效率性</w:t>
            </w:r>
            <w:r>
              <w:rPr>
                <w:rFonts w:hint="eastAsia" w:ascii="仿宋" w:hAnsi="仿宋" w:eastAsia="仿宋" w:cs="仿宋"/>
                <w:color w:val="000000" w:themeColor="text1"/>
                <w:sz w:val="28"/>
                <w:szCs w:val="28"/>
                <w:lang w:val="en-US" w:eastAsia="zh-CN"/>
                <w14:textFill>
                  <w14:solidFill>
                    <w14:schemeClr w14:val="tx1"/>
                  </w14:solidFill>
                </w14:textFill>
              </w:rPr>
              <w:t>:</w:t>
            </w:r>
            <w:r>
              <w:rPr>
                <w:rFonts w:hint="eastAsia" w:ascii="仿宋" w:hAnsi="仿宋" w:eastAsia="仿宋" w:cs="仿宋"/>
                <w:sz w:val="28"/>
                <w:szCs w:val="28"/>
                <w:lang w:val="en-US" w:eastAsia="zh-CN"/>
              </w:rPr>
              <w:t>2018年我县</w:t>
            </w:r>
            <w:r>
              <w:rPr>
                <w:rFonts w:hint="eastAsia" w:ascii="仿宋" w:hAnsi="仿宋" w:eastAsia="仿宋" w:cs="仿宋"/>
                <w:sz w:val="28"/>
                <w:szCs w:val="28"/>
              </w:rPr>
              <w:t>新增限上企业12家</w:t>
            </w:r>
            <w:r>
              <w:rPr>
                <w:rFonts w:hint="eastAsia" w:ascii="仿宋" w:hAnsi="仿宋" w:eastAsia="仿宋" w:cs="仿宋"/>
                <w:sz w:val="28"/>
                <w:szCs w:val="28"/>
                <w:lang w:eastAsia="zh-CN"/>
              </w:rPr>
              <w:t>，</w:t>
            </w:r>
            <w:r>
              <w:rPr>
                <w:rFonts w:hint="eastAsia" w:ascii="仿宋" w:hAnsi="仿宋" w:eastAsia="仿宋" w:cs="仿宋"/>
                <w:sz w:val="28"/>
                <w:szCs w:val="28"/>
              </w:rPr>
              <w:t>全市社消零工作年度考核综合排名第一</w:t>
            </w:r>
            <w:r>
              <w:rPr>
                <w:rFonts w:hint="eastAsia" w:ascii="仿宋" w:hAnsi="仿宋" w:eastAsia="仿宋" w:cs="仿宋"/>
                <w:sz w:val="28"/>
                <w:szCs w:val="28"/>
                <w:lang w:eastAsia="zh-CN"/>
              </w:rPr>
              <w:t>。完成</w:t>
            </w:r>
            <w:r>
              <w:rPr>
                <w:rFonts w:hint="eastAsia" w:ascii="仿宋" w:hAnsi="仿宋" w:eastAsia="仿宋" w:cs="仿宋"/>
                <w:sz w:val="28"/>
                <w:szCs w:val="28"/>
              </w:rPr>
              <w:t>“湘品入沪+精准扶贫”和“沪品入湘”相关工作</w:t>
            </w:r>
            <w:r>
              <w:rPr>
                <w:rFonts w:hint="eastAsia" w:ascii="仿宋" w:hAnsi="仿宋" w:eastAsia="仿宋" w:cs="仿宋"/>
                <w:sz w:val="28"/>
                <w:szCs w:val="28"/>
                <w:lang w:eastAsia="zh-CN"/>
              </w:rPr>
              <w:t>，</w:t>
            </w:r>
            <w:r>
              <w:rPr>
                <w:rFonts w:hint="eastAsia" w:ascii="仿宋" w:hAnsi="仿宋" w:eastAsia="仿宋" w:cs="仿宋"/>
                <w:sz w:val="28"/>
                <w:szCs w:val="28"/>
              </w:rPr>
              <w:t>推荐并组织我县湖南皇爷食品有限公司、小龙王食品有限公司、湘潭弘茂湘莲产业发展有限责任公司</w:t>
            </w:r>
            <w:r>
              <w:rPr>
                <w:rFonts w:hint="eastAsia" w:ascii="仿宋" w:hAnsi="仿宋" w:eastAsia="仿宋" w:cs="仿宋"/>
                <w:sz w:val="28"/>
                <w:szCs w:val="28"/>
                <w:lang w:eastAsia="zh-CN"/>
              </w:rPr>
              <w:t>三家公司</w:t>
            </w:r>
            <w:r>
              <w:rPr>
                <w:rFonts w:hint="eastAsia" w:ascii="仿宋" w:hAnsi="仿宋" w:eastAsia="仿宋" w:cs="仿宋"/>
                <w:sz w:val="28"/>
                <w:szCs w:val="28"/>
              </w:rPr>
              <w:t>上海参展，确保</w:t>
            </w:r>
            <w:r>
              <w:rPr>
                <w:rFonts w:hint="eastAsia" w:ascii="仿宋" w:hAnsi="仿宋" w:eastAsia="仿宋" w:cs="仿宋"/>
                <w:sz w:val="28"/>
                <w:szCs w:val="28"/>
                <w:lang w:eastAsia="zh-CN"/>
              </w:rPr>
              <w:t>了</w:t>
            </w:r>
            <w:r>
              <w:rPr>
                <w:rFonts w:hint="eastAsia" w:ascii="仿宋" w:hAnsi="仿宋" w:eastAsia="仿宋" w:cs="仿宋"/>
                <w:sz w:val="28"/>
                <w:szCs w:val="28"/>
              </w:rPr>
              <w:t>“湘品入沪”</w:t>
            </w:r>
            <w:r>
              <w:rPr>
                <w:rFonts w:hint="eastAsia" w:ascii="仿宋" w:hAnsi="仿宋" w:eastAsia="仿宋" w:cs="仿宋"/>
                <w:sz w:val="28"/>
                <w:szCs w:val="28"/>
                <w:lang w:eastAsia="zh-CN"/>
              </w:rPr>
              <w:t>的</w:t>
            </w:r>
            <w:r>
              <w:rPr>
                <w:rFonts w:hint="eastAsia" w:ascii="仿宋" w:hAnsi="仿宋" w:eastAsia="仿宋" w:cs="仿宋"/>
                <w:sz w:val="28"/>
                <w:szCs w:val="28"/>
              </w:rPr>
              <w:t>品牌形象和安全运营</w:t>
            </w:r>
            <w:r>
              <w:rPr>
                <w:rFonts w:hint="eastAsia" w:ascii="仿宋" w:hAnsi="仿宋" w:eastAsia="仿宋" w:cs="仿宋"/>
                <w:sz w:val="28"/>
                <w:szCs w:val="28"/>
                <w:lang w:eastAsia="zh-CN"/>
              </w:rPr>
              <w:t>；</w:t>
            </w:r>
            <w:r>
              <w:rPr>
                <w:rFonts w:hint="eastAsia" w:ascii="仿宋" w:hAnsi="仿宋" w:eastAsia="仿宋" w:cs="仿宋"/>
                <w:sz w:val="28"/>
                <w:szCs w:val="28"/>
              </w:rPr>
              <w:t>组织</w:t>
            </w:r>
            <w:r>
              <w:rPr>
                <w:rFonts w:hint="eastAsia" w:ascii="仿宋" w:hAnsi="仿宋" w:eastAsia="仿宋" w:cs="仿宋"/>
                <w:sz w:val="28"/>
                <w:szCs w:val="28"/>
                <w:lang w:eastAsia="zh-CN"/>
              </w:rPr>
              <w:t>全县外贸</w:t>
            </w:r>
            <w:r>
              <w:rPr>
                <w:rFonts w:hint="eastAsia" w:ascii="仿宋" w:hAnsi="仿宋" w:eastAsia="仿宋" w:cs="仿宋"/>
                <w:sz w:val="28"/>
                <w:szCs w:val="28"/>
              </w:rPr>
              <w:t>企业参加外贸政策业务集中培训，累计</w:t>
            </w:r>
            <w:r>
              <w:rPr>
                <w:rFonts w:hint="eastAsia" w:ascii="仿宋" w:hAnsi="仿宋" w:eastAsia="仿宋" w:cs="仿宋"/>
                <w:sz w:val="28"/>
                <w:szCs w:val="28"/>
                <w:lang w:eastAsia="zh-CN"/>
              </w:rPr>
              <w:t>培</w:t>
            </w:r>
            <w:r>
              <w:rPr>
                <w:rFonts w:hint="eastAsia" w:ascii="仿宋" w:hAnsi="仿宋" w:eastAsia="仿宋" w:cs="仿宋"/>
                <w:sz w:val="28"/>
                <w:szCs w:val="28"/>
              </w:rPr>
              <w:t>训60人次</w:t>
            </w:r>
            <w:r>
              <w:rPr>
                <w:rFonts w:hint="eastAsia" w:ascii="仿宋" w:hAnsi="仿宋" w:eastAsia="仿宋" w:cs="仿宋"/>
                <w:sz w:val="28"/>
                <w:szCs w:val="28"/>
                <w:lang w:eastAsia="zh-CN"/>
              </w:rPr>
              <w:t>。</w:t>
            </w:r>
            <w:r>
              <w:rPr>
                <w:rFonts w:hint="eastAsia" w:ascii="仿宋" w:hAnsi="仿宋" w:eastAsia="仿宋" w:cs="仿宋"/>
                <w:sz w:val="28"/>
                <w:szCs w:val="28"/>
              </w:rPr>
              <w:t>为企业搭建“走出去”平台，</w:t>
            </w:r>
            <w:r>
              <w:rPr>
                <w:rFonts w:hint="eastAsia" w:ascii="仿宋" w:hAnsi="仿宋" w:eastAsia="仿宋" w:cs="仿宋"/>
                <w:sz w:val="28"/>
                <w:szCs w:val="28"/>
                <w:lang w:eastAsia="zh-CN"/>
              </w:rPr>
              <w:t>组织县内企业——</w:t>
            </w:r>
            <w:r>
              <w:rPr>
                <w:rFonts w:hint="eastAsia" w:ascii="仿宋" w:hAnsi="仿宋" w:eastAsia="仿宋" w:cs="仿宋"/>
                <w:color w:val="000000"/>
                <w:sz w:val="28"/>
                <w:szCs w:val="28"/>
              </w:rPr>
              <w:t>信诺颜料、莲港紧固件、康宁达、中联陶瓷、莲美食品、丰禾生物等</w:t>
            </w:r>
            <w:r>
              <w:rPr>
                <w:rFonts w:hint="eastAsia" w:ascii="仿宋" w:hAnsi="仿宋" w:eastAsia="仿宋" w:cs="仿宋"/>
                <w:color w:val="000000"/>
                <w:sz w:val="28"/>
                <w:szCs w:val="28"/>
                <w:lang w:eastAsia="zh-CN"/>
              </w:rPr>
              <w:t>多家</w:t>
            </w:r>
            <w:r>
              <w:rPr>
                <w:rFonts w:hint="eastAsia" w:ascii="仿宋" w:hAnsi="仿宋" w:eastAsia="仿宋" w:cs="仿宋"/>
                <w:color w:val="000000"/>
                <w:sz w:val="28"/>
                <w:szCs w:val="28"/>
              </w:rPr>
              <w:t>企业参加境内外展会，提高企业竞争力</w:t>
            </w:r>
            <w:r>
              <w:rPr>
                <w:rFonts w:hint="eastAsia" w:ascii="仿宋" w:hAnsi="仿宋" w:eastAsia="仿宋" w:cs="仿宋"/>
                <w:color w:val="000000"/>
                <w:sz w:val="28"/>
                <w:szCs w:val="28"/>
                <w:lang w:eastAsia="zh-CN"/>
              </w:rPr>
              <w:t>与品牌影响力。</w:t>
            </w:r>
            <w:r>
              <w:rPr>
                <w:rFonts w:hint="eastAsia" w:ascii="仿宋" w:hAnsi="仿宋" w:eastAsia="仿宋" w:cs="仿宋"/>
                <w:sz w:val="28"/>
                <w:szCs w:val="28"/>
              </w:rPr>
              <w:t>加快园区外贸综合服务中心建设</w:t>
            </w:r>
            <w:r>
              <w:rPr>
                <w:rFonts w:hint="eastAsia" w:ascii="仿宋" w:hAnsi="仿宋" w:eastAsia="仿宋" w:cs="仿宋"/>
                <w:sz w:val="28"/>
                <w:szCs w:val="28"/>
                <w:lang w:eastAsia="zh-CN"/>
              </w:rPr>
              <w:t>，</w:t>
            </w:r>
            <w:r>
              <w:rPr>
                <w:rFonts w:hint="eastAsia" w:ascii="仿宋" w:hAnsi="仿宋" w:eastAsia="仿宋" w:cs="仿宋"/>
                <w:color w:val="000000" w:themeColor="text1"/>
                <w:sz w:val="28"/>
                <w:szCs w:val="28"/>
                <w14:textFill>
                  <w14:solidFill>
                    <w14:schemeClr w14:val="tx1"/>
                  </w14:solidFill>
                </w14:textFill>
              </w:rPr>
              <w:t>与浩通公司签订三方合作协议，</w:t>
            </w:r>
            <w:r>
              <w:rPr>
                <w:rFonts w:hint="eastAsia" w:ascii="仿宋" w:hAnsi="仿宋" w:eastAsia="仿宋" w:cs="仿宋"/>
                <w:color w:val="000000" w:themeColor="text1"/>
                <w:sz w:val="28"/>
                <w:szCs w:val="28"/>
                <w:lang w:eastAsia="zh-CN"/>
                <w14:textFill>
                  <w14:solidFill>
                    <w14:schemeClr w14:val="tx1"/>
                  </w14:solidFill>
                </w14:textFill>
              </w:rPr>
              <w:t>设立</w:t>
            </w:r>
            <w:r>
              <w:rPr>
                <w:rFonts w:hint="eastAsia" w:ascii="仿宋" w:hAnsi="仿宋" w:eastAsia="仿宋" w:cs="仿宋"/>
                <w:color w:val="000000" w:themeColor="text1"/>
                <w:sz w:val="28"/>
                <w:szCs w:val="28"/>
                <w14:textFill>
                  <w14:solidFill>
                    <w14:schemeClr w14:val="tx1"/>
                  </w14:solidFill>
                </w14:textFill>
              </w:rPr>
              <w:t>湘潭浩通国际物流有限公司</w:t>
            </w:r>
            <w:r>
              <w:rPr>
                <w:rFonts w:hint="eastAsia" w:ascii="仿宋" w:hAnsi="仿宋" w:eastAsia="仿宋" w:cs="仿宋"/>
                <w:color w:val="000000" w:themeColor="text1"/>
                <w:sz w:val="28"/>
                <w:szCs w:val="28"/>
                <w:lang w:eastAsia="zh-CN"/>
                <w14:textFill>
                  <w14:solidFill>
                    <w14:schemeClr w14:val="tx1"/>
                  </w14:solidFill>
                </w14:textFill>
              </w:rPr>
              <w:t>为</w:t>
            </w:r>
            <w:r>
              <w:rPr>
                <w:rFonts w:hint="eastAsia" w:ascii="仿宋" w:hAnsi="仿宋" w:eastAsia="仿宋" w:cs="仿宋"/>
                <w:color w:val="000000" w:themeColor="text1"/>
                <w:sz w:val="28"/>
                <w:szCs w:val="28"/>
                <w14:textFill>
                  <w14:solidFill>
                    <w14:schemeClr w14:val="tx1"/>
                  </w14:solidFill>
                </w14:textFill>
              </w:rPr>
              <w:t>湘潭天易经济开发区外贸综合服务中心</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sz w:val="28"/>
                <w:szCs w:val="28"/>
                <w:lang w:eastAsia="zh-CN"/>
              </w:rPr>
              <w:t>电商方面：</w:t>
            </w:r>
            <w:r>
              <w:rPr>
                <w:rFonts w:hint="eastAsia" w:ascii="仿宋" w:hAnsi="仿宋" w:eastAsia="仿宋" w:cs="仿宋"/>
                <w:sz w:val="28"/>
                <w:szCs w:val="28"/>
              </w:rPr>
              <w:t>对接京东商城</w:t>
            </w:r>
            <w:r>
              <w:rPr>
                <w:rFonts w:hint="eastAsia" w:ascii="仿宋" w:hAnsi="仿宋" w:eastAsia="仿宋" w:cs="仿宋"/>
                <w:sz w:val="28"/>
                <w:szCs w:val="28"/>
                <w:lang w:eastAsia="zh-CN"/>
              </w:rPr>
              <w:t>、</w:t>
            </w:r>
            <w:r>
              <w:rPr>
                <w:rFonts w:hint="eastAsia" w:ascii="仿宋" w:hAnsi="仿宋" w:eastAsia="仿宋" w:cs="仿宋"/>
                <w:sz w:val="28"/>
                <w:szCs w:val="28"/>
              </w:rPr>
              <w:t>京东云项目</w:t>
            </w:r>
            <w:r>
              <w:rPr>
                <w:rFonts w:hint="eastAsia" w:ascii="仿宋" w:hAnsi="仿宋" w:eastAsia="仿宋" w:cs="仿宋"/>
                <w:sz w:val="28"/>
                <w:szCs w:val="28"/>
                <w:lang w:eastAsia="zh-CN"/>
              </w:rPr>
              <w:t>以及</w:t>
            </w:r>
            <w:r>
              <w:rPr>
                <w:rFonts w:hint="eastAsia" w:ascii="仿宋" w:hAnsi="仿宋" w:eastAsia="仿宋" w:cs="仿宋"/>
                <w:sz w:val="28"/>
                <w:szCs w:val="28"/>
              </w:rPr>
              <w:t>特色品牌培育</w:t>
            </w:r>
            <w:r>
              <w:rPr>
                <w:rFonts w:hint="eastAsia" w:ascii="仿宋" w:hAnsi="仿宋" w:eastAsia="仿宋" w:cs="仿宋"/>
                <w:sz w:val="28"/>
                <w:szCs w:val="28"/>
                <w:lang w:eastAsia="zh-CN"/>
              </w:rPr>
              <w:t>等工作取得实效，</w:t>
            </w:r>
            <w:r>
              <w:rPr>
                <w:rFonts w:hint="eastAsia" w:ascii="仿宋" w:hAnsi="仿宋" w:eastAsia="仿宋" w:cs="仿宋"/>
                <w:sz w:val="28"/>
                <w:szCs w:val="28"/>
              </w:rPr>
              <w:t>邀请了京东云湘潭基地团队对我县特色产业湘莲和海泡石进行了实地调研，并请他们有针对性的提出了发展方向</w:t>
            </w:r>
            <w:r>
              <w:rPr>
                <w:rFonts w:hint="eastAsia" w:ascii="仿宋" w:hAnsi="仿宋" w:eastAsia="仿宋" w:cs="仿宋"/>
                <w:sz w:val="28"/>
                <w:szCs w:val="28"/>
                <w:lang w:eastAsia="zh-CN"/>
              </w:rPr>
              <w:t>，</w:t>
            </w:r>
            <w:r>
              <w:rPr>
                <w:rFonts w:hint="eastAsia" w:ascii="仿宋" w:hAnsi="仿宋" w:eastAsia="仿宋" w:cs="仿宋"/>
                <w:sz w:val="28"/>
                <w:szCs w:val="28"/>
              </w:rPr>
              <w:t>同时就2019年湘潭县荷花节举办同他们交换了意见，并</w:t>
            </w:r>
            <w:r>
              <w:rPr>
                <w:rFonts w:hint="eastAsia" w:ascii="仿宋" w:hAnsi="仿宋" w:eastAsia="仿宋" w:cs="仿宋"/>
                <w:sz w:val="28"/>
                <w:szCs w:val="28"/>
                <w:lang w:eastAsia="zh-CN"/>
              </w:rPr>
              <w:t>邀</w:t>
            </w:r>
            <w:r>
              <w:rPr>
                <w:rFonts w:hint="eastAsia" w:ascii="仿宋" w:hAnsi="仿宋" w:eastAsia="仿宋" w:cs="仿宋"/>
                <w:sz w:val="28"/>
                <w:szCs w:val="28"/>
              </w:rPr>
              <w:t>请京东集团参与2019年荷花节的筹办</w:t>
            </w:r>
            <w:r>
              <w:rPr>
                <w:rFonts w:hint="eastAsia" w:ascii="仿宋" w:hAnsi="仿宋" w:eastAsia="仿宋" w:cs="仿宋"/>
                <w:sz w:val="28"/>
                <w:szCs w:val="28"/>
                <w:lang w:eastAsia="zh-CN"/>
              </w:rPr>
              <w:t>。</w:t>
            </w:r>
            <w:r>
              <w:rPr>
                <w:rFonts w:hint="eastAsia" w:ascii="仿宋" w:hAnsi="仿宋" w:eastAsia="仿宋" w:cs="仿宋"/>
                <w:sz w:val="28"/>
                <w:szCs w:val="28"/>
              </w:rPr>
              <w:t>扶持</w:t>
            </w:r>
            <w:r>
              <w:rPr>
                <w:rFonts w:hint="eastAsia" w:ascii="仿宋" w:hAnsi="仿宋" w:eastAsia="仿宋" w:cs="仿宋"/>
                <w:sz w:val="28"/>
                <w:szCs w:val="28"/>
                <w:lang w:eastAsia="zh-CN"/>
              </w:rPr>
              <w:t>了一批</w:t>
            </w:r>
            <w:r>
              <w:rPr>
                <w:rFonts w:hint="eastAsia" w:ascii="仿宋" w:hAnsi="仿宋" w:eastAsia="仿宋" w:cs="仿宋"/>
                <w:sz w:val="28"/>
                <w:szCs w:val="28"/>
              </w:rPr>
              <w:t>特色产业</w:t>
            </w:r>
            <w:r>
              <w:rPr>
                <w:rFonts w:hint="eastAsia" w:ascii="仿宋" w:hAnsi="仿宋" w:eastAsia="仿宋" w:cs="仿宋"/>
                <w:sz w:val="28"/>
                <w:szCs w:val="28"/>
                <w:lang w:eastAsia="zh-CN"/>
              </w:rPr>
              <w:t>，</w:t>
            </w:r>
            <w:r>
              <w:rPr>
                <w:rFonts w:hint="eastAsia" w:ascii="仿宋" w:hAnsi="仿宋" w:eastAsia="仿宋" w:cs="仿宋"/>
                <w:sz w:val="28"/>
                <w:szCs w:val="28"/>
              </w:rPr>
              <w:t>重点打造石鼓油纸伞网销品牌，</w:t>
            </w:r>
            <w:r>
              <w:rPr>
                <w:rFonts w:hint="eastAsia" w:ascii="仿宋" w:hAnsi="仿宋" w:eastAsia="仿宋" w:cs="仿宋"/>
                <w:sz w:val="28"/>
                <w:szCs w:val="28"/>
                <w:lang w:val="en-US" w:eastAsia="zh-CN"/>
              </w:rPr>
              <w:t>2018年我局</w:t>
            </w:r>
            <w:r>
              <w:rPr>
                <w:rFonts w:hint="eastAsia" w:ascii="仿宋" w:hAnsi="仿宋" w:eastAsia="仿宋" w:cs="仿宋"/>
                <w:sz w:val="28"/>
                <w:szCs w:val="28"/>
              </w:rPr>
              <w:t>重点瞄准我县特色产业</w:t>
            </w:r>
            <w:r>
              <w:rPr>
                <w:rFonts w:hint="eastAsia" w:ascii="仿宋" w:hAnsi="仿宋" w:eastAsia="仿宋" w:cs="仿宋"/>
                <w:sz w:val="28"/>
                <w:szCs w:val="28"/>
                <w:lang w:eastAsia="zh-CN"/>
              </w:rPr>
              <w:t>，</w:t>
            </w:r>
            <w:r>
              <w:rPr>
                <w:rFonts w:hint="eastAsia" w:ascii="仿宋" w:hAnsi="仿宋" w:eastAsia="仿宋" w:cs="仿宋"/>
                <w:sz w:val="28"/>
                <w:szCs w:val="28"/>
              </w:rPr>
              <w:t>重点打造石鼓油纸伞上线工作</w:t>
            </w:r>
            <w:r>
              <w:rPr>
                <w:rFonts w:hint="eastAsia" w:ascii="仿宋" w:hAnsi="仿宋" w:eastAsia="仿宋" w:cs="仿宋"/>
                <w:sz w:val="28"/>
                <w:szCs w:val="28"/>
                <w:lang w:eastAsia="zh-CN"/>
              </w:rPr>
              <w:t>，截止</w:t>
            </w:r>
            <w:r>
              <w:rPr>
                <w:rFonts w:hint="eastAsia" w:ascii="仿宋" w:hAnsi="仿宋" w:eastAsia="仿宋" w:cs="仿宋"/>
                <w:sz w:val="28"/>
                <w:szCs w:val="28"/>
                <w:lang w:val="en-US" w:eastAsia="zh-CN"/>
              </w:rPr>
              <w:t>2018年底，已</w:t>
            </w:r>
            <w:r>
              <w:rPr>
                <w:rFonts w:hint="eastAsia" w:ascii="仿宋" w:hAnsi="仿宋" w:eastAsia="仿宋" w:cs="仿宋"/>
                <w:sz w:val="28"/>
                <w:szCs w:val="28"/>
              </w:rPr>
              <w:t>有7家油纸伞传统企业触网，开通了诚信通及淘宝网店，并</w:t>
            </w:r>
            <w:r>
              <w:rPr>
                <w:rFonts w:hint="eastAsia" w:ascii="仿宋" w:hAnsi="仿宋" w:eastAsia="仿宋" w:cs="仿宋"/>
                <w:sz w:val="28"/>
                <w:szCs w:val="28"/>
                <w:lang w:eastAsia="zh-CN"/>
              </w:rPr>
              <w:t>取得</w:t>
            </w:r>
            <w:r>
              <w:rPr>
                <w:rFonts w:hint="eastAsia" w:ascii="仿宋" w:hAnsi="仿宋" w:eastAsia="仿宋" w:cs="仿宋"/>
                <w:sz w:val="28"/>
                <w:szCs w:val="28"/>
              </w:rPr>
              <w:t>一定的销售额。</w:t>
            </w:r>
          </w:p>
          <w:p>
            <w:pPr>
              <w:numPr>
                <w:ilvl w:val="0"/>
                <w:numId w:val="0"/>
              </w:numPr>
              <w:spacing w:line="600" w:lineRule="exact"/>
              <w:rPr>
                <w:rFonts w:hint="eastAsia" w:ascii="仿宋" w:hAnsi="仿宋" w:eastAsia="仿宋" w:cs="仿宋"/>
                <w:sz w:val="28"/>
                <w:szCs w:val="28"/>
                <w:lang w:eastAsia="zh-CN"/>
              </w:rPr>
            </w:pPr>
            <w:r>
              <w:rPr>
                <w:rFonts w:hint="eastAsia" w:ascii="仿宋" w:hAnsi="仿宋" w:eastAsia="仿宋" w:cs="仿宋"/>
                <w:color w:val="000000" w:themeColor="text1"/>
                <w:sz w:val="28"/>
                <w:szCs w:val="28"/>
                <w:lang w:val="en-US" w:eastAsia="zh-CN"/>
                <w14:textFill>
                  <w14:solidFill>
                    <w14:schemeClr w14:val="tx1"/>
                  </w14:solidFill>
                </w14:textFill>
              </w:rPr>
              <w:t>(3)</w:t>
            </w:r>
            <w:r>
              <w:rPr>
                <w:rFonts w:hint="eastAsia" w:ascii="仿宋" w:hAnsi="仿宋" w:eastAsia="仿宋" w:cs="仿宋"/>
                <w:color w:val="000000" w:themeColor="text1"/>
                <w:sz w:val="28"/>
                <w:szCs w:val="28"/>
                <w:lang w:eastAsia="zh-CN"/>
                <w14:textFill>
                  <w14:solidFill>
                    <w14:schemeClr w14:val="tx1"/>
                  </w14:solidFill>
                </w14:textFill>
              </w:rPr>
              <w:t>项目的有效性</w:t>
            </w:r>
            <w:r>
              <w:rPr>
                <w:rFonts w:hint="eastAsia" w:ascii="仿宋" w:hAnsi="仿宋" w:eastAsia="仿宋" w:cs="仿宋"/>
                <w:color w:val="000000" w:themeColor="text1"/>
                <w:sz w:val="28"/>
                <w:szCs w:val="28"/>
                <w:lang w:val="en-US" w:eastAsia="zh-CN"/>
                <w14:textFill>
                  <w14:solidFill>
                    <w14:schemeClr w14:val="tx1"/>
                  </w14:solidFill>
                </w14:textFill>
              </w:rPr>
              <w:t>:</w:t>
            </w:r>
            <w:r>
              <w:rPr>
                <w:rFonts w:hint="eastAsia" w:ascii="仿宋" w:hAnsi="仿宋" w:eastAsia="仿宋" w:cs="仿宋"/>
                <w:sz w:val="28"/>
                <w:szCs w:val="28"/>
                <w:lang w:val="en-US" w:eastAsia="zh-CN"/>
              </w:rPr>
              <w:t>2018年我县培育和</w:t>
            </w:r>
            <w:r>
              <w:rPr>
                <w:rFonts w:hint="eastAsia" w:ascii="仿宋" w:hAnsi="仿宋" w:eastAsia="仿宋" w:cs="仿宋"/>
                <w:sz w:val="28"/>
                <w:szCs w:val="28"/>
              </w:rPr>
              <w:t>新增</w:t>
            </w:r>
            <w:r>
              <w:rPr>
                <w:rFonts w:hint="eastAsia" w:ascii="仿宋" w:hAnsi="仿宋" w:eastAsia="仿宋" w:cs="仿宋"/>
                <w:sz w:val="28"/>
                <w:szCs w:val="28"/>
                <w:lang w:val="en-US" w:eastAsia="zh-CN"/>
              </w:rPr>
              <w:t>12家</w:t>
            </w:r>
            <w:r>
              <w:rPr>
                <w:rFonts w:hint="eastAsia" w:ascii="仿宋" w:hAnsi="仿宋" w:eastAsia="仿宋" w:cs="仿宋"/>
                <w:sz w:val="28"/>
                <w:szCs w:val="28"/>
              </w:rPr>
              <w:t>限上企业已通过省、市统计部门审查合格入统。我局对我县湘菜产业的发展开展深入调研，撰写了一篇高质量的湘潭县湘菜产业发展调研报告</w:t>
            </w:r>
            <w:r>
              <w:rPr>
                <w:rFonts w:hint="eastAsia" w:ascii="仿宋" w:hAnsi="仿宋" w:eastAsia="仿宋" w:cs="仿宋"/>
                <w:sz w:val="28"/>
                <w:szCs w:val="28"/>
                <w:lang w:eastAsia="zh-CN"/>
              </w:rPr>
              <w:t>，报告</w:t>
            </w:r>
            <w:r>
              <w:rPr>
                <w:rFonts w:hint="eastAsia" w:ascii="仿宋" w:hAnsi="仿宋" w:eastAsia="仿宋" w:cs="仿宋"/>
                <w:sz w:val="28"/>
                <w:szCs w:val="28"/>
              </w:rPr>
              <w:t>总结了三大特色，分析了四大问题，提出了五个建议，多管齐下，立体推进，助推湘菜产业健康蓬勃发展</w:t>
            </w:r>
            <w:r>
              <w:rPr>
                <w:rFonts w:hint="eastAsia" w:ascii="仿宋" w:hAnsi="仿宋" w:eastAsia="仿宋" w:cs="仿宋"/>
                <w:sz w:val="28"/>
                <w:szCs w:val="28"/>
                <w:lang w:eastAsia="zh-CN"/>
              </w:rPr>
              <w:t>，</w:t>
            </w:r>
            <w:r>
              <w:rPr>
                <w:rFonts w:hint="eastAsia" w:ascii="仿宋" w:hAnsi="仿宋" w:eastAsia="仿宋" w:cs="仿宋"/>
                <w:color w:val="000000" w:themeColor="text1"/>
                <w:sz w:val="28"/>
                <w:szCs w:val="28"/>
                <w:lang w:val="en-US" w:eastAsia="zh-CN"/>
                <w14:textFill>
                  <w14:solidFill>
                    <w14:schemeClr w14:val="tx1"/>
                  </w14:solidFill>
                </w14:textFill>
              </w:rPr>
              <w:t>成功挖掘整理出品“齐氏”“黎氏”两大名人菜各十二道菜，</w:t>
            </w:r>
            <w:r>
              <w:rPr>
                <w:rFonts w:hint="eastAsia" w:ascii="仿宋" w:hAnsi="仿宋" w:eastAsia="仿宋" w:cs="仿宋"/>
                <w:sz w:val="28"/>
                <w:szCs w:val="28"/>
                <w:lang w:val="en-US" w:eastAsia="zh-CN"/>
              </w:rPr>
              <w:t>2018年</w:t>
            </w:r>
            <w:r>
              <w:rPr>
                <w:rFonts w:hint="eastAsia" w:ascii="仿宋" w:hAnsi="仿宋" w:eastAsia="仿宋" w:cs="仿宋"/>
                <w:color w:val="000000" w:themeColor="text1"/>
                <w:sz w:val="28"/>
                <w:szCs w:val="28"/>
                <w:lang w:val="en-US" w:eastAsia="zh-CN"/>
                <w14:textFill>
                  <w14:solidFill>
                    <w14:schemeClr w14:val="tx1"/>
                  </w14:solidFill>
                </w14:textFill>
              </w:rPr>
              <w:t>湘潭县荣获“中国湘莲美食之乡”之称。</w:t>
            </w:r>
            <w:r>
              <w:rPr>
                <w:rFonts w:hint="eastAsia" w:ascii="仿宋" w:hAnsi="仿宋" w:eastAsia="仿宋" w:cs="仿宋"/>
                <w:sz w:val="28"/>
                <w:szCs w:val="28"/>
              </w:rPr>
              <w:t>推荐我县云湖桥镇科星生态农业有限公司作为我县的市级生猪活体储备企业</w:t>
            </w:r>
            <w:r>
              <w:rPr>
                <w:rFonts w:hint="eastAsia" w:ascii="仿宋" w:hAnsi="仿宋" w:eastAsia="仿宋" w:cs="仿宋"/>
                <w:sz w:val="28"/>
                <w:szCs w:val="28"/>
                <w:lang w:eastAsia="zh-CN"/>
              </w:rPr>
              <w:t>，协助</w:t>
            </w:r>
            <w:r>
              <w:rPr>
                <w:rFonts w:hint="eastAsia" w:ascii="仿宋" w:hAnsi="仿宋" w:eastAsia="仿宋" w:cs="仿宋"/>
                <w:sz w:val="28"/>
                <w:szCs w:val="28"/>
              </w:rPr>
              <w:t>企业争取</w:t>
            </w:r>
            <w:r>
              <w:rPr>
                <w:rFonts w:hint="eastAsia" w:ascii="仿宋" w:hAnsi="仿宋" w:eastAsia="仿宋" w:cs="仿宋"/>
                <w:sz w:val="28"/>
                <w:szCs w:val="28"/>
                <w:lang w:eastAsia="zh-CN"/>
              </w:rPr>
              <w:t>省</w:t>
            </w:r>
            <w:r>
              <w:rPr>
                <w:rFonts w:hint="eastAsia" w:ascii="仿宋" w:hAnsi="仿宋" w:eastAsia="仿宋" w:cs="仿宋"/>
                <w:sz w:val="28"/>
                <w:szCs w:val="28"/>
              </w:rPr>
              <w:t>项目资金。</w:t>
            </w:r>
            <w:r>
              <w:rPr>
                <w:rFonts w:hint="eastAsia" w:ascii="仿宋" w:hAnsi="仿宋" w:eastAsia="仿宋" w:cs="仿宋"/>
                <w:sz w:val="28"/>
                <w:szCs w:val="28"/>
                <w:lang w:eastAsia="zh-CN"/>
              </w:rPr>
              <w:t>指导</w:t>
            </w:r>
            <w:r>
              <w:rPr>
                <w:rFonts w:hint="eastAsia" w:ascii="仿宋" w:hAnsi="仿宋" w:eastAsia="仿宋" w:cs="仿宋"/>
                <w:sz w:val="28"/>
                <w:szCs w:val="28"/>
              </w:rPr>
              <w:t>我县湘潭县易俗河镇国药店大药号易俗河（湘潭县药材公司）成功获评为“湖南老字号”</w:t>
            </w:r>
            <w:r>
              <w:rPr>
                <w:rFonts w:hint="eastAsia" w:ascii="仿宋" w:hAnsi="仿宋" w:eastAsia="仿宋" w:cs="仿宋"/>
                <w:sz w:val="28"/>
                <w:szCs w:val="28"/>
                <w:lang w:eastAsia="zh-CN"/>
              </w:rPr>
              <w:t>；</w:t>
            </w:r>
            <w:r>
              <w:rPr>
                <w:rFonts w:hint="eastAsia" w:ascii="仿宋" w:hAnsi="仿宋" w:eastAsia="仿宋" w:cs="仿宋"/>
                <w:sz w:val="28"/>
                <w:szCs w:val="28"/>
              </w:rPr>
              <w:t>创新</w:t>
            </w:r>
            <w:r>
              <w:rPr>
                <w:rFonts w:hint="eastAsia" w:ascii="仿宋" w:hAnsi="仿宋" w:eastAsia="仿宋" w:cs="仿宋"/>
                <w:sz w:val="28"/>
                <w:szCs w:val="28"/>
                <w:lang w:eastAsia="zh-CN"/>
              </w:rPr>
              <w:t>电商</w:t>
            </w:r>
            <w:r>
              <w:rPr>
                <w:rFonts w:hint="eastAsia" w:ascii="仿宋" w:hAnsi="仿宋" w:eastAsia="仿宋" w:cs="仿宋"/>
                <w:sz w:val="28"/>
                <w:szCs w:val="28"/>
              </w:rPr>
              <w:t>培训方式，采用“线上+线下”、“理论+实践”相结合的为期10个月的培训方式</w:t>
            </w:r>
            <w:r>
              <w:rPr>
                <w:rFonts w:hint="eastAsia" w:ascii="仿宋" w:hAnsi="仿宋" w:eastAsia="仿宋" w:cs="仿宋"/>
                <w:sz w:val="28"/>
                <w:szCs w:val="28"/>
                <w:lang w:eastAsia="zh-CN"/>
              </w:rPr>
              <w:t>，</w:t>
            </w:r>
            <w:r>
              <w:rPr>
                <w:rFonts w:hint="eastAsia" w:ascii="仿宋" w:hAnsi="仿宋" w:eastAsia="仿宋" w:cs="仿宋"/>
                <w:sz w:val="28"/>
                <w:szCs w:val="28"/>
              </w:rPr>
              <w:t>参与培训学员150多个，孵化开通网店50多个</w:t>
            </w:r>
            <w:r>
              <w:rPr>
                <w:rFonts w:hint="eastAsia" w:ascii="仿宋" w:hAnsi="仿宋" w:eastAsia="仿宋" w:cs="仿宋"/>
                <w:sz w:val="28"/>
                <w:szCs w:val="28"/>
                <w:lang w:eastAsia="zh-CN"/>
              </w:rPr>
              <w:t>。</w:t>
            </w:r>
            <w:r>
              <w:rPr>
                <w:rFonts w:hint="eastAsia" w:ascii="仿宋" w:hAnsi="仿宋" w:eastAsia="仿宋" w:cs="仿宋"/>
                <w:sz w:val="28"/>
                <w:szCs w:val="28"/>
              </w:rPr>
              <w:t>组织全县“湖南电商扶贫小店”推广培训会，现场培训人员520人次，现场开设540个扶贫小店，吸粉9500人。2018年9月，我局代表湘潭县作为典型在全省电商扶贫暨电子商务进农村综合示范工作推进会上，分享湘潭县电商扶贫工作经验，</w:t>
            </w:r>
            <w:r>
              <w:rPr>
                <w:rFonts w:hint="eastAsia" w:ascii="仿宋" w:hAnsi="仿宋" w:eastAsia="仿宋" w:cs="仿宋"/>
                <w:sz w:val="28"/>
                <w:szCs w:val="28"/>
                <w:lang w:eastAsia="zh-CN"/>
              </w:rPr>
              <w:t>打响湘潭县电商工作新名片。</w:t>
            </w:r>
          </w:p>
          <w:p>
            <w:pPr>
              <w:numPr>
                <w:ilvl w:val="0"/>
                <w:numId w:val="0"/>
              </w:numPr>
              <w:spacing w:line="600" w:lineRule="exact"/>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(4)</w:t>
            </w:r>
            <w:r>
              <w:rPr>
                <w:rFonts w:hint="eastAsia" w:ascii="仿宋" w:hAnsi="仿宋" w:eastAsia="仿宋" w:cs="仿宋"/>
                <w:color w:val="000000" w:themeColor="text1"/>
                <w:sz w:val="28"/>
                <w:szCs w:val="28"/>
                <w:lang w:eastAsia="zh-CN"/>
                <w14:textFill>
                  <w14:solidFill>
                    <w14:schemeClr w14:val="tx1"/>
                  </w14:solidFill>
                </w14:textFill>
              </w:rPr>
              <w:t>项目的可持续性</w:t>
            </w:r>
            <w:r>
              <w:rPr>
                <w:rFonts w:hint="eastAsia" w:ascii="仿宋" w:hAnsi="仿宋" w:eastAsia="仿宋" w:cs="仿宋"/>
                <w:color w:val="000000" w:themeColor="text1"/>
                <w:sz w:val="28"/>
                <w:szCs w:val="28"/>
                <w:lang w:val="en-US" w:eastAsia="zh-CN"/>
                <w14:textFill>
                  <w14:solidFill>
                    <w14:schemeClr w14:val="tx1"/>
                  </w14:solidFill>
                </w14:textFill>
              </w:rPr>
              <w:t>:</w:t>
            </w:r>
            <w:r>
              <w:rPr>
                <w:rFonts w:hint="eastAsia" w:ascii="仿宋" w:hAnsi="仿宋" w:eastAsia="仿宋" w:cs="仿宋"/>
                <w:color w:val="000000" w:themeColor="text1"/>
                <w:sz w:val="28"/>
                <w:szCs w:val="28"/>
                <w:lang w:eastAsia="zh-CN"/>
                <w14:textFill>
                  <w14:solidFill>
                    <w14:schemeClr w14:val="tx1"/>
                  </w14:solidFill>
                </w14:textFill>
              </w:rPr>
              <w:t>为确保项目实施后实现可持续发展，我县将每年合理安排商贸流通发展专项资金，为项目可持续发展提供政策和资金保障。</w:t>
            </w:r>
          </w:p>
          <w:p>
            <w:pPr>
              <w:spacing w:line="576" w:lineRule="exact"/>
              <w:ind w:right="880" w:rightChars="419"/>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2" w:hRule="atLeast"/>
          <w:jc w:val="center"/>
        </w:trPr>
        <w:tc>
          <w:tcPr>
            <w:tcW w:w="1567" w:type="dxa"/>
            <w:vMerge w:val="restart"/>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存在的问题分析及改进措施</w:t>
            </w:r>
          </w:p>
        </w:tc>
        <w:tc>
          <w:tcPr>
            <w:tcW w:w="1985" w:type="dxa"/>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存在的问题</w:t>
            </w:r>
          </w:p>
        </w:tc>
        <w:tc>
          <w:tcPr>
            <w:tcW w:w="5670" w:type="dxa"/>
            <w:noWrap w:val="0"/>
            <w:vAlign w:val="center"/>
          </w:tcPr>
          <w:p>
            <w:pPr>
              <w:numPr>
                <w:ilvl w:val="0"/>
                <w:numId w:val="2"/>
              </w:numPr>
              <w:spacing w:line="600" w:lineRule="exac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在执行预算绩效管理工作中对与        业务和政策吃不透，把握不准，缺乏系统的学习和研究。</w:t>
            </w:r>
          </w:p>
          <w:p>
            <w:pPr>
              <w:numPr>
                <w:ilvl w:val="0"/>
                <w:numId w:val="2"/>
              </w:numPr>
              <w:spacing w:line="600" w:lineRule="exac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专项资金分配不全的现象还是存在，资金项目较小。</w:t>
            </w:r>
          </w:p>
          <w:p>
            <w:pPr>
              <w:numPr>
                <w:ilvl w:val="0"/>
                <w:numId w:val="0"/>
              </w:numPr>
              <w:spacing w:line="600" w:lineRule="exact"/>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3、绩效目标实现和预算执行应实行“双监控”，在季度跟踪监控工作中注重目标完成进度的监控，忽视了预算执行进度同步监控</w:t>
            </w:r>
          </w:p>
          <w:p>
            <w:pPr>
              <w:numPr>
                <w:ilvl w:val="0"/>
                <w:numId w:val="0"/>
              </w:numPr>
              <w:spacing w:line="600" w:lineRule="exac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4、指标值的设定上，每一项目标对应的产出指标和效益指标进行具体的分析和指标设置，存在有的目标量化程度不够，有的指标描述不清晰，有的指标设置不完整等问题。</w:t>
            </w:r>
          </w:p>
          <w:p>
            <w:pPr>
              <w:numPr>
                <w:ilvl w:val="0"/>
                <w:numId w:val="0"/>
              </w:numPr>
              <w:spacing w:line="600" w:lineRule="exact"/>
              <w:rPr>
                <w:rFonts w:hint="eastAsia" w:ascii="仿宋" w:hAnsi="仿宋" w:eastAsia="仿宋" w:cs="仿宋"/>
                <w:color w:val="000000" w:themeColor="text1"/>
                <w:sz w:val="28"/>
                <w:szCs w:val="2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1567" w:type="dxa"/>
            <w:vMerge w:val="continue"/>
            <w:noWrap w:val="0"/>
            <w:vAlign w:val="top"/>
          </w:tcPr>
          <w:p>
            <w:pPr>
              <w:spacing w:line="576" w:lineRule="exact"/>
              <w:jc w:val="center"/>
              <w:rPr>
                <w:rFonts w:hint="eastAsia" w:ascii="仿宋" w:hAnsi="仿宋" w:eastAsia="仿宋" w:cs="仿宋"/>
                <w:sz w:val="28"/>
                <w:szCs w:val="28"/>
              </w:rPr>
            </w:pPr>
          </w:p>
        </w:tc>
        <w:tc>
          <w:tcPr>
            <w:tcW w:w="1985" w:type="dxa"/>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改进措施</w:t>
            </w:r>
          </w:p>
        </w:tc>
        <w:tc>
          <w:tcPr>
            <w:tcW w:w="5670" w:type="dxa"/>
            <w:noWrap w:val="0"/>
            <w:vAlign w:val="center"/>
          </w:tcPr>
          <w:p>
            <w:pPr>
              <w:numPr>
                <w:ilvl w:val="0"/>
                <w:numId w:val="0"/>
              </w:numPr>
              <w:spacing w:line="600" w:lineRule="exac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1、全方位、全过程、全覆盖的加强预算绩效管理机制，将政策和项目全面纳入绩效管理，科学完整的设置绩效目标的各项指标。</w:t>
            </w:r>
          </w:p>
          <w:p>
            <w:pPr>
              <w:numPr>
                <w:ilvl w:val="0"/>
                <w:numId w:val="0"/>
              </w:numPr>
              <w:spacing w:line="600" w:lineRule="exac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2、合理分配专项资盒，坚持“专款专用，保证重点，规范运作、注重实效”的原则，积极有效发挥对政资金引导作用改进措施。</w:t>
            </w:r>
          </w:p>
          <w:p>
            <w:pPr>
              <w:numPr>
                <w:ilvl w:val="0"/>
                <w:numId w:val="0"/>
              </w:numPr>
              <w:spacing w:line="600" w:lineRule="exac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3、根据“谁申请、谁使用、谁负责”的原则，明确跟踪监控责任科室，确定专人，将该工作落到实处，建立绩效运行跟踪监控管理机制，不断积累经验，完善管理，确保监控到位。</w:t>
            </w:r>
          </w:p>
          <w:p>
            <w:pPr>
              <w:numPr>
                <w:ilvl w:val="0"/>
                <w:numId w:val="0"/>
              </w:numPr>
              <w:spacing w:line="600" w:lineRule="exact"/>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4、单位应对此项工作高度重规，通过多种形式组织组织相关人员参加学习培训，提高管理能力和水平。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567" w:type="dxa"/>
            <w:vMerge w:val="continue"/>
            <w:noWrap w:val="0"/>
            <w:vAlign w:val="top"/>
          </w:tcPr>
          <w:p>
            <w:pPr>
              <w:spacing w:line="576" w:lineRule="exact"/>
              <w:jc w:val="center"/>
              <w:rPr>
                <w:rFonts w:hint="eastAsia" w:ascii="仿宋" w:hAnsi="仿宋" w:eastAsia="仿宋" w:cs="仿宋"/>
                <w:sz w:val="28"/>
                <w:szCs w:val="28"/>
              </w:rPr>
            </w:pPr>
          </w:p>
        </w:tc>
        <w:tc>
          <w:tcPr>
            <w:tcW w:w="1985" w:type="dxa"/>
            <w:noWrap w:val="0"/>
            <w:vAlign w:val="center"/>
          </w:tcPr>
          <w:p>
            <w:pPr>
              <w:spacing w:line="576" w:lineRule="exact"/>
              <w:jc w:val="center"/>
              <w:rPr>
                <w:rFonts w:hint="eastAsia" w:ascii="仿宋" w:hAnsi="仿宋" w:eastAsia="仿宋" w:cs="仿宋"/>
                <w:sz w:val="28"/>
                <w:szCs w:val="28"/>
              </w:rPr>
            </w:pPr>
            <w:r>
              <w:rPr>
                <w:rFonts w:hint="eastAsia" w:ascii="仿宋" w:hAnsi="仿宋" w:eastAsia="仿宋" w:cs="仿宋"/>
                <w:sz w:val="28"/>
                <w:szCs w:val="28"/>
              </w:rPr>
              <w:t>其他需要说明问题</w:t>
            </w:r>
          </w:p>
        </w:tc>
        <w:tc>
          <w:tcPr>
            <w:tcW w:w="5670" w:type="dxa"/>
            <w:noWrap w:val="0"/>
            <w:vAlign w:val="center"/>
          </w:tcPr>
          <w:p>
            <w:pPr>
              <w:numPr>
                <w:ilvl w:val="0"/>
                <w:numId w:val="0"/>
              </w:numPr>
              <w:spacing w:line="600" w:lineRule="exac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无</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p>
        </w:tc>
      </w:tr>
    </w:tbl>
    <w:p>
      <w:pPr>
        <w:spacing w:line="460" w:lineRule="atLeast"/>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宋体"/>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8D1595"/>
    <w:multiLevelType w:val="singleLevel"/>
    <w:tmpl w:val="EA8D1595"/>
    <w:lvl w:ilvl="0" w:tentative="0">
      <w:start w:val="1"/>
      <w:numFmt w:val="decimal"/>
      <w:suff w:val="nothing"/>
      <w:lvlText w:val="（%1）"/>
      <w:lvlJc w:val="left"/>
    </w:lvl>
  </w:abstractNum>
  <w:abstractNum w:abstractNumId="1">
    <w:nsid w:val="2F742409"/>
    <w:multiLevelType w:val="singleLevel"/>
    <w:tmpl w:val="2F742409"/>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hM2RkMWNkMjZkOWE2MjExNDBlMWEyYTY0MjVhZjAifQ=="/>
  </w:docVars>
  <w:rsids>
    <w:rsidRoot w:val="00E847E2"/>
    <w:rsid w:val="0015144E"/>
    <w:rsid w:val="001A3B29"/>
    <w:rsid w:val="001B24C2"/>
    <w:rsid w:val="00212FC2"/>
    <w:rsid w:val="00261B27"/>
    <w:rsid w:val="0043272A"/>
    <w:rsid w:val="0052046E"/>
    <w:rsid w:val="005604E6"/>
    <w:rsid w:val="006722E6"/>
    <w:rsid w:val="00772EC8"/>
    <w:rsid w:val="00901CC4"/>
    <w:rsid w:val="009131AF"/>
    <w:rsid w:val="00920780"/>
    <w:rsid w:val="00AE4C9C"/>
    <w:rsid w:val="00B97A06"/>
    <w:rsid w:val="00D65893"/>
    <w:rsid w:val="00D93775"/>
    <w:rsid w:val="00E37B3B"/>
    <w:rsid w:val="00E531ED"/>
    <w:rsid w:val="00E847E2"/>
    <w:rsid w:val="00E87EE5"/>
    <w:rsid w:val="015D659E"/>
    <w:rsid w:val="02044B64"/>
    <w:rsid w:val="029B016E"/>
    <w:rsid w:val="02BB0B0F"/>
    <w:rsid w:val="02F44ECC"/>
    <w:rsid w:val="03642AC8"/>
    <w:rsid w:val="03D07C22"/>
    <w:rsid w:val="03F9298D"/>
    <w:rsid w:val="045B5C55"/>
    <w:rsid w:val="04C273C5"/>
    <w:rsid w:val="0561349D"/>
    <w:rsid w:val="05CF0FB7"/>
    <w:rsid w:val="06894194"/>
    <w:rsid w:val="06E84215"/>
    <w:rsid w:val="070731E4"/>
    <w:rsid w:val="07341776"/>
    <w:rsid w:val="07E61709"/>
    <w:rsid w:val="081769C3"/>
    <w:rsid w:val="089F0D77"/>
    <w:rsid w:val="09281DC6"/>
    <w:rsid w:val="09597225"/>
    <w:rsid w:val="0A4A4F4F"/>
    <w:rsid w:val="0AE378AE"/>
    <w:rsid w:val="0B8B45EA"/>
    <w:rsid w:val="0C1C388C"/>
    <w:rsid w:val="0C5D3A8A"/>
    <w:rsid w:val="0C784720"/>
    <w:rsid w:val="0C7B7775"/>
    <w:rsid w:val="0C8223A4"/>
    <w:rsid w:val="0D9954D1"/>
    <w:rsid w:val="0FAA13A6"/>
    <w:rsid w:val="11486AEB"/>
    <w:rsid w:val="1276523D"/>
    <w:rsid w:val="12D6700D"/>
    <w:rsid w:val="146C3A48"/>
    <w:rsid w:val="149B486D"/>
    <w:rsid w:val="150338E6"/>
    <w:rsid w:val="16552630"/>
    <w:rsid w:val="17121C03"/>
    <w:rsid w:val="17807169"/>
    <w:rsid w:val="18B716FB"/>
    <w:rsid w:val="1939559B"/>
    <w:rsid w:val="19F563BF"/>
    <w:rsid w:val="1A52542A"/>
    <w:rsid w:val="1AD74A9D"/>
    <w:rsid w:val="1B5A75B8"/>
    <w:rsid w:val="1B7E6B25"/>
    <w:rsid w:val="1BD92D54"/>
    <w:rsid w:val="1C911351"/>
    <w:rsid w:val="1DE43F1A"/>
    <w:rsid w:val="1E445600"/>
    <w:rsid w:val="1FF676E2"/>
    <w:rsid w:val="20144604"/>
    <w:rsid w:val="20607426"/>
    <w:rsid w:val="206E53D3"/>
    <w:rsid w:val="225A171E"/>
    <w:rsid w:val="226F06AA"/>
    <w:rsid w:val="24B80E9D"/>
    <w:rsid w:val="25A05804"/>
    <w:rsid w:val="25E231F6"/>
    <w:rsid w:val="25F91055"/>
    <w:rsid w:val="26E72069"/>
    <w:rsid w:val="27681EB0"/>
    <w:rsid w:val="27DB7977"/>
    <w:rsid w:val="2864073C"/>
    <w:rsid w:val="288B3C1E"/>
    <w:rsid w:val="28D647E4"/>
    <w:rsid w:val="291B3A7E"/>
    <w:rsid w:val="29D62D7D"/>
    <w:rsid w:val="2ABB7821"/>
    <w:rsid w:val="2AE15D1F"/>
    <w:rsid w:val="2B0C5C6D"/>
    <w:rsid w:val="2C645AEC"/>
    <w:rsid w:val="2C832F51"/>
    <w:rsid w:val="2D194C08"/>
    <w:rsid w:val="2EAA6D69"/>
    <w:rsid w:val="2F0667F3"/>
    <w:rsid w:val="30591E02"/>
    <w:rsid w:val="310124EE"/>
    <w:rsid w:val="31086D37"/>
    <w:rsid w:val="314943AD"/>
    <w:rsid w:val="31BD7A37"/>
    <w:rsid w:val="31F07F9C"/>
    <w:rsid w:val="33183DEF"/>
    <w:rsid w:val="33AF4D01"/>
    <w:rsid w:val="33D46E42"/>
    <w:rsid w:val="35D46D12"/>
    <w:rsid w:val="360C2C0C"/>
    <w:rsid w:val="3629548F"/>
    <w:rsid w:val="362B36ED"/>
    <w:rsid w:val="36B1029B"/>
    <w:rsid w:val="37CD0F75"/>
    <w:rsid w:val="38A91FB3"/>
    <w:rsid w:val="38D93999"/>
    <w:rsid w:val="39890218"/>
    <w:rsid w:val="3A832C8B"/>
    <w:rsid w:val="3ABE3CDC"/>
    <w:rsid w:val="3AC0357C"/>
    <w:rsid w:val="3B4D6062"/>
    <w:rsid w:val="3BCD0424"/>
    <w:rsid w:val="3BE012EE"/>
    <w:rsid w:val="3DDE5F62"/>
    <w:rsid w:val="3EFD4A14"/>
    <w:rsid w:val="3F9B2BFC"/>
    <w:rsid w:val="403900E6"/>
    <w:rsid w:val="40DF1A16"/>
    <w:rsid w:val="41055371"/>
    <w:rsid w:val="42967DF7"/>
    <w:rsid w:val="433557AC"/>
    <w:rsid w:val="449E0705"/>
    <w:rsid w:val="44AC0906"/>
    <w:rsid w:val="451A0241"/>
    <w:rsid w:val="457B1187"/>
    <w:rsid w:val="45976081"/>
    <w:rsid w:val="465C3D13"/>
    <w:rsid w:val="47963CA3"/>
    <w:rsid w:val="47AD2355"/>
    <w:rsid w:val="480B1833"/>
    <w:rsid w:val="481D71ED"/>
    <w:rsid w:val="48442DF7"/>
    <w:rsid w:val="487B0DA3"/>
    <w:rsid w:val="489D1C4E"/>
    <w:rsid w:val="48B92F24"/>
    <w:rsid w:val="49051E5E"/>
    <w:rsid w:val="4923458D"/>
    <w:rsid w:val="49367384"/>
    <w:rsid w:val="49544DBC"/>
    <w:rsid w:val="497B7778"/>
    <w:rsid w:val="498F174F"/>
    <w:rsid w:val="49C00E76"/>
    <w:rsid w:val="4A6E7200"/>
    <w:rsid w:val="4B310833"/>
    <w:rsid w:val="4CE20BCB"/>
    <w:rsid w:val="4E0D14F8"/>
    <w:rsid w:val="4EF363F8"/>
    <w:rsid w:val="4F510C91"/>
    <w:rsid w:val="4FA12EFE"/>
    <w:rsid w:val="5001283D"/>
    <w:rsid w:val="501663C9"/>
    <w:rsid w:val="50C7352E"/>
    <w:rsid w:val="50F27A7B"/>
    <w:rsid w:val="51F2100D"/>
    <w:rsid w:val="53182720"/>
    <w:rsid w:val="535D3A7C"/>
    <w:rsid w:val="53A26CC4"/>
    <w:rsid w:val="555408FB"/>
    <w:rsid w:val="55685411"/>
    <w:rsid w:val="56495F30"/>
    <w:rsid w:val="56910CB8"/>
    <w:rsid w:val="569D213A"/>
    <w:rsid w:val="56D8032C"/>
    <w:rsid w:val="571B70C8"/>
    <w:rsid w:val="58C52109"/>
    <w:rsid w:val="599E0D2E"/>
    <w:rsid w:val="59DA374F"/>
    <w:rsid w:val="59F306BC"/>
    <w:rsid w:val="5B84083B"/>
    <w:rsid w:val="5B9E022C"/>
    <w:rsid w:val="5C023212"/>
    <w:rsid w:val="5C290F88"/>
    <w:rsid w:val="5CCA1191"/>
    <w:rsid w:val="5CE87EA2"/>
    <w:rsid w:val="5D3A456C"/>
    <w:rsid w:val="5E6348BB"/>
    <w:rsid w:val="5EDB4D26"/>
    <w:rsid w:val="5F8156BC"/>
    <w:rsid w:val="606A47AD"/>
    <w:rsid w:val="608577FD"/>
    <w:rsid w:val="60DF615A"/>
    <w:rsid w:val="60F91FDF"/>
    <w:rsid w:val="61476EFB"/>
    <w:rsid w:val="61A70144"/>
    <w:rsid w:val="61EB4B9D"/>
    <w:rsid w:val="62860C42"/>
    <w:rsid w:val="638A206E"/>
    <w:rsid w:val="63A00180"/>
    <w:rsid w:val="65E61A2E"/>
    <w:rsid w:val="679B5BFB"/>
    <w:rsid w:val="67B31BB7"/>
    <w:rsid w:val="68357A94"/>
    <w:rsid w:val="69320FEC"/>
    <w:rsid w:val="6A54589C"/>
    <w:rsid w:val="6B154AB4"/>
    <w:rsid w:val="6B5B47B7"/>
    <w:rsid w:val="6B6A0829"/>
    <w:rsid w:val="6BD615C9"/>
    <w:rsid w:val="6C320B14"/>
    <w:rsid w:val="6CBD7BBC"/>
    <w:rsid w:val="6CFD4939"/>
    <w:rsid w:val="6D7A6702"/>
    <w:rsid w:val="6F194544"/>
    <w:rsid w:val="70063C65"/>
    <w:rsid w:val="71EA7B5F"/>
    <w:rsid w:val="72B44B2F"/>
    <w:rsid w:val="72E77F3D"/>
    <w:rsid w:val="73506285"/>
    <w:rsid w:val="74AF0578"/>
    <w:rsid w:val="74BC791B"/>
    <w:rsid w:val="756F6C68"/>
    <w:rsid w:val="75AE1351"/>
    <w:rsid w:val="7B077385"/>
    <w:rsid w:val="7BFE3D28"/>
    <w:rsid w:val="7C312876"/>
    <w:rsid w:val="7E376D6D"/>
    <w:rsid w:val="7EAA4E96"/>
    <w:rsid w:val="7ED0645A"/>
    <w:rsid w:val="7F4C2D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color w:val="auto"/>
      <w:kern w:val="0"/>
      <w:sz w:val="24"/>
      <w:u w:val="none"/>
      <w:lang w:val="en-US" w:eastAsia="zh-CN" w:bidi="ar"/>
    </w:rPr>
  </w:style>
  <w:style w:type="character" w:styleId="7">
    <w:name w:val="FollowedHyperlink"/>
    <w:basedOn w:val="6"/>
    <w:semiHidden/>
    <w:unhideWhenUsed/>
    <w:qFormat/>
    <w:uiPriority w:val="99"/>
    <w:rPr>
      <w:color w:val="800080"/>
      <w:u w:val="none"/>
    </w:rPr>
  </w:style>
  <w:style w:type="character" w:styleId="8">
    <w:name w:val="Hyperlink"/>
    <w:basedOn w:val="6"/>
    <w:semiHidden/>
    <w:unhideWhenUsed/>
    <w:qFormat/>
    <w:uiPriority w:val="99"/>
    <w:rPr>
      <w:color w:val="333333"/>
      <w:u w:val="none"/>
    </w:rPr>
  </w:style>
  <w:style w:type="character" w:customStyle="1" w:styleId="9">
    <w:name w:val="页眉 Char"/>
    <w:basedOn w:val="6"/>
    <w:link w:val="3"/>
    <w:qFormat/>
    <w:uiPriority w:val="99"/>
    <w:rPr>
      <w:sz w:val="18"/>
      <w:szCs w:val="18"/>
    </w:rPr>
  </w:style>
  <w:style w:type="character" w:customStyle="1" w:styleId="10">
    <w:name w:val="页脚 Char"/>
    <w:basedOn w:val="6"/>
    <w:link w:val="2"/>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hover41"/>
    <w:basedOn w:val="6"/>
    <w:qFormat/>
    <w:uiPriority w:val="0"/>
    <w:rPr>
      <w:color w:val="000000"/>
      <w:shd w:val="clear" w:fill="FFFFFF"/>
    </w:rPr>
  </w:style>
  <w:style w:type="paragraph" w:styleId="13">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4">
    <w:name w:val="_Style 0"/>
    <w:qFormat/>
    <w:uiPriority w:val="2"/>
    <w:pPr>
      <w:widowControl w:val="0"/>
      <w:jc w:val="both"/>
    </w:pPr>
    <w:rPr>
      <w:rFonts w:ascii="Calibri" w:hAnsi="Calibri" w:eastAsia="宋体" w:cs="Calibri"/>
      <w:color w:val="000000"/>
      <w:kern w:val="1"/>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10</Pages>
  <Words>3646</Words>
  <Characters>3833</Characters>
  <Lines>30</Lines>
  <Paragraphs>8</Paragraphs>
  <TotalTime>14</TotalTime>
  <ScaleCrop>false</ScaleCrop>
  <LinksUpToDate>false</LinksUpToDate>
  <CharactersWithSpaces>3848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2017-05-24T07:34:00Z</dcterms:created>
  <dc:creator>Windows User</dc:creator>
  <cp:lastModifiedBy>月牙湾</cp:lastModifiedBy>
  <dcterms:modified xsi:type="dcterms:W3CDTF">2023-09-11T02:46:27Z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AFA4BC211EC74AAE88BA56B1ECE8A404_13</vt:lpwstr>
  </property>
</Properties>
</file>