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sz w:val="84"/>
          <w:szCs w:val="84"/>
        </w:rPr>
      </w:pPr>
      <w:r>
        <w:rPr>
          <w:rFonts w:hint="eastAsia"/>
          <w:sz w:val="84"/>
          <w:szCs w:val="84"/>
        </w:rPr>
        <w:t>2021年度</w:t>
      </w:r>
    </w:p>
    <w:p>
      <w:pPr>
        <w:pStyle w:val="13"/>
        <w:jc w:val="center"/>
        <w:rPr>
          <w:sz w:val="84"/>
          <w:szCs w:val="84"/>
        </w:rPr>
      </w:pPr>
      <w:r>
        <w:rPr>
          <w:rFonts w:hint="eastAsia"/>
          <w:sz w:val="84"/>
          <w:szCs w:val="84"/>
        </w:rPr>
        <w:t>湘潭县发展和改革局部门</w:t>
      </w:r>
    </w:p>
    <w:p>
      <w:pPr>
        <w:pStyle w:val="13"/>
        <w:jc w:val="center"/>
        <w:rPr>
          <w:sz w:val="84"/>
          <w:szCs w:val="84"/>
        </w:rPr>
      </w:pPr>
      <w:r>
        <w:rPr>
          <w:rFonts w:hint="eastAsia"/>
          <w:sz w:val="84"/>
          <w:szCs w:val="84"/>
        </w:rPr>
        <w:t>决算</w:t>
      </w: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center"/>
        <w:rPr>
          <w:b/>
          <w:sz w:val="36"/>
          <w:szCs w:val="28"/>
        </w:rPr>
      </w:pPr>
    </w:p>
    <w:p>
      <w:pPr>
        <w:pStyle w:val="13"/>
        <w:spacing w:line="500" w:lineRule="exact"/>
        <w:jc w:val="center"/>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outlineLvl w:val="0"/>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湘潭县发展和改革局单位概况</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00" w:lineRule="exact"/>
        <w:outlineLvl w:val="0"/>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3"/>
        <w:spacing w:line="500" w:lineRule="exact"/>
        <w:outlineLvl w:val="0"/>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21年度部门决算情况说明</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48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hint="eastAsia" w:cs="仿宋_GB2312" w:asciiTheme="minorEastAsia" w:hAnsiTheme="minorEastAsia"/>
          <w:sz w:val="28"/>
          <w:szCs w:val="28"/>
        </w:rPr>
        <w:t>国有资本经营预算财政拨款支出决算情况</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十、关</w:t>
      </w:r>
      <w:r>
        <w:rPr>
          <w:rFonts w:hint="eastAsia" w:cs="仿宋_GB2312" w:asciiTheme="minorEastAsia" w:hAnsiTheme="minorEastAsia" w:eastAsiaTheme="minorEastAsia"/>
          <w:sz w:val="28"/>
          <w:szCs w:val="28"/>
        </w:rPr>
        <w:t>于2021年</w:t>
      </w:r>
      <w:r>
        <w:rPr>
          <w:rFonts w:hint="eastAsia" w:ascii="仿宋_GB2312" w:hAnsi="仿宋_GB2312" w:cs="仿宋_GB2312" w:eastAsiaTheme="minorEastAsia"/>
          <w:sz w:val="28"/>
          <w:szCs w:val="28"/>
        </w:rPr>
        <w:t>度预算绩效情况的说明</w:t>
      </w:r>
    </w:p>
    <w:p>
      <w:pPr>
        <w:pStyle w:val="13"/>
        <w:spacing w:line="48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十一、其他重要事项情况说明</w:t>
      </w:r>
    </w:p>
    <w:p>
      <w:pPr>
        <w:autoSpaceDE w:val="0"/>
        <w:autoSpaceDN w:val="0"/>
        <w:adjustRightInd w:val="0"/>
        <w:spacing w:line="500" w:lineRule="exact"/>
        <w:jc w:val="left"/>
        <w:outlineLvl w:val="0"/>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jc w:val="left"/>
        <w:outlineLvl w:val="0"/>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hint="eastAsia" w:ascii="黑体" w:hAnsi="黑体" w:eastAsia="黑体" w:cs="黑体"/>
          <w:b/>
          <w:color w:val="000000"/>
          <w:kern w:val="0"/>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3"/>
        <w:jc w:val="center"/>
        <w:rPr>
          <w:sz w:val="84"/>
          <w:szCs w:val="84"/>
        </w:rPr>
      </w:pPr>
      <w:r>
        <w:rPr>
          <w:rFonts w:hint="eastAsia"/>
          <w:sz w:val="84"/>
          <w:szCs w:val="84"/>
        </w:rPr>
        <w:t>第一部分</w:t>
      </w:r>
    </w:p>
    <w:p>
      <w:pPr>
        <w:pStyle w:val="13"/>
        <w:jc w:val="center"/>
        <w:rPr>
          <w:sz w:val="84"/>
          <w:szCs w:val="84"/>
        </w:rPr>
      </w:pPr>
    </w:p>
    <w:p>
      <w:pPr>
        <w:pStyle w:val="13"/>
        <w:jc w:val="center"/>
        <w:outlineLvl w:val="0"/>
        <w:rPr>
          <w:sz w:val="84"/>
          <w:szCs w:val="84"/>
        </w:rPr>
      </w:pPr>
      <w:r>
        <w:rPr>
          <w:rFonts w:hint="eastAsia"/>
          <w:sz w:val="84"/>
          <w:szCs w:val="84"/>
        </w:rPr>
        <w:t>湘潭县发展和改革局</w:t>
      </w:r>
    </w:p>
    <w:p>
      <w:pPr>
        <w:pStyle w:val="13"/>
        <w:jc w:val="center"/>
        <w:outlineLvl w:val="0"/>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numPr>
          <w:ilvl w:val="0"/>
          <w:numId w:val="1"/>
        </w:numPr>
        <w:ind w:firstLineChars="0"/>
        <w:jc w:val="left"/>
        <w:outlineLvl w:val="0"/>
        <w:rPr>
          <w:rFonts w:ascii="黑体" w:hAnsi="黑体" w:eastAsia="黑体"/>
          <w:sz w:val="32"/>
          <w:szCs w:val="32"/>
        </w:rPr>
      </w:pPr>
      <w:r>
        <w:rPr>
          <w:rFonts w:ascii="黑体" w:hAnsi="黑体" w:eastAsia="黑体"/>
          <w:sz w:val="32"/>
          <w:szCs w:val="32"/>
        </w:rPr>
        <w:t>部门职责</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（二）统筹协调经济社会发展。研究分析国内外、县内外经济形势和社会发展情况，监测预测预警全县宏观经济和社会发展态势，提出宏观调控措施和建议，协调解决宏观经济运行中的重大问题。</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（三）参与拟订财政政策、金融政策、土地政策等，汇总、分析政策的执行情况。负责企业债券发行的审查和申报，监督发行企业债券募集资金的使用。</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（十四）组织编制全县国民经济建设和国防建设协调发展的规划、计划，组织实施国民经济动员和装备动员有关工作。</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（十九）统筹推进信用体系建设工作。</w:t>
      </w:r>
    </w:p>
    <w:p>
      <w:pPr>
        <w:widowControl/>
        <w:spacing w:line="600" w:lineRule="exact"/>
        <w:ind w:firstLine="320" w:firstLineChars="100"/>
        <w:rPr>
          <w:rFonts w:asciiTheme="minorEastAsia" w:hAnsiTheme="minorEastAsia"/>
          <w:bCs/>
          <w:kern w:val="0"/>
          <w:sz w:val="32"/>
          <w:szCs w:val="32"/>
        </w:rPr>
      </w:pPr>
      <w:r>
        <w:rPr>
          <w:rFonts w:hint="eastAsia" w:asciiTheme="minorEastAsia" w:hAnsiTheme="minorEastAsia"/>
          <w:bCs/>
          <w:kern w:val="0"/>
          <w:sz w:val="32"/>
          <w:szCs w:val="32"/>
        </w:rPr>
        <w:t>（二十）完成县委、县政府交办的其他任务。</w:t>
      </w:r>
    </w:p>
    <w:p>
      <w:pPr>
        <w:widowControl/>
        <w:spacing w:line="600" w:lineRule="exact"/>
        <w:outlineLvl w:val="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湘潭县发展和改革局属行政单位，核定编制人员42人，年末实有在职人员44人，其中行政人员14名，事业人员28名，机关后勤人员1人，人事代理1人。退休人员56名，遗属人员7人。湘潭县发展和改革局设内设机构14个：综合办公室（经济体制综合改革股）、政策法规股（审批服务股、价格认证股）、农村经济股、工业交通能源环资股、价格管理和成本调查股、第三产业办公室（社会事业发展股、商务流通股）、粮食和物资储备股（粮食产业发展和粮食安全监管股）、财务审计股、离退休人员管理服务股、湘潭县重点建设项目事务中心、湘潭县政府投资项目评审中心、湘潭县价格监测服务中心、湘潭县“两型社会”建设综合配套改革事务中心</w:t>
      </w:r>
      <w:r>
        <w:rPr>
          <w:rFonts w:hint="eastAsia" w:asciiTheme="minorEastAsia" w:hAnsiTheme="minorEastAsia"/>
          <w:bCs/>
          <w:kern w:val="0"/>
          <w:sz w:val="32"/>
          <w:szCs w:val="32"/>
          <w:lang w:eastAsia="zh-CN"/>
        </w:rPr>
        <w:t>、湘潭县重点项目开发前期服务中心</w:t>
      </w:r>
      <w:r>
        <w:rPr>
          <w:rFonts w:hint="eastAsia" w:asciiTheme="minorEastAsia" w:hAnsiTheme="minorEastAsia"/>
          <w:bCs/>
          <w:kern w:val="0"/>
          <w:sz w:val="32"/>
          <w:szCs w:val="32"/>
        </w:rPr>
        <w:t>。</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（二）决算单位构成。湘潭县发展和改革局2021年部门决算汇总公开单位构成包括：湘潭县发展和改革局部门决算只有本级，没有其他决算单位，因此本部门决算仅含本级决算。</w:t>
      </w:r>
    </w:p>
    <w:p>
      <w:pPr>
        <w:widowControl/>
        <w:spacing w:line="600" w:lineRule="exact"/>
        <w:ind w:firstLine="320" w:firstLineChars="100"/>
        <w:rPr>
          <w:rFonts w:asciiTheme="minorEastAsia" w:hAnsiTheme="minorEastAsia"/>
          <w:bCs/>
          <w:kern w:val="0"/>
          <w:sz w:val="32"/>
          <w:szCs w:val="32"/>
        </w:rPr>
      </w:pPr>
    </w:p>
    <w:p>
      <w:pPr>
        <w:widowControl/>
        <w:spacing w:line="600" w:lineRule="exact"/>
        <w:ind w:firstLine="320" w:firstLineChars="100"/>
        <w:rPr>
          <w:rFonts w:asciiTheme="minorEastAsia" w:hAnsiTheme="minorEastAsia"/>
          <w:bCs/>
          <w:kern w:val="0"/>
          <w:sz w:val="32"/>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jc w:val="center"/>
        <w:rPr>
          <w:sz w:val="84"/>
          <w:szCs w:val="84"/>
        </w:rPr>
      </w:pPr>
      <w:r>
        <w:rPr>
          <w:rFonts w:hint="eastAsia"/>
          <w:sz w:val="84"/>
          <w:szCs w:val="84"/>
        </w:rPr>
        <w:t>第二部分</w:t>
      </w:r>
    </w:p>
    <w:p>
      <w:pPr>
        <w:pStyle w:val="13"/>
        <w:jc w:val="center"/>
        <w:rPr>
          <w:sz w:val="84"/>
          <w:szCs w:val="84"/>
        </w:rPr>
      </w:pPr>
    </w:p>
    <w:p>
      <w:pPr>
        <w:pStyle w:val="13"/>
        <w:jc w:val="center"/>
        <w:rPr>
          <w:sz w:val="84"/>
          <w:szCs w:val="84"/>
        </w:rPr>
      </w:pPr>
      <w:r>
        <w:rPr>
          <w:rFonts w:hint="eastAsia"/>
          <w:sz w:val="84"/>
          <w:szCs w:val="84"/>
        </w:rPr>
        <w:t>部门决算表</w:t>
      </w:r>
    </w:p>
    <w:p>
      <w:pPr>
        <w:pStyle w:val="13"/>
        <w:jc w:val="center"/>
        <w:rPr>
          <w:sz w:val="84"/>
          <w:szCs w:val="84"/>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sectPr>
          <w:pgSz w:w="11906" w:h="16838"/>
          <w:pgMar w:top="720" w:right="720" w:bottom="720" w:left="720" w:header="851" w:footer="992" w:gutter="0"/>
          <w:cols w:space="425" w:num="1"/>
          <w:docGrid w:type="lines" w:linePitch="312" w:charSpace="0"/>
        </w:sectPr>
      </w:pPr>
    </w:p>
    <w:p>
      <w:pPr>
        <w:jc w:val="left"/>
        <w:rPr>
          <w:sz w:val="32"/>
          <w:szCs w:val="32"/>
        </w:rPr>
      </w:pPr>
    </w:p>
    <w:tbl>
      <w:tblPr>
        <w:tblStyle w:val="9"/>
        <w:tblpPr w:leftFromText="180" w:rightFromText="180" w:vertAnchor="page" w:horzAnchor="margin" w:tblpXSpec="center" w:tblpY="1203"/>
        <w:tblW w:w="14129" w:type="dxa"/>
        <w:tblInd w:w="0" w:type="dxa"/>
        <w:tblLayout w:type="fixed"/>
        <w:tblCellMar>
          <w:top w:w="0" w:type="dxa"/>
          <w:left w:w="108" w:type="dxa"/>
          <w:bottom w:w="0" w:type="dxa"/>
          <w:right w:w="108" w:type="dxa"/>
        </w:tblCellMar>
      </w:tblPr>
      <w:tblGrid>
        <w:gridCol w:w="4138"/>
        <w:gridCol w:w="450"/>
        <w:gridCol w:w="633"/>
        <w:gridCol w:w="699"/>
        <w:gridCol w:w="237"/>
        <w:gridCol w:w="295"/>
        <w:gridCol w:w="3624"/>
        <w:gridCol w:w="1003"/>
        <w:gridCol w:w="869"/>
        <w:gridCol w:w="659"/>
        <w:gridCol w:w="1522"/>
      </w:tblGrid>
      <w:tr>
        <w:tblPrEx>
          <w:tblCellMar>
            <w:top w:w="0" w:type="dxa"/>
            <w:left w:w="108" w:type="dxa"/>
            <w:bottom w:w="0" w:type="dxa"/>
            <w:right w:w="108" w:type="dxa"/>
          </w:tblCellMar>
        </w:tblPrEx>
        <w:trPr>
          <w:trHeight w:val="355" w:hRule="atLeast"/>
        </w:trPr>
        <w:tc>
          <w:tcPr>
            <w:tcW w:w="14129"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6" w:hRule="atLeast"/>
        </w:trPr>
        <w:tc>
          <w:tcPr>
            <w:tcW w:w="522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296" w:hRule="atLeast"/>
        </w:trPr>
        <w:tc>
          <w:tcPr>
            <w:tcW w:w="5221"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部门：湘潭县发展和改革局</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35" w:hRule="atLeast"/>
        </w:trPr>
        <w:tc>
          <w:tcPr>
            <w:tcW w:w="645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67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31　</w:t>
            </w: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ascii="宋体" w:hAnsi="宋体" w:eastAsia="宋体" w:cs="宋体"/>
                <w:kern w:val="0"/>
                <w:sz w:val="22"/>
              </w:rPr>
              <w:t>8</w:t>
            </w:r>
            <w:r>
              <w:rPr>
                <w:rFonts w:hint="eastAsia" w:ascii="宋体" w:hAnsi="宋体" w:eastAsia="宋体" w:cs="宋体"/>
                <w:kern w:val="0"/>
                <w:sz w:val="22"/>
              </w:rPr>
              <w:t>,</w:t>
            </w:r>
            <w:r>
              <w:rPr>
                <w:rFonts w:ascii="宋体" w:hAnsi="宋体" w:eastAsia="宋体" w:cs="宋体"/>
                <w:kern w:val="0"/>
                <w:sz w:val="22"/>
              </w:rPr>
              <w:t>968.88</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2,453.02</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89"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七、文化旅游体育与传媒支出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911.50</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八、社会保障和就业支出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38</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31.78</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九、卫生健康支出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39</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十、节能环保支出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40</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2,030.00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十一、城乡社区支出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41</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1,000.00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150.00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rPr>
              <w:t>十三、交通运输支出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0"/>
                <w:szCs w:val="20"/>
              </w:rPr>
            </w:pPr>
            <w:r>
              <w:rPr>
                <w:rFonts w:hint="eastAsia" w:ascii="宋体" w:hAnsi="宋体" w:eastAsia="宋体" w:cs="宋体"/>
                <w:color w:val="000000"/>
                <w:kern w:val="0"/>
                <w:sz w:val="22"/>
              </w:rPr>
              <w:t>十四、资源勘探工业信息等支出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617.15</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十五、商业服务业等支出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十六、金融支出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46</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r>
              <w:rPr>
                <w:rFonts w:hint="eastAsia"/>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十七、援助其他地区支出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47</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r>
              <w:rPr>
                <w:rFonts w:hint="eastAsia"/>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十八、自然资源海洋气象等支出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48</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r>
              <w:rPr>
                <w:rFonts w:hint="eastAsia"/>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十九、住房保障支出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49</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3,449.00</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二十、粮油物资储备支出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50</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113.1</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二十一、国有资本经营预算支出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51</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89"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二十二、灾害防治及应急管理支出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二十三、其他支出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二十四、债务还本支出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二十五、债务付息支出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二十六、抗疫特别国债安排的支出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ascii="宋体" w:hAnsi="宋体" w:eastAsia="宋体" w:cs="宋体"/>
                <w:kern w:val="0"/>
                <w:sz w:val="22"/>
              </w:rPr>
              <w:t>9</w:t>
            </w:r>
            <w:r>
              <w:rPr>
                <w:rFonts w:hint="eastAsia" w:ascii="宋体" w:hAnsi="宋体" w:eastAsia="宋体" w:cs="宋体"/>
                <w:kern w:val="0"/>
                <w:sz w:val="22"/>
              </w:rPr>
              <w:t>,</w:t>
            </w:r>
            <w:r>
              <w:rPr>
                <w:rFonts w:ascii="宋体" w:hAnsi="宋体" w:eastAsia="宋体" w:cs="宋体"/>
                <w:kern w:val="0"/>
                <w:sz w:val="22"/>
              </w:rPr>
              <w:t>880.3</w:t>
            </w:r>
            <w:r>
              <w:rPr>
                <w:rFonts w:hint="eastAsia" w:ascii="宋体" w:hAnsi="宋体" w:eastAsia="宋体" w:cs="宋体"/>
                <w:kern w:val="0"/>
                <w:sz w:val="22"/>
              </w:rPr>
              <w:t>8</w:t>
            </w:r>
          </w:p>
        </w:tc>
        <w:tc>
          <w:tcPr>
            <w:tcW w:w="362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9,894.05</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58</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rPr>
            </w:pPr>
            <w:r>
              <w:rPr>
                <w:rFonts w:hint="eastAsia" w:ascii="宋体" w:hAnsi="宋体" w:eastAsia="宋体" w:cs="宋体"/>
                <w:color w:val="000000"/>
                <w:kern w:val="0"/>
                <w:sz w:val="22"/>
              </w:rPr>
              <w:t>29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210.20</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59</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196.53</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rPr>
            </w:pPr>
            <w:r>
              <w:rPr>
                <w:rFonts w:hint="eastAsia" w:ascii="宋体" w:hAnsi="宋体" w:eastAsia="宋体" w:cs="宋体"/>
                <w:b/>
                <w:bCs/>
                <w:kern w:val="0"/>
                <w:sz w:val="22"/>
              </w:rPr>
              <w:t>30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hint="eastAsia" w:ascii="宋体" w:hAnsi="宋体" w:eastAsia="宋体" w:cs="宋体"/>
                <w:b/>
                <w:kern w:val="0"/>
                <w:sz w:val="22"/>
              </w:rPr>
              <w:t>10,090.58</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rPr>
            </w:pPr>
            <w:r>
              <w:rPr>
                <w:rFonts w:hint="eastAsia" w:ascii="宋体" w:hAnsi="宋体" w:eastAsia="宋体" w:cs="宋体"/>
                <w:b/>
                <w:color w:val="000000"/>
                <w:kern w:val="0"/>
                <w:sz w:val="22"/>
              </w:rPr>
              <w:t>60</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hint="eastAsia" w:ascii="宋体" w:hAnsi="宋体" w:eastAsia="宋体" w:cs="宋体"/>
                <w:b/>
                <w:kern w:val="0"/>
                <w:sz w:val="22"/>
              </w:rPr>
              <w:t>10,090.58</w:t>
            </w:r>
          </w:p>
        </w:tc>
      </w:tr>
      <w:tr>
        <w:tblPrEx>
          <w:tblCellMar>
            <w:top w:w="0" w:type="dxa"/>
            <w:left w:w="108" w:type="dxa"/>
            <w:bottom w:w="0" w:type="dxa"/>
            <w:right w:w="108" w:type="dxa"/>
          </w:tblCellMar>
        </w:tblPrEx>
        <w:trPr>
          <w:trHeight w:val="1006" w:hRule="atLeast"/>
        </w:trPr>
        <w:tc>
          <w:tcPr>
            <w:tcW w:w="14129"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720" w:right="720" w:bottom="720" w:left="720" w:header="851" w:footer="992" w:gutter="0"/>
          <w:cols w:space="425" w:num="1"/>
          <w:docGrid w:linePitch="312" w:charSpace="0"/>
        </w:sectPr>
      </w:pPr>
    </w:p>
    <w:tbl>
      <w:tblPr>
        <w:tblStyle w:val="9"/>
        <w:tblW w:w="14205" w:type="dxa"/>
        <w:jc w:val="center"/>
        <w:tblLayout w:type="fixed"/>
        <w:tblCellMar>
          <w:top w:w="0" w:type="dxa"/>
          <w:left w:w="0" w:type="dxa"/>
          <w:bottom w:w="0" w:type="dxa"/>
          <w:right w:w="0" w:type="dxa"/>
        </w:tblCellMar>
      </w:tblPr>
      <w:tblGrid>
        <w:gridCol w:w="90"/>
        <w:gridCol w:w="1043"/>
        <w:gridCol w:w="3344"/>
        <w:gridCol w:w="1702"/>
        <w:gridCol w:w="1337"/>
        <w:gridCol w:w="289"/>
        <w:gridCol w:w="1046"/>
        <w:gridCol w:w="314"/>
        <w:gridCol w:w="1021"/>
        <w:gridCol w:w="175"/>
        <w:gridCol w:w="1160"/>
        <w:gridCol w:w="99"/>
        <w:gridCol w:w="1236"/>
        <w:gridCol w:w="150"/>
        <w:gridCol w:w="1199"/>
      </w:tblGrid>
      <w:tr>
        <w:tblPrEx>
          <w:tblCellMar>
            <w:top w:w="0" w:type="dxa"/>
            <w:left w:w="0" w:type="dxa"/>
            <w:bottom w:w="0" w:type="dxa"/>
            <w:right w:w="0" w:type="dxa"/>
          </w:tblCellMar>
        </w:tblPrEx>
        <w:trPr>
          <w:trHeight w:val="661" w:hRule="atLeast"/>
          <w:jc w:val="center"/>
        </w:trPr>
        <w:tc>
          <w:tcPr>
            <w:tcW w:w="14204" w:type="dxa"/>
            <w:gridSpan w:val="15"/>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339" w:hRule="atLeast"/>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339" w:hRule="atLeast"/>
          <w:jc w:val="center"/>
        </w:trPr>
        <w:tc>
          <w:tcPr>
            <w:tcW w:w="11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rPr>
              <w:t>湘潭县发展和改革局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3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34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08" w:hRule="atLeast"/>
          <w:jc w:val="center"/>
        </w:trPr>
        <w:tc>
          <w:tcPr>
            <w:tcW w:w="113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3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60" w:hRule="atLeast"/>
          <w:jc w:val="center"/>
        </w:trPr>
        <w:tc>
          <w:tcPr>
            <w:tcW w:w="113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34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3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34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合计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b/>
                <w:color w:val="000000"/>
                <w:szCs w:val="21"/>
                <w:lang w:val="en-US" w:eastAsia="zh-CN"/>
              </w:rPr>
            </w:pPr>
            <w:r>
              <w:rPr>
                <w:rFonts w:hint="eastAsia" w:ascii="宋体" w:hAnsi="宋体" w:eastAsia="宋体" w:cs="宋体"/>
                <w:b/>
                <w:color w:val="000000"/>
                <w:szCs w:val="21"/>
              </w:rPr>
              <w:t>9,880.3</w:t>
            </w:r>
            <w:r>
              <w:rPr>
                <w:rFonts w:hint="eastAsia" w:ascii="宋体" w:hAnsi="宋体" w:eastAsia="宋体" w:cs="宋体"/>
                <w:b/>
                <w:color w:val="000000"/>
                <w:szCs w:val="21"/>
                <w:lang w:val="en-US" w:eastAsia="zh-CN"/>
              </w:rPr>
              <w:t>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8,968.88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911.50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一般公共服务支出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2,252.45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2,230.95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　</w:t>
            </w: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21.50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发展与改革事务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1,852.45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1,830.95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21.50</w:t>
            </w:r>
          </w:p>
        </w:tc>
      </w:tr>
      <w:tr>
        <w:tblPrEx>
          <w:tblCellMar>
            <w:top w:w="0" w:type="dxa"/>
            <w:left w:w="0" w:type="dxa"/>
            <w:bottom w:w="0" w:type="dxa"/>
            <w:right w:w="0" w:type="dxa"/>
          </w:tblCellMar>
        </w:tblPrEx>
        <w:trPr>
          <w:trHeight w:val="435"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行政运行</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689.35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689.35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　</w:t>
            </w: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一般行政管理事务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128.31</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123.31</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机关服务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10.30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10.30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战略规划与实施</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65.03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65.03</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2010406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社会事业发展规划</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27.58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19.41</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8.17</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2010499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其他发展与改革事务支出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931.88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923.55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8.33</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其他一般公共服务支出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2019999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其他一般公共服务支出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207</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文化旅游体育与传媒支出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20703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体育</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2070399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其他体育支出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社会保障和就业支出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31.78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31.78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20808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31.78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31.78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2080801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死亡抚恤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31.78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31.78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211</w:t>
            </w:r>
          </w:p>
        </w:tc>
        <w:tc>
          <w:tcPr>
            <w:tcW w:w="3344"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节能环保支出</w:t>
            </w:r>
          </w:p>
        </w:tc>
        <w:tc>
          <w:tcPr>
            <w:tcW w:w="170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2,030.00</w:t>
            </w:r>
          </w:p>
        </w:tc>
        <w:tc>
          <w:tcPr>
            <w:tcW w:w="133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2,030.00</w:t>
            </w: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其他节能环保支出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2,030.00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2,030.00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2119999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其他节能环保支出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2,030.00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2,030.00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212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城乡社区支出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1,190.00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300.00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890.00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21203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城乡社区公共设施</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1,190.00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890.00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2120399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其他城乡社区公共设施支出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1,190.00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890.00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213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农林水支出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21301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农业农村</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2130199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其他农业农村支出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21399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其他农林水支出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2139999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其他农林水支出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215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617.15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617.15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21599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617.15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617.15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2159999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617.15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617.15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221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住房保障支出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3,449.00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3,449.00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22101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保障性安居工程支出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3,449.00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3,449.00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2210103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棚户区改造</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818.00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818.00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2210108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老旧小区改造</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2,631.00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2,631.00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222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b/>
                <w:bCs/>
                <w:color w:val="000000"/>
                <w:szCs w:val="21"/>
              </w:rPr>
            </w:pPr>
            <w:r>
              <w:rPr>
                <w:rFonts w:hint="eastAsia"/>
                <w:b/>
                <w:bCs/>
                <w:color w:val="000000"/>
                <w:szCs w:val="21"/>
              </w:rPr>
              <w:t>粮油物资储备支出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110.00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110.00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22201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粮油物资事务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2220199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color w:val="000000"/>
                <w:szCs w:val="21"/>
              </w:rPr>
            </w:pPr>
            <w:r>
              <w:rPr>
                <w:rFonts w:hint="eastAsia"/>
                <w:color w:val="000000"/>
                <w:szCs w:val="21"/>
              </w:rPr>
              <w:t xml:space="preserve">  其他粮油物资事务支出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r>
              <w:rPr>
                <w:rFonts w:hint="eastAsia" w:ascii="宋体" w:hAnsi="宋体" w:eastAsia="宋体" w:cs="宋体"/>
                <w:color w:val="000000"/>
                <w:szCs w:val="21"/>
              </w:rPr>
              <w:t>110.00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c>
          <w:tcPr>
            <w:tcW w:w="13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000000"/>
                <w:szCs w:val="21"/>
              </w:rPr>
            </w:pPr>
          </w:p>
        </w:tc>
      </w:tr>
      <w:tr>
        <w:tblPrEx>
          <w:tblCellMar>
            <w:top w:w="0" w:type="dxa"/>
            <w:left w:w="0" w:type="dxa"/>
            <w:bottom w:w="0" w:type="dxa"/>
            <w:right w:w="0" w:type="dxa"/>
          </w:tblCellMar>
        </w:tblPrEx>
        <w:trPr>
          <w:trHeight w:val="497" w:hRule="atLeast"/>
          <w:jc w:val="center"/>
        </w:trPr>
        <w:tc>
          <w:tcPr>
            <w:tcW w:w="14204" w:type="dxa"/>
            <w:gridSpan w:val="15"/>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9"/>
        <w:tblpPr w:leftFromText="181" w:rightFromText="181" w:vertAnchor="text" w:horzAnchor="margin" w:tblpXSpec="center" w:tblpY="619"/>
        <w:tblOverlap w:val="never"/>
        <w:tblW w:w="14144" w:type="dxa"/>
        <w:jc w:val="center"/>
        <w:tblLayout w:type="fixed"/>
        <w:tblCellMar>
          <w:top w:w="0" w:type="dxa"/>
          <w:left w:w="108" w:type="dxa"/>
          <w:bottom w:w="0" w:type="dxa"/>
          <w:right w:w="108" w:type="dxa"/>
        </w:tblCellMar>
      </w:tblPr>
      <w:tblGrid>
        <w:gridCol w:w="1518"/>
        <w:gridCol w:w="2907"/>
        <w:gridCol w:w="1739"/>
        <w:gridCol w:w="1415"/>
        <w:gridCol w:w="180"/>
        <w:gridCol w:w="1495"/>
        <w:gridCol w:w="100"/>
        <w:gridCol w:w="1562"/>
        <w:gridCol w:w="33"/>
        <w:gridCol w:w="1453"/>
        <w:gridCol w:w="142"/>
        <w:gridCol w:w="1600"/>
      </w:tblGrid>
      <w:tr>
        <w:trPr>
          <w:trHeight w:val="402" w:hRule="atLeast"/>
          <w:jc w:val="center"/>
        </w:trPr>
        <w:tc>
          <w:tcPr>
            <w:tcW w:w="14144" w:type="dxa"/>
            <w:gridSpan w:val="12"/>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21"/>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161" w:hRule="atLeast"/>
          <w:jc w:val="center"/>
        </w:trPr>
        <w:tc>
          <w:tcPr>
            <w:tcW w:w="4425" w:type="dxa"/>
            <w:gridSpan w:val="2"/>
            <w:tcBorders>
              <w:top w:val="nil"/>
              <w:left w:val="nil"/>
              <w:bottom w:val="nil"/>
              <w:right w:val="nil"/>
            </w:tcBorders>
            <w:shd w:val="clear" w:color="000000" w:fill="FFFFFF"/>
            <w:noWrap/>
            <w:vAlign w:val="center"/>
          </w:tcPr>
          <w:p>
            <w:pPr>
              <w:widowControl/>
              <w:rPr>
                <w:rFonts w:ascii="宋体" w:hAnsi="宋体" w:eastAsia="宋体" w:cs="宋体"/>
                <w:kern w:val="0"/>
                <w:szCs w:val="21"/>
              </w:rPr>
            </w:pPr>
            <w:r>
              <w:rPr>
                <w:rFonts w:hint="eastAsia" w:ascii="宋体" w:hAnsi="宋体" w:eastAsia="宋体" w:cs="宋体"/>
                <w:kern w:val="0"/>
                <w:szCs w:val="21"/>
              </w:rPr>
              <w:t>　　</w:t>
            </w:r>
          </w:p>
        </w:tc>
        <w:tc>
          <w:tcPr>
            <w:tcW w:w="173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7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6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8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74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公开03表</w:t>
            </w:r>
          </w:p>
        </w:tc>
      </w:tr>
      <w:tr>
        <w:tblPrEx>
          <w:tblCellMar>
            <w:top w:w="0" w:type="dxa"/>
            <w:left w:w="108" w:type="dxa"/>
            <w:bottom w:w="0" w:type="dxa"/>
            <w:right w:w="108" w:type="dxa"/>
          </w:tblCellMar>
        </w:tblPrEx>
        <w:trPr>
          <w:trHeight w:val="264" w:hRule="atLeast"/>
          <w:jc w:val="center"/>
        </w:trPr>
        <w:tc>
          <w:tcPr>
            <w:tcW w:w="6164"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部门</w:t>
            </w:r>
            <w:r>
              <w:rPr>
                <w:rFonts w:hint="eastAsia"/>
                <w:szCs w:val="21"/>
              </w:rPr>
              <w:t>：湘潭县发展和改革局　</w:t>
            </w:r>
            <w:r>
              <w:rPr>
                <w:rFonts w:hint="eastAsia" w:ascii="宋体" w:hAnsi="宋体" w:eastAsia="宋体" w:cs="宋体"/>
                <w:kern w:val="0"/>
                <w:szCs w:val="21"/>
              </w:rPr>
              <w:t>　</w:t>
            </w:r>
          </w:p>
        </w:tc>
        <w:tc>
          <w:tcPr>
            <w:tcW w:w="14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75" w:type="dxa"/>
            <w:gridSpan w:val="2"/>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66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86"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74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单位：万元</w:t>
            </w: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项    目</w:t>
            </w:r>
          </w:p>
        </w:tc>
        <w:tc>
          <w:tcPr>
            <w:tcW w:w="173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本年支出合计</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基本支出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项目支出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上缴上级支出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经营支出</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对附属单位补助支出</w:t>
            </w:r>
          </w:p>
        </w:tc>
      </w:tr>
      <w:tr>
        <w:tblPrEx>
          <w:tblCellMar>
            <w:top w:w="0" w:type="dxa"/>
            <w:left w:w="108" w:type="dxa"/>
            <w:bottom w:w="0" w:type="dxa"/>
            <w:right w:w="108" w:type="dxa"/>
          </w:tblCellMar>
        </w:tblPrEx>
        <w:trPr>
          <w:trHeight w:val="416" w:hRule="atLeast"/>
          <w:jc w:val="center"/>
        </w:trPr>
        <w:tc>
          <w:tcPr>
            <w:tcW w:w="15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kern w:val="0"/>
                <w:szCs w:val="21"/>
              </w:rPr>
            </w:pPr>
            <w:r>
              <w:rPr>
                <w:rFonts w:hint="eastAsia" w:ascii="宋体" w:hAnsi="宋体" w:eastAsia="宋体" w:cs="宋体"/>
                <w:kern w:val="0"/>
                <w:szCs w:val="21"/>
              </w:rPr>
              <w:t>功能分类科目</w:t>
            </w:r>
          </w:p>
          <w:p>
            <w:pPr>
              <w:widowControl/>
              <w:jc w:val="center"/>
              <w:rPr>
                <w:rFonts w:ascii="宋体" w:hAnsi="宋体" w:eastAsia="宋体" w:cs="宋体"/>
                <w:kern w:val="0"/>
                <w:szCs w:val="21"/>
              </w:rPr>
            </w:pPr>
            <w:r>
              <w:rPr>
                <w:rFonts w:hint="eastAsia" w:ascii="宋体" w:hAnsi="宋体" w:eastAsia="宋体" w:cs="宋体"/>
                <w:kern w:val="0"/>
                <w:szCs w:val="21"/>
              </w:rPr>
              <w:t>编码</w:t>
            </w:r>
          </w:p>
        </w:tc>
        <w:tc>
          <w:tcPr>
            <w:tcW w:w="290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Cs w:val="21"/>
              </w:rPr>
            </w:pPr>
            <w:r>
              <w:rPr>
                <w:rFonts w:hint="eastAsia" w:ascii="宋体" w:hAnsi="宋体" w:eastAsia="宋体" w:cs="宋体"/>
                <w:kern w:val="0"/>
                <w:szCs w:val="21"/>
              </w:rPr>
              <w:t>科目名称</w:t>
            </w:r>
          </w:p>
        </w:tc>
        <w:tc>
          <w:tcPr>
            <w:tcW w:w="17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290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7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栏次</w:t>
            </w:r>
          </w:p>
        </w:tc>
        <w:tc>
          <w:tcPr>
            <w:tcW w:w="173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159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16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Cs w:val="21"/>
              </w:rPr>
            </w:pPr>
            <w:r>
              <w:rPr>
                <w:rFonts w:hint="eastAsia" w:ascii="宋体" w:hAnsi="宋体" w:eastAsia="宋体" w:cs="宋体"/>
                <w:kern w:val="0"/>
                <w:szCs w:val="21"/>
              </w:rPr>
              <w:t>6</w:t>
            </w:r>
          </w:p>
        </w:tc>
      </w:tr>
      <w:tr>
        <w:tblPrEx>
          <w:tblCellMar>
            <w:top w:w="0" w:type="dxa"/>
            <w:left w:w="108" w:type="dxa"/>
            <w:bottom w:w="0" w:type="dxa"/>
            <w:right w:w="108" w:type="dxa"/>
          </w:tblCellMar>
        </w:tblPrEx>
        <w:trPr>
          <w:trHeight w:val="416" w:hRule="atLeast"/>
          <w:jc w:val="center"/>
        </w:trPr>
        <w:tc>
          <w:tcPr>
            <w:tcW w:w="442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合计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9,894.05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721.13</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9,172.92</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一般公共服务支出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2,453.02</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689.35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1,763.67</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发展与改革事务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2,053.02</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1,363.67</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行政运行</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2010402</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一般行政管理事务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130.66</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130.66</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2010403</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机关服务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11.08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11.08</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2010404</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战略规划与实施</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65.03</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65.03</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2010406</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社会事业发展规划</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26.89</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26.89</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2010499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其他发展与改革事务支出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1,130.01</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1,130.01</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其他一般公共服务支出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2019999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其他一般公共服务支出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400.00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207</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文化旅游体育与传媒支出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20703</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体育</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2070399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其他体育支出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208</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社会保障和就业支出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20808</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抚恤</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2080801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死亡抚恤</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211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其他节能环保支出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2119999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其他节能环保支出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212</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城乡社区支出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21203</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城乡社区公共设施</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2120399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其他城乡社区公共设施支出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213</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农林水支出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b/>
                <w:color w:val="000000"/>
                <w:szCs w:val="21"/>
              </w:rPr>
            </w:pPr>
            <w:r>
              <w:rPr>
                <w:rFonts w:hint="eastAsia" w:ascii="宋体" w:hAnsi="宋体" w:eastAsia="宋体" w:cs="宋体"/>
                <w:b/>
                <w:color w:val="000000"/>
                <w:szCs w:val="21"/>
              </w:rPr>
              <w:t>150.00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21301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农业农村</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2130199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其他农业农村支出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100.00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21399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其他农林水支出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2139999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其他农林水支出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szCs w:val="21"/>
              </w:rPr>
            </w:pPr>
            <w:r>
              <w:rPr>
                <w:rFonts w:hint="eastAsia" w:ascii="宋体" w:hAnsi="宋体" w:eastAsia="宋体" w:cs="宋体"/>
                <w:color w:val="000000"/>
                <w:szCs w:val="21"/>
              </w:rPr>
              <w:t>50.00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215</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21599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其他资源勘探工业信息等支出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2159999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其他资源勘探工业信息等支出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221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住房保障支出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3,449.00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3,449.00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22101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保障性安居工程支出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3,449.00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3,449.00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2210103</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棚户区改造</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818.00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818.00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2210108</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老旧小区改造</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2,631.00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2,631.00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222</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b/>
                <w:bCs/>
                <w:color w:val="000000"/>
                <w:szCs w:val="21"/>
              </w:rPr>
            </w:pPr>
            <w:r>
              <w:rPr>
                <w:rFonts w:hint="eastAsia"/>
                <w:b/>
                <w:bCs/>
                <w:color w:val="000000"/>
                <w:szCs w:val="21"/>
              </w:rPr>
              <w:t>粮油物资储备支出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22201</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粮油物资事务</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16" w:hRule="atLeast"/>
          <w:jc w:val="center"/>
        </w:trPr>
        <w:tc>
          <w:tcPr>
            <w:tcW w:w="151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2220199</w:t>
            </w:r>
          </w:p>
        </w:tc>
        <w:tc>
          <w:tcPr>
            <w:tcW w:w="2907"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color w:val="000000"/>
                <w:szCs w:val="21"/>
              </w:rPr>
            </w:pPr>
            <w:r>
              <w:rPr>
                <w:rFonts w:hint="eastAsia"/>
                <w:color w:val="000000"/>
                <w:szCs w:val="21"/>
              </w:rPr>
              <w:t xml:space="preserve">  其他粮油物资事务支出</w:t>
            </w:r>
          </w:p>
        </w:tc>
        <w:tc>
          <w:tcPr>
            <w:tcW w:w="17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113.10</w:t>
            </w: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9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6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583" w:hRule="atLeast"/>
          <w:jc w:val="center"/>
        </w:trPr>
        <w:tc>
          <w:tcPr>
            <w:tcW w:w="14144" w:type="dxa"/>
            <w:gridSpan w:val="12"/>
            <w:tcBorders>
              <w:top w:val="nil"/>
              <w:left w:val="nil"/>
              <w:bottom w:val="nil"/>
              <w:right w:val="nil"/>
            </w:tcBorders>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9"/>
        <w:tblW w:w="15549" w:type="dxa"/>
        <w:jc w:val="center"/>
        <w:tblLayout w:type="autofit"/>
        <w:tblCellMar>
          <w:top w:w="0" w:type="dxa"/>
          <w:left w:w="108" w:type="dxa"/>
          <w:bottom w:w="0" w:type="dxa"/>
          <w:right w:w="108" w:type="dxa"/>
        </w:tblCellMar>
      </w:tblPr>
      <w:tblGrid>
        <w:gridCol w:w="3596"/>
        <w:gridCol w:w="438"/>
        <w:gridCol w:w="1103"/>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jc w:val="center"/>
        </w:trPr>
        <w:tc>
          <w:tcPr>
            <w:tcW w:w="15549" w:type="dxa"/>
            <w:gridSpan w:val="10"/>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color w:val="000000"/>
                <w:kern w:val="0"/>
                <w:sz w:val="32"/>
                <w:szCs w:val="32"/>
              </w:rPr>
            </w:pPr>
            <w:bookmarkStart w:id="0" w:name="RANGE!A1:I22"/>
            <w:bookmarkEnd w:id="0"/>
            <w:bookmarkStart w:id="1" w:name="RANGE!A1:F16"/>
          </w:p>
          <w:p>
            <w:pPr>
              <w:widowControl/>
              <w:jc w:val="center"/>
              <w:rPr>
                <w:rFonts w:cs="宋体" w:asciiTheme="majorEastAsia" w:hAnsiTheme="majorEastAsia" w:eastAsiaTheme="majorEastAsia"/>
                <w:color w:val="000000"/>
                <w:kern w:val="0"/>
                <w:sz w:val="32"/>
                <w:szCs w:val="32"/>
              </w:rPr>
            </w:pPr>
            <w:r>
              <w:rPr>
                <w:rFonts w:hint="eastAsia" w:cs="宋体" w:asciiTheme="majorEastAsia" w:hAnsiTheme="majorEastAsia" w:eastAsiaTheme="majorEastAsia"/>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jc w:val="center"/>
        </w:trPr>
        <w:tc>
          <w:tcPr>
            <w:tcW w:w="3596"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公开04表</w:t>
            </w:r>
          </w:p>
        </w:tc>
      </w:tr>
      <w:tr>
        <w:tblPrEx>
          <w:tblCellMar>
            <w:top w:w="0" w:type="dxa"/>
            <w:left w:w="108" w:type="dxa"/>
            <w:bottom w:w="0" w:type="dxa"/>
            <w:right w:w="108" w:type="dxa"/>
          </w:tblCellMar>
        </w:tblPrEx>
        <w:trPr>
          <w:trHeight w:val="300" w:hRule="atLeast"/>
          <w:jc w:val="center"/>
        </w:trPr>
        <w:tc>
          <w:tcPr>
            <w:tcW w:w="3596" w:type="dxa"/>
            <w:tcBorders>
              <w:top w:val="nil"/>
              <w:left w:val="nil"/>
              <w:bottom w:val="nil"/>
              <w:right w:val="nil"/>
            </w:tcBorders>
            <w:shd w:val="clear" w:color="000000" w:fill="FFFFFF"/>
            <w:noWrap/>
            <w:vAlign w:val="center"/>
          </w:tcPr>
          <w:p>
            <w:pPr>
              <w:widowControl/>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部门：</w:t>
            </w:r>
            <w:r>
              <w:rPr>
                <w:rFonts w:hint="eastAsia" w:asciiTheme="majorEastAsia" w:hAnsiTheme="majorEastAsia" w:eastAsiaTheme="majorEastAsia"/>
              </w:rPr>
              <w:t>湘潭县发展和改革局</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单位：万元</w:t>
            </w:r>
          </w:p>
        </w:tc>
      </w:tr>
      <w:tr>
        <w:tblPrEx>
          <w:tblCellMar>
            <w:top w:w="0" w:type="dxa"/>
            <w:left w:w="108" w:type="dxa"/>
            <w:bottom w:w="0" w:type="dxa"/>
            <w:right w:w="108" w:type="dxa"/>
          </w:tblCellMar>
        </w:tblPrEx>
        <w:trPr>
          <w:trHeight w:val="402" w:hRule="atLeast"/>
          <w:jc w:val="center"/>
        </w:trPr>
        <w:tc>
          <w:tcPr>
            <w:tcW w:w="51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支出</w:t>
            </w:r>
          </w:p>
        </w:tc>
      </w:tr>
      <w:tr>
        <w:tblPrEx>
          <w:tblCellMar>
            <w:top w:w="0" w:type="dxa"/>
            <w:left w:w="108" w:type="dxa"/>
            <w:bottom w:w="0" w:type="dxa"/>
            <w:right w:w="108" w:type="dxa"/>
          </w:tblCellMar>
        </w:tblPrEx>
        <w:trPr>
          <w:trHeight w:val="630"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项    目</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行次</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国有资本经营预算财政拨款</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栏    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5</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一、一般公共预算财政拨款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w:t>
            </w:r>
          </w:p>
        </w:tc>
        <w:tc>
          <w:tcPr>
            <w:tcW w:w="110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8,968.88</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33</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2,230.95</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2,230.95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二、政府性基金预算财政拨款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w:t>
            </w:r>
          </w:p>
        </w:tc>
        <w:tc>
          <w:tcPr>
            <w:tcW w:w="110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34</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三、国有资本经营预算财政拨款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35</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37</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7</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50.00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50.00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40</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31.78</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31.78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41</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2,030.00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2,030.00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43</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300.00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300.00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kern w:val="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44</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150.00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150.00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45</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617.15</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617.15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17</w:t>
            </w:r>
          </w:p>
        </w:tc>
        <w:tc>
          <w:tcPr>
            <w:tcW w:w="11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bCs/>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r>
              <w:rPr>
                <w:rFonts w:hint="eastAsia" w:cs="宋体" w:asciiTheme="majorEastAsia" w:hAnsiTheme="majorEastAsia" w:eastAsiaTheme="majorEastAsia"/>
                <w:b/>
                <w:bCs/>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51</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3,449.00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3,449.00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110.00</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110.00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23</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24</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25</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26</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本年收入合计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27</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8,968.88</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8,968.88</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color w:val="000000"/>
                <w:sz w:val="22"/>
              </w:rPr>
            </w:pPr>
            <w:r>
              <w:rPr>
                <w:rFonts w:hint="eastAsia" w:asciiTheme="majorEastAsia" w:hAnsiTheme="majorEastAsia" w:eastAsiaTheme="majorEastAsia"/>
                <w:color w:val="000000"/>
                <w:sz w:val="22"/>
              </w:rPr>
              <w:t>8,968.88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b/>
                <w:bCs/>
                <w:kern w:val="0"/>
                <w:sz w:val="22"/>
              </w:rPr>
            </w:pPr>
            <w:r>
              <w:rPr>
                <w:rFonts w:hint="eastAsia" w:cs="宋体" w:asciiTheme="majorEastAsia" w:hAnsiTheme="majorEastAsia" w:eastAsiaTheme="majorEastAsia"/>
                <w:kern w:val="0"/>
                <w:sz w:val="22"/>
              </w:rPr>
              <w:t>年初财政拨款结转和结余</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28</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年末财政拨款结转和结余</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60</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r>
              <w:rPr>
                <w:rFonts w:hint="eastAsia" w:cs="宋体" w:asciiTheme="majorEastAsia" w:hAnsiTheme="majorEastAsia" w:eastAsiaTheme="majorEastAsia"/>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r>
              <w:rPr>
                <w:rFonts w:hint="eastAsia" w:cs="宋体" w:asciiTheme="majorEastAsia" w:hAnsiTheme="majorEastAsia" w:eastAsiaTheme="majorEastAsia"/>
                <w:b/>
                <w:bCs/>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一般公共预算财政拨款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29</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61</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政府性基金预算财政拨款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30</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color w:val="000000"/>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62</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国有资本经营预算财政拨款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31</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color w:val="000000"/>
                <w:kern w:val="0"/>
                <w:sz w:val="22"/>
              </w:rPr>
            </w:pPr>
            <w:r>
              <w:rPr>
                <w:rFonts w:hint="eastAsia" w:cs="宋体" w:asciiTheme="majorEastAsia" w:hAnsiTheme="majorEastAsia" w:eastAsiaTheme="majorEastAsia"/>
                <w:kern w:val="0"/>
                <w:sz w:val="22"/>
              </w:rPr>
              <w:t>　</w:t>
            </w: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63</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color w:val="000000"/>
                <w:sz w:val="22"/>
              </w:rPr>
            </w:pPr>
            <w:r>
              <w:rPr>
                <w:rFonts w:hint="eastAsia" w:cs="宋体" w:asciiTheme="majorEastAsia" w:hAnsiTheme="majorEastAsia" w:eastAsiaTheme="majorEastAsia"/>
                <w:b/>
                <w:bCs/>
                <w:color w:val="000000"/>
                <w:kern w:val="0"/>
                <w:sz w:val="22"/>
              </w:rPr>
              <w:t>总计</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32</w:t>
            </w:r>
          </w:p>
        </w:tc>
        <w:tc>
          <w:tcPr>
            <w:tcW w:w="110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sz w:val="22"/>
              </w:rPr>
            </w:pPr>
            <w:r>
              <w:rPr>
                <w:rFonts w:hint="eastAsia" w:asciiTheme="majorEastAsia" w:hAnsiTheme="majorEastAsia" w:eastAsiaTheme="majorEastAsia"/>
                <w:b/>
                <w:color w:val="000000"/>
                <w:sz w:val="22"/>
              </w:rPr>
              <w:t>8,968.88</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64</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color w:val="000000"/>
                <w:sz w:val="22"/>
              </w:rPr>
            </w:pPr>
            <w:r>
              <w:rPr>
                <w:rFonts w:hint="eastAsia" w:asciiTheme="majorEastAsia" w:hAnsiTheme="majorEastAsia" w:eastAsiaTheme="majorEastAsia"/>
                <w:b/>
                <w:color w:val="000000"/>
                <w:sz w:val="22"/>
              </w:rPr>
              <w:t>8,968.88</w:t>
            </w:r>
          </w:p>
        </w:tc>
        <w:tc>
          <w:tcPr>
            <w:tcW w:w="1394"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color w:val="000000"/>
                <w:sz w:val="22"/>
              </w:rPr>
            </w:pPr>
            <w:r>
              <w:rPr>
                <w:rFonts w:hint="eastAsia" w:asciiTheme="majorEastAsia" w:hAnsiTheme="majorEastAsia" w:eastAsiaTheme="majorEastAsia"/>
                <w:b/>
                <w:color w:val="000000"/>
                <w:sz w:val="22"/>
              </w:rPr>
              <w:t>8,968.88</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585" w:hRule="atLeast"/>
          <w:jc w:val="center"/>
        </w:trPr>
        <w:tc>
          <w:tcPr>
            <w:tcW w:w="15549" w:type="dxa"/>
            <w:gridSpan w:val="10"/>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outlineLvl w:val="0"/>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部门：  湘潭县发展和改革局                                                                                                 公开05表</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Cs w:val="21"/>
        </w:rPr>
        <w:t xml:space="preserve">                                                                                                                                单位：万元</w:t>
      </w:r>
    </w:p>
    <w:tbl>
      <w:tblPr>
        <w:tblStyle w:val="9"/>
        <w:tblW w:w="13778" w:type="dxa"/>
        <w:jc w:val="center"/>
        <w:tblLayout w:type="autofit"/>
        <w:tblCellMar>
          <w:top w:w="0" w:type="dxa"/>
          <w:left w:w="108" w:type="dxa"/>
          <w:bottom w:w="0" w:type="dxa"/>
          <w:right w:w="108" w:type="dxa"/>
        </w:tblCellMar>
      </w:tblPr>
      <w:tblGrid>
        <w:gridCol w:w="1195"/>
        <w:gridCol w:w="3513"/>
        <w:gridCol w:w="2988"/>
        <w:gridCol w:w="3126"/>
        <w:gridCol w:w="2956"/>
      </w:tblGrid>
      <w:tr>
        <w:tblPrEx>
          <w:tblCellMar>
            <w:top w:w="0" w:type="dxa"/>
            <w:left w:w="108" w:type="dxa"/>
            <w:bottom w:w="0" w:type="dxa"/>
            <w:right w:w="108" w:type="dxa"/>
          </w:tblCellMar>
        </w:tblPrEx>
        <w:trPr>
          <w:trHeight w:val="367" w:hRule="atLeast"/>
          <w:jc w:val="center"/>
        </w:trPr>
        <w:tc>
          <w:tcPr>
            <w:tcW w:w="470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项 目</w:t>
            </w:r>
          </w:p>
        </w:tc>
        <w:tc>
          <w:tcPr>
            <w:tcW w:w="9070"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本年支出</w:t>
            </w:r>
          </w:p>
        </w:tc>
      </w:tr>
      <w:tr>
        <w:tblPrEx>
          <w:tblCellMar>
            <w:top w:w="0" w:type="dxa"/>
            <w:left w:w="108" w:type="dxa"/>
            <w:bottom w:w="0" w:type="dxa"/>
            <w:right w:w="108" w:type="dxa"/>
          </w:tblCellMar>
        </w:tblPrEx>
        <w:trPr>
          <w:trHeight w:val="436" w:hRule="atLeast"/>
          <w:jc w:val="center"/>
        </w:trPr>
        <w:tc>
          <w:tcPr>
            <w:tcW w:w="1195"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功能分类科目编码</w:t>
            </w:r>
          </w:p>
        </w:tc>
        <w:tc>
          <w:tcPr>
            <w:tcW w:w="351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科目名称</w:t>
            </w:r>
          </w:p>
        </w:tc>
        <w:tc>
          <w:tcPr>
            <w:tcW w:w="298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小计</w:t>
            </w:r>
          </w:p>
        </w:tc>
        <w:tc>
          <w:tcPr>
            <w:tcW w:w="312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基本支出</w:t>
            </w:r>
          </w:p>
        </w:tc>
        <w:tc>
          <w:tcPr>
            <w:tcW w:w="2956"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项目支出</w:t>
            </w:r>
          </w:p>
        </w:tc>
      </w:tr>
      <w:tr>
        <w:tblPrEx>
          <w:tblCellMar>
            <w:top w:w="0" w:type="dxa"/>
            <w:left w:w="108" w:type="dxa"/>
            <w:bottom w:w="0" w:type="dxa"/>
            <w:right w:w="108" w:type="dxa"/>
          </w:tblCellMar>
        </w:tblPrEx>
        <w:trPr>
          <w:trHeight w:val="319" w:hRule="atLeast"/>
          <w:jc w:val="center"/>
        </w:trPr>
        <w:tc>
          <w:tcPr>
            <w:tcW w:w="1195"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3513"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298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2956"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272" w:hRule="atLeast"/>
          <w:jc w:val="center"/>
        </w:trPr>
        <w:tc>
          <w:tcPr>
            <w:tcW w:w="1195"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3513"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298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3126"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2956"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397" w:hRule="atLeast"/>
          <w:jc w:val="center"/>
        </w:trPr>
        <w:tc>
          <w:tcPr>
            <w:tcW w:w="47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栏次</w:t>
            </w:r>
          </w:p>
        </w:tc>
        <w:tc>
          <w:tcPr>
            <w:tcW w:w="2988"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1</w:t>
            </w:r>
          </w:p>
        </w:tc>
        <w:tc>
          <w:tcPr>
            <w:tcW w:w="3126"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2</w:t>
            </w:r>
          </w:p>
        </w:tc>
        <w:tc>
          <w:tcPr>
            <w:tcW w:w="2956" w:type="dxa"/>
            <w:tcBorders>
              <w:top w:val="nil"/>
              <w:left w:val="nil"/>
              <w:bottom w:val="single" w:color="auto" w:sz="4" w:space="0"/>
              <w:right w:val="single" w:color="auto" w:sz="8" w:space="0"/>
            </w:tcBorders>
            <w:shd w:val="clear" w:color="auto" w:fill="auto"/>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3</w:t>
            </w:r>
          </w:p>
        </w:tc>
      </w:tr>
      <w:tr>
        <w:tblPrEx>
          <w:tblCellMar>
            <w:top w:w="0" w:type="dxa"/>
            <w:left w:w="108" w:type="dxa"/>
            <w:bottom w:w="0" w:type="dxa"/>
            <w:right w:w="108" w:type="dxa"/>
          </w:tblCellMar>
        </w:tblPrEx>
        <w:trPr>
          <w:trHeight w:val="397" w:hRule="atLeast"/>
          <w:jc w:val="center"/>
        </w:trPr>
        <w:tc>
          <w:tcPr>
            <w:tcW w:w="470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b/>
                <w:bCs/>
                <w:kern w:val="0"/>
                <w:szCs w:val="21"/>
              </w:rPr>
            </w:pPr>
            <w:r>
              <w:rPr>
                <w:rFonts w:hint="eastAsia" w:cs="宋体" w:asciiTheme="majorEastAsia" w:hAnsiTheme="majorEastAsia" w:eastAsiaTheme="majorEastAsia"/>
                <w:b/>
                <w:bCs/>
                <w:kern w:val="0"/>
                <w:szCs w:val="21"/>
              </w:rPr>
              <w:t>合计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8,968.88</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721.13</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8,247.75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一般公共服务支出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2,230.95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689.35</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1,541.60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发展与改革事务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1,830.95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1,141.60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行政运行</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689.35</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2010402</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一般行政管理事务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123.31</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123.31</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2010403</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机关服务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10.30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10.30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2010404</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战略规划与实施</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65.03</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65.03</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2010406</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社会事业发展规划</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19.41</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19.41</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2010499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其他发展与改革事务支出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923.55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923.55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其他一般公共服务支出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400.00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400.00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2019999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其他一般公共服务支出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400.00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400.00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207</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文化旅游体育与传媒支出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20703</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体育</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2070399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其他体育支出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208</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社会保障和就业支出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31.78</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31.78</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20808</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抚恤</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2080801</w:t>
            </w:r>
          </w:p>
        </w:tc>
        <w:tc>
          <w:tcPr>
            <w:tcW w:w="3513" w:type="dxa"/>
            <w:tcBorders>
              <w:top w:val="single" w:color="auto" w:sz="4" w:space="0"/>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死亡抚恤</w:t>
            </w:r>
          </w:p>
        </w:tc>
        <w:tc>
          <w:tcPr>
            <w:tcW w:w="2988" w:type="dxa"/>
            <w:tcBorders>
              <w:top w:val="single" w:color="auto" w:sz="4" w:space="0"/>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3126" w:type="dxa"/>
            <w:tcBorders>
              <w:top w:val="single" w:color="auto" w:sz="4" w:space="0"/>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31.78</w:t>
            </w:r>
          </w:p>
        </w:tc>
        <w:tc>
          <w:tcPr>
            <w:tcW w:w="2956" w:type="dxa"/>
            <w:tcBorders>
              <w:top w:val="single" w:color="auto" w:sz="4" w:space="0"/>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211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2,030.00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2,030.00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21199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其他节能环保支出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2119999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其他节能环保支出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2,030.00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212</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城乡社区支出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21203</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城乡社区公共设施</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2120399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其他城乡社区公共设施支出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213</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农林水支出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150.00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21301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农业农村</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2130199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其他农业农村支出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100.00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21399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其他农林水支出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2139999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其他农林水支出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50.00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215</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617.15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617.15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21599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其他资源勘探工业信息等支出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2159999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其他资源勘探工业信息等支出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617.15</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221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住房保障支出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3,449.00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3,449.00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22101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保障性安居工程支出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3,449.00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3,449.00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2210103</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棚户区改造</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818</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color w:val="000000"/>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818</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2210108</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老旧小区改造</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2,631.00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2,631.00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222</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b/>
                <w:bCs/>
                <w:color w:val="000000"/>
                <w:szCs w:val="21"/>
              </w:rPr>
            </w:pPr>
            <w:r>
              <w:rPr>
                <w:rFonts w:hint="eastAsia" w:asciiTheme="majorEastAsia" w:hAnsiTheme="majorEastAsia" w:eastAsiaTheme="majorEastAsia"/>
                <w:b/>
                <w:bCs/>
                <w:color w:val="000000"/>
                <w:szCs w:val="21"/>
              </w:rPr>
              <w:t>粮油物资储备支出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110.00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b/>
                <w:bCs/>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110.00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22201</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粮油物资事务</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110.00</w:t>
            </w:r>
          </w:p>
        </w:tc>
      </w:tr>
      <w:tr>
        <w:tblPrEx>
          <w:tblCellMar>
            <w:top w:w="0" w:type="dxa"/>
            <w:left w:w="108" w:type="dxa"/>
            <w:bottom w:w="0" w:type="dxa"/>
            <w:right w:w="108" w:type="dxa"/>
          </w:tblCellMar>
        </w:tblPrEx>
        <w:trPr>
          <w:trHeight w:val="397" w:hRule="atLeast"/>
          <w:jc w:val="center"/>
        </w:trPr>
        <w:tc>
          <w:tcPr>
            <w:tcW w:w="1195"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2220199</w:t>
            </w:r>
          </w:p>
        </w:tc>
        <w:tc>
          <w:tcPr>
            <w:tcW w:w="3513" w:type="dxa"/>
            <w:tcBorders>
              <w:top w:val="nil"/>
              <w:left w:val="nil"/>
              <w:bottom w:val="single" w:color="auto" w:sz="4" w:space="0"/>
              <w:right w:val="single" w:color="auto" w:sz="4" w:space="0"/>
            </w:tcBorders>
            <w:shd w:val="clear" w:color="auto" w:fill="auto"/>
            <w:vAlign w:val="center"/>
          </w:tcPr>
          <w:p>
            <w:pPr>
              <w:rPr>
                <w:rFonts w:cs="宋体" w:asciiTheme="majorEastAsia" w:hAnsiTheme="majorEastAsia" w:eastAsiaTheme="majorEastAsia"/>
                <w:color w:val="000000"/>
                <w:szCs w:val="21"/>
              </w:rPr>
            </w:pPr>
            <w:r>
              <w:rPr>
                <w:rFonts w:hint="eastAsia" w:asciiTheme="majorEastAsia" w:hAnsiTheme="majorEastAsia" w:eastAsiaTheme="majorEastAsia"/>
                <w:color w:val="000000"/>
                <w:szCs w:val="21"/>
              </w:rPr>
              <w:t xml:space="preserve">  其他粮油物资事务支出</w:t>
            </w:r>
          </w:p>
        </w:tc>
        <w:tc>
          <w:tcPr>
            <w:tcW w:w="2988"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110.00</w:t>
            </w:r>
          </w:p>
        </w:tc>
        <w:tc>
          <w:tcPr>
            <w:tcW w:w="3126" w:type="dxa"/>
            <w:tcBorders>
              <w:top w:val="nil"/>
              <w:left w:val="nil"/>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p>
        </w:tc>
        <w:tc>
          <w:tcPr>
            <w:tcW w:w="2956" w:type="dxa"/>
            <w:tcBorders>
              <w:top w:val="nil"/>
              <w:left w:val="nil"/>
              <w:bottom w:val="single" w:color="auto" w:sz="4" w:space="0"/>
              <w:right w:val="single" w:color="auto" w:sz="8" w:space="0"/>
            </w:tcBorders>
            <w:shd w:val="clear" w:color="auto" w:fill="auto"/>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110.00</w:t>
            </w:r>
          </w:p>
        </w:tc>
      </w:tr>
      <w:tr>
        <w:tblPrEx>
          <w:tblCellMar>
            <w:top w:w="0" w:type="dxa"/>
            <w:left w:w="108" w:type="dxa"/>
            <w:bottom w:w="0" w:type="dxa"/>
            <w:right w:w="108" w:type="dxa"/>
          </w:tblCellMar>
        </w:tblPrEx>
        <w:trPr>
          <w:trHeight w:val="565" w:hRule="atLeast"/>
          <w:jc w:val="center"/>
        </w:trPr>
        <w:tc>
          <w:tcPr>
            <w:tcW w:w="13778" w:type="dxa"/>
            <w:gridSpan w:val="5"/>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15709" w:type="dxa"/>
        <w:tblInd w:w="0" w:type="dxa"/>
        <w:tblLayout w:type="fixed"/>
        <w:tblCellMar>
          <w:top w:w="0" w:type="dxa"/>
          <w:left w:w="108" w:type="dxa"/>
          <w:bottom w:w="0" w:type="dxa"/>
          <w:right w:w="108" w:type="dxa"/>
        </w:tblCellMar>
      </w:tblPr>
      <w:tblGrid>
        <w:gridCol w:w="1032"/>
        <w:gridCol w:w="3363"/>
        <w:gridCol w:w="922"/>
        <w:gridCol w:w="1200"/>
        <w:gridCol w:w="2265"/>
        <w:gridCol w:w="939"/>
        <w:gridCol w:w="1203"/>
        <w:gridCol w:w="3933"/>
        <w:gridCol w:w="852"/>
      </w:tblGrid>
      <w:tr>
        <w:tblPrEx>
          <w:tblCellMar>
            <w:top w:w="0" w:type="dxa"/>
            <w:left w:w="108" w:type="dxa"/>
            <w:bottom w:w="0" w:type="dxa"/>
            <w:right w:w="108" w:type="dxa"/>
          </w:tblCellMar>
        </w:tblPrEx>
        <w:trPr>
          <w:trHeight w:val="113" w:hRule="atLeast"/>
        </w:trPr>
        <w:tc>
          <w:tcPr>
            <w:tcW w:w="15709" w:type="dxa"/>
            <w:gridSpan w:val="9"/>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b/>
                <w:bCs/>
                <w:kern w:val="0"/>
                <w:sz w:val="24"/>
                <w:szCs w:val="40"/>
              </w:rPr>
            </w:pPr>
            <w:bookmarkStart w:id="2" w:name="RANGE!A1:I34"/>
            <w:r>
              <w:rPr>
                <w:rFonts w:hint="eastAsia" w:cs="宋体" w:asciiTheme="majorEastAsia" w:hAnsiTheme="majorEastAsia" w:eastAsiaTheme="majorEastAsia"/>
                <w:b/>
                <w:bCs/>
                <w:kern w:val="0"/>
                <w:sz w:val="24"/>
                <w:szCs w:val="40"/>
              </w:rPr>
              <w:t>一般公共预算财政拨款基本支出决算表</w:t>
            </w:r>
            <w:bookmarkEnd w:id="2"/>
          </w:p>
          <w:p>
            <w:pPr>
              <w:widowControl/>
              <w:wordWrap w:val="0"/>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xml:space="preserve">  部门： 湘潭县发展和改革局                                                                                                                               公开06表</w:t>
            </w:r>
          </w:p>
          <w:p>
            <w:pPr>
              <w:widowControl/>
              <w:jc w:val="right"/>
              <w:rPr>
                <w:rFonts w:cs="宋体" w:asciiTheme="majorEastAsia" w:hAnsiTheme="majorEastAsia" w:eastAsiaTheme="majorEastAsia"/>
                <w:kern w:val="0"/>
                <w:szCs w:val="32"/>
              </w:rPr>
            </w:pPr>
            <w:r>
              <w:rPr>
                <w:rFonts w:hint="eastAsia" w:cs="宋体" w:asciiTheme="majorEastAsia" w:hAnsiTheme="majorEastAsia" w:eastAsiaTheme="majorEastAsia"/>
                <w:kern w:val="0"/>
                <w:szCs w:val="21"/>
              </w:rPr>
              <w:t>单位：万元</w:t>
            </w:r>
          </w:p>
        </w:tc>
      </w:tr>
      <w:tr>
        <w:tblPrEx>
          <w:tblCellMar>
            <w:top w:w="0" w:type="dxa"/>
            <w:left w:w="108" w:type="dxa"/>
            <w:bottom w:w="0" w:type="dxa"/>
            <w:right w:w="108" w:type="dxa"/>
          </w:tblCellMar>
        </w:tblPrEx>
        <w:trPr>
          <w:trHeight w:val="113" w:hRule="atLeast"/>
        </w:trPr>
        <w:tc>
          <w:tcPr>
            <w:tcW w:w="10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 w:val="20"/>
                <w:szCs w:val="20"/>
              </w:rPr>
              <w:t>经济分类科目编码</w:t>
            </w:r>
          </w:p>
        </w:tc>
        <w:tc>
          <w:tcPr>
            <w:tcW w:w="33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9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经济分类科目编码</w:t>
            </w:r>
          </w:p>
        </w:tc>
        <w:tc>
          <w:tcPr>
            <w:tcW w:w="22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c>
          <w:tcPr>
            <w:tcW w:w="12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经济分类科目编码</w:t>
            </w:r>
          </w:p>
        </w:tc>
        <w:tc>
          <w:tcPr>
            <w:tcW w:w="39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8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301</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工资福利支出</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534.32</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商品和服务支出</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121.39</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307</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债务利息及费用支出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30101</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基本工资</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154.05</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办公费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21.34</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30701</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国内债务付息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30102</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津贴补贴</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印刷费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3.59</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30702</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国外债务付息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30103</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奖金</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116.81</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30203</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咨询费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3.55</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b/>
                <w:bCs/>
                <w:kern w:val="0"/>
                <w:szCs w:val="20"/>
              </w:rPr>
              <w:t>310</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资本性支出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rPr>
            </w:pPr>
            <w:r>
              <w:rPr>
                <w:rFonts w:hint="eastAsia" w:asciiTheme="majorEastAsia" w:hAnsiTheme="majorEastAsia" w:eastAsiaTheme="majorEastAsia"/>
                <w:b/>
                <w:bCs/>
                <w:szCs w:val="21"/>
              </w:rPr>
              <w:t>0.21</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30106</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伙食补助费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20.5</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手续费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31001</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房屋建筑物购建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30107</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绩效工资</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94.68</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水费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1.01</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31002</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办公设备购置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0.21</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30108</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机关事业单位基本养老保险缴费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41.74</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电费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6.88</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31003</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rPr>
            </w:pP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30109</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职业年金缴费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14.82</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邮电费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1.07</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31005</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基础设施建设</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30110</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职工基本医疗保险缴费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26.6</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取暖费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31006</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大型修缮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30111</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公务员医疗补助缴费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9.07</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物业管理费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31007</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信息网络及软件购置更新</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30112</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其他社会保障缴费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2.27</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差旅费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1.92</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31008</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物资储备</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30113</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住房公积金</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41.96</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因公出国（境）费用</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31009</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土地补偿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30114</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医疗费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30213</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维修（护）费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3.43</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31010</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安置补助</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30199</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其他工资福利支出</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10.69</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租赁费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31011</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地上附着物和青苗补偿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Cs w:val="20"/>
              </w:rPr>
            </w:pPr>
            <w:r>
              <w:rPr>
                <w:rFonts w:hint="eastAsia" w:cs="宋体" w:asciiTheme="majorEastAsia" w:hAnsiTheme="majorEastAsia" w:eastAsiaTheme="majorEastAsia"/>
                <w:b/>
                <w:bCs/>
                <w:kern w:val="0"/>
                <w:szCs w:val="20"/>
              </w:rPr>
              <w:t>303</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Cs w:val="20"/>
              </w:rPr>
            </w:pPr>
            <w:r>
              <w:rPr>
                <w:rFonts w:hint="eastAsia" w:cs="宋体" w:asciiTheme="majorEastAsia" w:hAnsiTheme="majorEastAsia" w:eastAsiaTheme="majorEastAsia"/>
                <w:b/>
                <w:bCs/>
                <w:kern w:val="0"/>
                <w:szCs w:val="20"/>
              </w:rPr>
              <w:t>对个人和家庭的补助</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asciiTheme="majorEastAsia" w:hAnsiTheme="majorEastAsia" w:eastAsiaTheme="majorEastAsia"/>
                <w:b/>
                <w:bCs/>
                <w:szCs w:val="21"/>
              </w:rPr>
              <w:t>65.21</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会议费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1.58</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31012</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拆迁补偿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30301</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离休费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培训费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2.15</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31013</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公务用车购置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30302</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退休费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公务接待费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3.79</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31019</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其他交通工具购置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30303</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退职（役）费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专用材料费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31021</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文物和陈列品购置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30304</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抚恤金</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34.12</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被装购置费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31022</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无形资产购置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30305</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生活补助</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21.18</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专用燃料费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31099</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其他资本性支出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30306</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救济费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劳务费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11.33</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Cs w:val="20"/>
              </w:rPr>
            </w:pPr>
            <w:r>
              <w:rPr>
                <w:rFonts w:hint="eastAsia" w:cs="宋体" w:asciiTheme="majorEastAsia" w:hAnsiTheme="majorEastAsia" w:eastAsiaTheme="majorEastAsia"/>
                <w:b/>
                <w:bCs/>
                <w:kern w:val="0"/>
                <w:szCs w:val="20"/>
              </w:rPr>
              <w:t>3</w:t>
            </w:r>
            <w:r>
              <w:rPr>
                <w:rFonts w:hint="eastAsia" w:cs="宋体" w:asciiTheme="majorEastAsia" w:hAnsiTheme="majorEastAsia" w:eastAsiaTheme="majorEastAsia"/>
                <w:b/>
                <w:bCs/>
                <w:kern w:val="0"/>
                <w:szCs w:val="20"/>
              </w:rPr>
              <w:t>99</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其他支出</w:t>
            </w:r>
            <w:bookmarkStart w:id="3" w:name="_GoBack"/>
            <w:bookmarkEnd w:id="3"/>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30307</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医疗费补助</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0.79</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委托业务费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39906</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赠与</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30308</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助学金</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工会经费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15.16</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39907</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国家赔偿费用支出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30309</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奖励金</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福利费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39908</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对民间非营利组织和群众性自治组织补贴</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30310</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个人农业生产补贴</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30231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公务用车运行维护费</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1.11</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39999</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30311</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代缴社会保险费</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30239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其他交通费用</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23.09</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30399</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其他对个人和家庭的补助</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9.12</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30240</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税金及附加费用</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317" w:hRule="exact"/>
        </w:trPr>
        <w:tc>
          <w:tcPr>
            <w:tcW w:w="103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c>
          <w:tcPr>
            <w:tcW w:w="336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30299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其他商品和服务支出</w:t>
            </w:r>
          </w:p>
        </w:tc>
        <w:tc>
          <w:tcPr>
            <w:tcW w:w="939"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asciiTheme="majorEastAsia" w:hAnsiTheme="majorEastAsia" w:eastAsiaTheme="majorEastAsia"/>
                <w:szCs w:val="21"/>
              </w:rPr>
              <w:t>20.39</w:t>
            </w:r>
          </w:p>
        </w:tc>
        <w:tc>
          <w:tcPr>
            <w:tcW w:w="120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393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r>
              <w:rPr>
                <w:rFonts w:hint="eastAsia" w:cs="宋体" w:asciiTheme="majorEastAsia" w:hAnsiTheme="majorEastAsia" w:eastAsiaTheme="majorEastAsia"/>
                <w:kern w:val="0"/>
                <w:szCs w:val="18"/>
              </w:rPr>
              <w:t>　</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w:t>
            </w:r>
          </w:p>
        </w:tc>
      </w:tr>
      <w:tr>
        <w:tblPrEx>
          <w:tblCellMar>
            <w:top w:w="0" w:type="dxa"/>
            <w:left w:w="108" w:type="dxa"/>
            <w:bottom w:w="0" w:type="dxa"/>
            <w:right w:w="108" w:type="dxa"/>
          </w:tblCellMar>
        </w:tblPrEx>
        <w:trPr>
          <w:trHeight w:val="284" w:hRule="exact"/>
        </w:trPr>
        <w:tc>
          <w:tcPr>
            <w:tcW w:w="43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人员经费合计</w:t>
            </w:r>
          </w:p>
        </w:tc>
        <w:tc>
          <w:tcPr>
            <w:tcW w:w="92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r>
              <w:rPr>
                <w:rFonts w:hint="eastAsia" w:asciiTheme="majorEastAsia" w:hAnsiTheme="majorEastAsia" w:eastAsiaTheme="majorEastAsia"/>
                <w:b/>
                <w:szCs w:val="21"/>
              </w:rPr>
              <w:t>599.53</w:t>
            </w:r>
          </w:p>
          <w:p>
            <w:pPr>
              <w:widowControl/>
              <w:jc w:val="right"/>
              <w:textAlignment w:val="center"/>
              <w:rPr>
                <w:rFonts w:cs="宋体" w:asciiTheme="majorEastAsia" w:hAnsiTheme="majorEastAsia" w:eastAsiaTheme="majorEastAsia"/>
                <w:b/>
                <w:kern w:val="0"/>
                <w:szCs w:val="21"/>
              </w:rPr>
            </w:pPr>
          </w:p>
        </w:tc>
        <w:tc>
          <w:tcPr>
            <w:tcW w:w="9540"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szCs w:val="21"/>
              </w:rPr>
            </w:pPr>
            <w:r>
              <w:rPr>
                <w:rFonts w:hint="eastAsia" w:asciiTheme="majorEastAsia" w:hAnsiTheme="majorEastAsia" w:eastAsiaTheme="majorEastAsia"/>
                <w:b/>
                <w:szCs w:val="21"/>
              </w:rPr>
              <w:t>公用经费合计</w:t>
            </w:r>
          </w:p>
        </w:tc>
        <w:tc>
          <w:tcPr>
            <w:tcW w:w="85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r>
              <w:rPr>
                <w:rFonts w:hint="eastAsia" w:asciiTheme="majorEastAsia" w:hAnsiTheme="majorEastAsia" w:eastAsiaTheme="majorEastAsia"/>
                <w:b/>
                <w:szCs w:val="21"/>
              </w:rPr>
              <w:t>121.6</w:t>
            </w:r>
          </w:p>
        </w:tc>
      </w:tr>
      <w:tr>
        <w:tblPrEx>
          <w:tblCellMar>
            <w:top w:w="0" w:type="dxa"/>
            <w:left w:w="108" w:type="dxa"/>
            <w:bottom w:w="0" w:type="dxa"/>
            <w:right w:w="108" w:type="dxa"/>
          </w:tblCellMar>
        </w:tblPrEx>
        <w:trPr>
          <w:trHeight w:val="284" w:hRule="exact"/>
        </w:trPr>
        <w:tc>
          <w:tcPr>
            <w:tcW w:w="15709" w:type="dxa"/>
            <w:gridSpan w:val="9"/>
            <w:tcBorders>
              <w:top w:val="nil"/>
              <w:left w:val="nil"/>
              <w:bottom w:val="nil"/>
              <w:right w:val="nil"/>
            </w:tcBorders>
            <w:shd w:val="clear" w:color="auto" w:fill="auto"/>
            <w:noWrap/>
            <w:vAlign w:val="center"/>
          </w:tcPr>
          <w:p>
            <w:pPr>
              <w:widowControl/>
              <w:jc w:val="left"/>
              <w:rPr>
                <w:rFonts w:cs="宋体" w:asciiTheme="majorEastAsia" w:hAnsiTheme="majorEastAsia" w:eastAsiaTheme="majorEastAsia"/>
                <w:kern w:val="0"/>
                <w:szCs w:val="24"/>
              </w:rPr>
            </w:pPr>
            <w:r>
              <w:rPr>
                <w:rFonts w:hint="eastAsia" w:cs="宋体" w:asciiTheme="majorEastAsia" w:hAnsiTheme="majorEastAsia" w:eastAsiaTheme="majorEastAsia"/>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outlineLvl w:val="0"/>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宋体" w:hAnsi="宋体" w:eastAsia="宋体" w:cs="宋体"/>
          <w:color w:val="000000"/>
          <w:kern w:val="0"/>
          <w:szCs w:val="21"/>
        </w:rPr>
      </w:pPr>
      <w:r>
        <w:rPr>
          <w:rFonts w:hint="eastAsia" w:ascii="宋体" w:hAnsi="宋体" w:eastAsia="宋体" w:cs="宋体"/>
          <w:color w:val="000000"/>
          <w:kern w:val="0"/>
          <w:szCs w:val="21"/>
        </w:rPr>
        <w:t>部门： 湘潭县发展和改革局                                                                                                   公开07表</w:t>
      </w:r>
    </w:p>
    <w:p>
      <w:pPr>
        <w:widowControl/>
        <w:ind w:right="420"/>
        <w:jc w:val="center"/>
        <w:rPr>
          <w:rFonts w:ascii="宋体" w:hAnsi="宋体" w:eastAsia="宋体" w:cs="宋体"/>
          <w:color w:val="000000"/>
          <w:kern w:val="0"/>
          <w:szCs w:val="21"/>
        </w:rPr>
      </w:pPr>
      <w:r>
        <w:rPr>
          <w:rFonts w:hint="eastAsia" w:ascii="宋体" w:hAnsi="宋体" w:eastAsia="宋体" w:cs="宋体"/>
          <w:color w:val="000000"/>
          <w:kern w:val="0"/>
          <w:szCs w:val="21"/>
        </w:rPr>
        <w:t xml:space="preserve">                                                                                                                   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w:t>
            </w:r>
          </w:p>
          <w:p>
            <w:pPr>
              <w:widowControl/>
              <w:jc w:val="center"/>
              <w:rPr>
                <w:rFonts w:ascii="宋体" w:hAnsi="宋体" w:eastAsia="宋体" w:cs="宋体"/>
                <w:kern w:val="0"/>
                <w:szCs w:val="21"/>
              </w:rPr>
            </w:pPr>
            <w:r>
              <w:rPr>
                <w:rFonts w:hint="eastAsia" w:ascii="宋体" w:hAnsi="宋体" w:eastAsia="宋体" w:cs="宋体"/>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w:t>
            </w:r>
          </w:p>
          <w:p>
            <w:pPr>
              <w:widowControl/>
              <w:jc w:val="center"/>
              <w:rPr>
                <w:rFonts w:ascii="宋体" w:hAnsi="宋体" w:eastAsia="宋体" w:cs="宋体"/>
                <w:kern w:val="0"/>
                <w:szCs w:val="21"/>
              </w:rPr>
            </w:pPr>
            <w:r>
              <w:rPr>
                <w:rFonts w:hint="eastAsia" w:ascii="宋体" w:hAnsi="宋体" w:eastAsia="宋体" w:cs="宋体"/>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eastAsia="宋体" w:cs="宋体"/>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14.3</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9.5</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9.17</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1.11</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nil"/>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1.11</w:t>
            </w:r>
          </w:p>
        </w:tc>
        <w:tc>
          <w:tcPr>
            <w:tcW w:w="1220" w:type="dxa"/>
            <w:tcBorders>
              <w:top w:val="nil"/>
              <w:left w:val="single" w:color="auto" w:sz="4" w:space="0"/>
              <w:bottom w:val="single" w:color="auto" w:sz="8" w:space="0"/>
              <w:right w:val="single" w:color="auto" w:sz="8" w:space="0"/>
            </w:tcBorders>
            <w:shd w:val="clear" w:color="auto" w:fill="auto"/>
            <w:vAlign w:val="center"/>
          </w:tcPr>
          <w:p>
            <w:pPr>
              <w:jc w:val="center"/>
              <w:rPr>
                <w:rFonts w:cs="宋体" w:asciiTheme="majorEastAsia" w:hAnsiTheme="majorEastAsia" w:eastAsiaTheme="majorEastAsia"/>
                <w:bCs/>
                <w:szCs w:val="21"/>
              </w:rPr>
            </w:pPr>
            <w:r>
              <w:rPr>
                <w:rFonts w:hint="eastAsia" w:asciiTheme="majorEastAsia" w:hAnsiTheme="majorEastAsia" w:eastAsiaTheme="majorEastAsia"/>
                <w:bCs/>
                <w:szCs w:val="21"/>
              </w:rPr>
              <w:t>8.06</w:t>
            </w:r>
          </w:p>
        </w:tc>
      </w:tr>
    </w:tbl>
    <w:p>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hAns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center"/>
        <w:outlineLvl w:val="0"/>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ind w:firstLine="420" w:firstLineChars="200"/>
        <w:rPr>
          <w:rFonts w:ascii="宋体" w:hAnsi="宋体" w:eastAsia="宋体" w:cs="宋体"/>
          <w:color w:val="000000"/>
          <w:kern w:val="0"/>
          <w:szCs w:val="21"/>
        </w:rPr>
      </w:pPr>
      <w:r>
        <w:rPr>
          <w:rFonts w:hint="eastAsia" w:ascii="宋体" w:hAnsi="宋体" w:eastAsia="宋体" w:cs="宋体"/>
          <w:color w:val="000000"/>
          <w:kern w:val="0"/>
          <w:szCs w:val="21"/>
        </w:rPr>
        <w:t>部门：湘潭县发展和改革局                                                                                                     公开08表</w:t>
      </w:r>
    </w:p>
    <w:p>
      <w:pPr>
        <w:widowControl/>
        <w:jc w:val="center"/>
        <w:outlineLvl w:val="0"/>
        <w:rPr>
          <w:rFonts w:ascii="宋体" w:hAnsi="宋体" w:eastAsia="宋体" w:cs="宋体"/>
          <w:color w:val="000000"/>
          <w:kern w:val="0"/>
          <w:szCs w:val="21"/>
        </w:rPr>
      </w:pPr>
      <w:r>
        <w:rPr>
          <w:rFonts w:hint="eastAsia" w:ascii="宋体" w:hAnsi="宋体" w:eastAsia="宋体" w:cs="宋体"/>
          <w:color w:val="000000"/>
          <w:kern w:val="0"/>
          <w:szCs w:val="21"/>
        </w:rPr>
        <w:t xml:space="preserve">                                                                                                                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项 目</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年初结转和结余</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本年收入</w:t>
            </w:r>
          </w:p>
        </w:tc>
        <w:tc>
          <w:tcPr>
            <w:tcW w:w="6000" w:type="dxa"/>
            <w:gridSpan w:val="3"/>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本年支出</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功能分类科目编码</w:t>
            </w:r>
          </w:p>
        </w:tc>
        <w:tc>
          <w:tcPr>
            <w:tcW w:w="132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科目名称</w:t>
            </w:r>
          </w:p>
        </w:tc>
        <w:tc>
          <w:tcPr>
            <w:tcW w:w="2000" w:type="dxa"/>
            <w:vMerge w:val="continue"/>
            <w:vAlign w:val="center"/>
          </w:tcPr>
          <w:p>
            <w:pPr>
              <w:widowControl/>
              <w:jc w:val="left"/>
              <w:rPr>
                <w:rFonts w:ascii="宋体" w:hAnsi="宋体" w:eastAsia="宋体" w:cs="宋体"/>
                <w:b/>
                <w:kern w:val="0"/>
                <w:szCs w:val="21"/>
              </w:rPr>
            </w:pPr>
          </w:p>
        </w:tc>
        <w:tc>
          <w:tcPr>
            <w:tcW w:w="2000" w:type="dxa"/>
            <w:vMerge w:val="continue"/>
            <w:vAlign w:val="center"/>
          </w:tcPr>
          <w:p>
            <w:pPr>
              <w:widowControl/>
              <w:jc w:val="left"/>
              <w:rPr>
                <w:rFonts w:ascii="宋体" w:hAnsi="宋体" w:eastAsia="宋体" w:cs="宋体"/>
                <w:b/>
                <w:kern w:val="0"/>
                <w:szCs w:val="21"/>
              </w:rPr>
            </w:pP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小计</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 xml:space="preserve">基本支出  </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项目支出</w:t>
            </w:r>
          </w:p>
        </w:tc>
        <w:tc>
          <w:tcPr>
            <w:tcW w:w="2000" w:type="dxa"/>
            <w:vMerge w:val="continue"/>
            <w:vAlign w:val="center"/>
          </w:tcPr>
          <w:p>
            <w:pPr>
              <w:widowControl/>
              <w:jc w:val="left"/>
              <w:rPr>
                <w:rFonts w:ascii="宋体" w:hAnsi="宋体" w:eastAsia="宋体" w:cs="宋体"/>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rPr>
            </w:pPr>
          </w:p>
        </w:tc>
        <w:tc>
          <w:tcPr>
            <w:tcW w:w="132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rPr>
            </w:pPr>
          </w:p>
        </w:tc>
        <w:tc>
          <w:tcPr>
            <w:tcW w:w="132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栏次</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本单位无政府性基本收入支出。</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132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tc>
      </w:tr>
    </w:tbl>
    <w:p>
      <w:pPr>
        <w:widowControl/>
        <w:ind w:firstLine="420" w:firstLineChars="200"/>
        <w:jc w:val="left"/>
        <w:rPr>
          <w:rFonts w:ascii="宋体" w:hAnsi="宋体" w:eastAsia="宋体" w:cs="宋体"/>
          <w:kern w:val="0"/>
          <w:szCs w:val="21"/>
        </w:rPr>
      </w:pPr>
      <w:r>
        <w:rPr>
          <w:rFonts w:hint="eastAsia" w:ascii="宋体" w:hAnsi="宋体" w:eastAsia="宋体" w:cs="宋体"/>
          <w:kern w:val="0"/>
          <w:szCs w:val="21"/>
        </w:rPr>
        <w:t>注：本表反映部门本年度政府性基金预算财政拨款收入、支出及结转和结余情况</w:t>
      </w:r>
    </w:p>
    <w:p>
      <w:pPr>
        <w:widowControl/>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说明：湘潭县发展和改革局没有政府性基金收入，也没有使用政府性基金安排的支出，故本表无数据。</w:t>
      </w:r>
    </w:p>
    <w:p>
      <w:pPr>
        <w:widowControl/>
        <w:jc w:val="left"/>
        <w:rPr>
          <w:rFonts w:ascii="宋体" w:hAnsi="宋体" w:eastAsia="宋体" w:cs="宋体"/>
          <w:szCs w:val="21"/>
        </w:rPr>
      </w:pPr>
      <w:r>
        <w:rPr>
          <w:rFonts w:hint="eastAsia" w:ascii="宋体" w:hAnsi="宋体" w:eastAsia="宋体" w:cs="宋体"/>
          <w:szCs w:val="21"/>
        </w:rPr>
        <w:br w:type="page"/>
      </w:r>
    </w:p>
    <w:p>
      <w:pPr>
        <w:widowControl/>
        <w:jc w:val="left"/>
        <w:rPr>
          <w:rFonts w:ascii="黑体" w:hAnsi="黑体" w:eastAsia="黑体"/>
          <w:szCs w:val="21"/>
        </w:rPr>
      </w:pPr>
    </w:p>
    <w:p>
      <w:pPr>
        <w:widowControl/>
        <w:jc w:val="left"/>
        <w:rPr>
          <w:rFonts w:ascii="黑体" w:hAnsi="黑体" w:eastAsia="黑体"/>
          <w:szCs w:val="21"/>
        </w:rPr>
      </w:pPr>
    </w:p>
    <w:tbl>
      <w:tblPr>
        <w:tblStyle w:val="9"/>
        <w:tblW w:w="14190" w:type="dxa"/>
        <w:jc w:val="center"/>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jc w:val="center"/>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jc w:val="center"/>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jc w:val="center"/>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kern w:val="0"/>
                <w:sz w:val="20"/>
                <w:szCs w:val="20"/>
              </w:rPr>
              <w:t>湘潭县发展和改革局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jc w:val="center"/>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jc w:val="center"/>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jc w:val="center"/>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本单位无国有资本经营预算财政拨款支出。</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jc w:val="center"/>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widowControl/>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说明：湘潭县发展和改革局没有国有资本经营预算财政拨款支出，故本表无数据。</w:t>
      </w:r>
    </w:p>
    <w:p>
      <w:pPr>
        <w:widowControl/>
        <w:ind w:firstLine="482" w:firstLineChars="200"/>
        <w:jc w:val="left"/>
        <w:rPr>
          <w:rFonts w:ascii="宋体" w:hAnsi="宋体" w:eastAsia="宋体" w:cs="宋体"/>
          <w:b/>
          <w:bCs/>
          <w:kern w:val="0"/>
          <w:sz w:val="24"/>
          <w:szCs w:val="24"/>
        </w:rPr>
      </w:pPr>
    </w:p>
    <w:p>
      <w:pPr>
        <w:widowControl/>
        <w:ind w:firstLine="482" w:firstLineChars="200"/>
        <w:jc w:val="left"/>
        <w:rPr>
          <w:rFonts w:ascii="宋体" w:hAnsi="宋体" w:eastAsia="宋体" w:cs="宋体"/>
          <w:b/>
          <w:bCs/>
          <w:kern w:val="0"/>
          <w:sz w:val="24"/>
          <w:szCs w:val="24"/>
        </w:rPr>
      </w:pPr>
    </w:p>
    <w:p>
      <w:pPr>
        <w:widowControl/>
        <w:ind w:firstLine="482" w:firstLineChars="200"/>
        <w:jc w:val="left"/>
        <w:rPr>
          <w:rFonts w:ascii="宋体" w:hAnsi="宋体" w:eastAsia="宋体" w:cs="宋体"/>
          <w:b/>
          <w:bCs/>
          <w:kern w:val="0"/>
          <w:sz w:val="24"/>
          <w:szCs w:val="24"/>
        </w:rPr>
      </w:pPr>
    </w:p>
    <w:p>
      <w:pPr>
        <w:widowControl/>
        <w:ind w:firstLine="482" w:firstLineChars="200"/>
        <w:jc w:val="left"/>
        <w:rPr>
          <w:rFonts w:ascii="宋体" w:hAnsi="宋体" w:eastAsia="宋体" w:cs="宋体"/>
          <w:b/>
          <w:bCs/>
          <w:kern w:val="0"/>
          <w:sz w:val="24"/>
          <w:szCs w:val="24"/>
        </w:rPr>
        <w:sectPr>
          <w:pgSz w:w="16838" w:h="11906" w:orient="landscape"/>
          <w:pgMar w:top="720" w:right="720" w:bottom="720" w:left="720" w:header="851" w:footer="992" w:gutter="0"/>
          <w:cols w:space="425" w:num="1"/>
          <w:docGrid w:linePitch="312" w:charSpace="0"/>
        </w:sect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第三部分</w:t>
      </w:r>
    </w:p>
    <w:p>
      <w:pPr>
        <w:pStyle w:val="13"/>
        <w:jc w:val="center"/>
        <w:rPr>
          <w:sz w:val="70"/>
          <w:szCs w:val="70"/>
        </w:rPr>
      </w:pPr>
    </w:p>
    <w:p>
      <w:pPr>
        <w:pStyle w:val="13"/>
        <w:jc w:val="center"/>
        <w:outlineLvl w:val="0"/>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3"/>
        <w:rPr>
          <w:rFonts w:asciiTheme="minorEastAsia" w:hAnsiTheme="minorEastAsia" w:eastAsiaTheme="minorEastAsia"/>
          <w:sz w:val="32"/>
          <w:szCs w:val="32"/>
        </w:rPr>
      </w:pPr>
    </w:p>
    <w:p>
      <w:pPr>
        <w:pStyle w:val="13"/>
        <w:spacing w:line="600" w:lineRule="exact"/>
        <w:ind w:firstLine="643" w:firstLineChars="200"/>
        <w:outlineLvl w:val="0"/>
        <w:rPr>
          <w:rFonts w:hAnsi="黑体"/>
          <w:b/>
          <w:sz w:val="32"/>
          <w:szCs w:val="32"/>
        </w:rPr>
      </w:pPr>
      <w:r>
        <w:rPr>
          <w:rFonts w:hint="eastAsia" w:hAnsi="黑体"/>
          <w:b/>
          <w:sz w:val="32"/>
          <w:szCs w:val="32"/>
        </w:rPr>
        <w:t>一、收入支出决算总体情况说明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2021年度收、支总计10,090.58万元。与上年相比，增加4,256.40万元，增长72.96%，主要是因为中央、省级专项资金增加。</w:t>
      </w:r>
    </w:p>
    <w:p>
      <w:pPr>
        <w:pStyle w:val="13"/>
        <w:spacing w:line="600" w:lineRule="exact"/>
        <w:ind w:firstLine="643" w:firstLineChars="200"/>
        <w:rPr>
          <w:rFonts w:hAnsi="黑体"/>
          <w:b/>
          <w:sz w:val="32"/>
          <w:szCs w:val="32"/>
        </w:rPr>
      </w:pPr>
      <w:r>
        <w:rPr>
          <w:rFonts w:hint="eastAsia" w:hAnsi="黑体"/>
          <w:b/>
          <w:sz w:val="32"/>
          <w:szCs w:val="32"/>
        </w:rPr>
        <w:t>二、收入决算情况说明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本年收入合计9,880.38万元，其中：财政拨款收入8,968.88万元，占90.77%；上级补助收入0万元，占0%；事业收入0万元，占0%；经营收入0万元，占0%；附属单位上缴收入0万元，占0%；其他收入911.50万元，占9.23%。</w:t>
      </w:r>
    </w:p>
    <w:p>
      <w:pPr>
        <w:pStyle w:val="13"/>
        <w:spacing w:line="600" w:lineRule="exact"/>
        <w:ind w:firstLine="643" w:firstLineChars="200"/>
        <w:outlineLvl w:val="0"/>
        <w:rPr>
          <w:rFonts w:hAnsi="黑体"/>
          <w:b/>
          <w:sz w:val="32"/>
          <w:szCs w:val="32"/>
        </w:rPr>
      </w:pPr>
      <w:r>
        <w:rPr>
          <w:rFonts w:hint="eastAsia" w:hAnsi="黑体"/>
          <w:b/>
          <w:sz w:val="32"/>
          <w:szCs w:val="32"/>
        </w:rPr>
        <w:t>三、支出决算情况说明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本年支出合计9,894.05万元，其中：基本支出721.13万元，占7.29%；项目支出9,172.92万元，占92.71%；上缴上级支出0万元，占0%；经营支出0万元，占0%；对附属单位补助支出0万元，占0%。</w:t>
      </w:r>
    </w:p>
    <w:p>
      <w:pPr>
        <w:pStyle w:val="13"/>
        <w:spacing w:line="600" w:lineRule="exact"/>
        <w:ind w:firstLine="643" w:firstLineChars="200"/>
        <w:outlineLvl w:val="0"/>
        <w:rPr>
          <w:rFonts w:hAnsi="黑体"/>
          <w:b/>
          <w:sz w:val="32"/>
          <w:szCs w:val="32"/>
        </w:rPr>
      </w:pPr>
      <w:r>
        <w:rPr>
          <w:rFonts w:hint="eastAsia" w:hAnsi="黑体"/>
          <w:b/>
          <w:sz w:val="32"/>
          <w:szCs w:val="32"/>
        </w:rPr>
        <w:t>四、财政拨款收入支出决算总体情况说明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2021年度财政拨款收、支总计8,968.88万元，与上年相比，增加3,761.32万元,增长72.23%，主要是因为中央、省级专项资金增加。</w:t>
      </w:r>
    </w:p>
    <w:p>
      <w:pPr>
        <w:pStyle w:val="13"/>
        <w:spacing w:line="600" w:lineRule="exact"/>
        <w:ind w:firstLine="643" w:firstLineChars="200"/>
        <w:outlineLvl w:val="0"/>
        <w:rPr>
          <w:rFonts w:hAnsi="黑体"/>
          <w:b/>
          <w:sz w:val="32"/>
          <w:szCs w:val="32"/>
        </w:rPr>
      </w:pPr>
      <w:r>
        <w:rPr>
          <w:rFonts w:hint="eastAsia" w:hAnsi="黑体"/>
          <w:b/>
          <w:sz w:val="32"/>
          <w:szCs w:val="32"/>
        </w:rPr>
        <w:t>五、一般公共预算财政拨款支出决算情况说明</w:t>
      </w:r>
    </w:p>
    <w:p>
      <w:pPr>
        <w:pStyle w:val="13"/>
        <w:spacing w:line="600" w:lineRule="exact"/>
        <w:ind w:firstLine="643" w:firstLineChars="200"/>
        <w:outlineLvl w:val="1"/>
        <w:rPr>
          <w:rFonts w:asciiTheme="minorEastAsia" w:hAnsiTheme="minorEastAsia" w:eastAsiaTheme="minorEastAsia"/>
          <w:b/>
          <w:sz w:val="32"/>
          <w:szCs w:val="32"/>
        </w:rPr>
      </w:pPr>
      <w:r>
        <w:rPr>
          <w:rFonts w:hint="eastAsia" w:asciiTheme="minorEastAsia" w:hAnsiTheme="minorEastAsia" w:eastAsiaTheme="minorEastAsia"/>
          <w:b/>
          <w:sz w:val="32"/>
          <w:szCs w:val="32"/>
        </w:rPr>
        <w:t>（一）一般公共预算财政拨款支出决算总体情况</w:t>
      </w:r>
    </w:p>
    <w:p>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2021年度一般公共预算财政拨款支出8,968.88万元，占本年支出合计的90.65%，与上年相比，一般公共预算财政拨款支出增加3,761.32万元，增长72.23%，主要是因为中央、省级专项资金增加。</w:t>
      </w:r>
    </w:p>
    <w:p>
      <w:pPr>
        <w:pStyle w:val="13"/>
        <w:spacing w:line="60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（二）一般公共预算财政拨款支出决算结构情况</w:t>
      </w:r>
    </w:p>
    <w:p>
      <w:pPr>
        <w:pStyle w:val="13"/>
        <w:spacing w:line="600" w:lineRule="exact"/>
        <w:ind w:firstLine="640" w:firstLineChars="200"/>
        <w:jc w:val="both"/>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2021年度一般公共预算财政拨款支出8,968.88万元，主要用于以下方面：一般公共服务（类）支出</w:t>
      </w:r>
      <w:r>
        <w:rPr>
          <w:rFonts w:asciiTheme="minorEastAsia" w:hAnsiTheme="minorEastAsia" w:eastAsiaTheme="minorEastAsia"/>
          <w:sz w:val="32"/>
          <w:szCs w:val="32"/>
        </w:rPr>
        <w:t>2,230.95</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24.87%</w:t>
      </w:r>
      <w:r>
        <w:rPr>
          <w:rFonts w:hint="eastAsia" w:asciiTheme="minorEastAsia" w:hAnsiTheme="minorEastAsia" w:eastAsiaTheme="minorEastAsia"/>
          <w:sz w:val="32"/>
          <w:szCs w:val="32"/>
        </w:rPr>
        <w:t>；文化旅游体育与传媒（类）50万元，占0.56%；社会保障和就业（类)支出31.78万元，占0.35%；节能环保（类）支出2,030.00万元，占22.63%；城乡社区（类）支出300.00万元，占3.35%；农林水（类）支出150.00万元，占1.67%；资源勘探工业信息等（类）支出617.15万元，占6.88%；住房保障（类）支出3,449.00万元，占38.46%；粮油物资储备（类）支出110.00万元，占1.23%。</w:t>
      </w:r>
    </w:p>
    <w:p>
      <w:pPr>
        <w:pStyle w:val="13"/>
        <w:spacing w:line="60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（三）一般公共预算财政拨款支出决算具体情况</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2021年度一般公共预算财政拨款支出年初预算数</w:t>
      </w:r>
      <w:r>
        <w:rPr>
          <w:rFonts w:hint="eastAsia" w:asciiTheme="minorEastAsia" w:hAnsiTheme="minorEastAsia" w:eastAsiaTheme="minorEastAsia"/>
          <w:color w:val="auto"/>
          <w:sz w:val="32"/>
          <w:szCs w:val="32"/>
        </w:rPr>
        <w:t>为</w:t>
      </w:r>
      <w:r>
        <w:rPr>
          <w:rFonts w:asciiTheme="minorEastAsia" w:hAnsiTheme="minorEastAsia" w:eastAsiaTheme="minorEastAsia"/>
          <w:color w:val="auto"/>
          <w:sz w:val="32"/>
          <w:szCs w:val="32"/>
        </w:rPr>
        <w:t>980.5</w:t>
      </w:r>
      <w:r>
        <w:rPr>
          <w:rFonts w:hint="eastAsia" w:asciiTheme="minorEastAsia" w:hAnsiTheme="minorEastAsia" w:eastAsiaTheme="minorEastAsia"/>
          <w:color w:val="auto"/>
          <w:sz w:val="32"/>
          <w:szCs w:val="32"/>
          <w:lang w:val="en-US" w:eastAsia="zh-CN"/>
        </w:rPr>
        <w:t>7</w:t>
      </w:r>
      <w:r>
        <w:rPr>
          <w:rFonts w:hint="eastAsia" w:asciiTheme="minorEastAsia" w:hAnsiTheme="minorEastAsia" w:eastAsiaTheme="minorEastAsia"/>
          <w:color w:val="auto"/>
          <w:sz w:val="32"/>
          <w:szCs w:val="32"/>
        </w:rPr>
        <w:t>万元，支出决</w:t>
      </w:r>
      <w:r>
        <w:rPr>
          <w:rFonts w:hint="eastAsia" w:asciiTheme="minorEastAsia" w:hAnsiTheme="minorEastAsia" w:eastAsiaTheme="minorEastAsia"/>
          <w:sz w:val="32"/>
          <w:szCs w:val="32"/>
        </w:rPr>
        <w:t>算数为8,968.88万元，完成年初预算的914.66%，其中：</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r>
        <w:rPr>
          <w:rFonts w:hint="eastAsia" w:asciiTheme="minorEastAsia" w:hAnsiTheme="minorEastAsia" w:eastAsiaTheme="minorEastAsia"/>
          <w:color w:val="auto"/>
          <w:sz w:val="32"/>
          <w:szCs w:val="32"/>
        </w:rPr>
        <w:t>支出</w:t>
      </w:r>
      <w:r>
        <w:rPr>
          <w:rFonts w:hint="eastAsia" w:asciiTheme="minorEastAsia" w:hAnsiTheme="minorEastAsia" w:eastAsiaTheme="minorEastAsia"/>
          <w:sz w:val="32"/>
          <w:szCs w:val="32"/>
        </w:rPr>
        <w:t>（类）发展与改革事务（款）行政运行（项）。</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575.0591</w:t>
      </w:r>
      <w:r>
        <w:rPr>
          <w:rFonts w:hint="eastAsia" w:asciiTheme="minorEastAsia" w:hAnsiTheme="minorEastAsia" w:eastAsiaTheme="minorEastAsia"/>
          <w:sz w:val="32"/>
          <w:szCs w:val="32"/>
        </w:rPr>
        <w:t>万元，支出</w:t>
      </w:r>
      <w:r>
        <w:rPr>
          <w:rFonts w:hint="eastAsia" w:asciiTheme="minorEastAsia" w:hAnsiTheme="minorEastAsia" w:eastAsiaTheme="minorEastAsia"/>
          <w:color w:val="auto"/>
          <w:sz w:val="32"/>
          <w:szCs w:val="32"/>
        </w:rPr>
        <w:t>决算为</w:t>
      </w:r>
      <w:r>
        <w:rPr>
          <w:rFonts w:asciiTheme="minorEastAsia" w:hAnsiTheme="minorEastAsia" w:eastAsiaTheme="minorEastAsia"/>
          <w:color w:val="auto"/>
          <w:sz w:val="32"/>
          <w:szCs w:val="32"/>
        </w:rPr>
        <w:t>689.35</w:t>
      </w:r>
      <w:r>
        <w:rPr>
          <w:rFonts w:hint="eastAsia" w:asciiTheme="minorEastAsia" w:hAnsiTheme="minorEastAsia" w:eastAsiaTheme="minorEastAsia"/>
          <w:color w:val="auto"/>
          <w:sz w:val="32"/>
          <w:szCs w:val="32"/>
        </w:rPr>
        <w:t>万元，完成年初预算的119.87%，决算数大于年初预算数的主要原因是：使用上年结</w:t>
      </w:r>
      <w:r>
        <w:rPr>
          <w:rFonts w:hint="eastAsia" w:asciiTheme="minorEastAsia" w:hAnsiTheme="minorEastAsia" w:eastAsiaTheme="minorEastAsia"/>
          <w:sz w:val="32"/>
          <w:szCs w:val="32"/>
        </w:rPr>
        <w:t>余资金。</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w:t>
      </w:r>
      <w:r>
        <w:rPr>
          <w:rFonts w:hint="eastAsia" w:asciiTheme="minorEastAsia" w:hAnsiTheme="minorEastAsia" w:eastAsiaTheme="minorEastAsia"/>
          <w:color w:val="auto"/>
          <w:sz w:val="32"/>
          <w:szCs w:val="32"/>
        </w:rPr>
        <w:t>支出</w:t>
      </w:r>
      <w:r>
        <w:rPr>
          <w:rFonts w:hint="eastAsia" w:asciiTheme="minorEastAsia" w:hAnsiTheme="minorEastAsia" w:eastAsiaTheme="minorEastAsia"/>
          <w:sz w:val="32"/>
          <w:szCs w:val="32"/>
        </w:rPr>
        <w:t>（类）发展与改革事务（款） 一般行政管理事务（项）。</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年初预算为71万元，支出</w:t>
      </w:r>
      <w:r>
        <w:rPr>
          <w:rFonts w:hint="eastAsia" w:asciiTheme="minorEastAsia" w:hAnsiTheme="minorEastAsia" w:eastAsiaTheme="minorEastAsia"/>
          <w:color w:val="auto"/>
          <w:sz w:val="32"/>
          <w:szCs w:val="32"/>
        </w:rPr>
        <w:t>决算为123.31万元，完成年初预算的173.68%，决算数大于年初预算数的主要原因是:年中追加代编预算项目资金支出。</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3、一般公共服务支出（类）发展与改革事务（款） 机关服务（项）。</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年初预算为10.16万元，支出决算为10.30万元，完成年初预算的101.38%；决算数大于年初预算数的主要原因是：使用</w:t>
      </w:r>
      <w:r>
        <w:rPr>
          <w:rFonts w:hint="eastAsia" w:asciiTheme="minorEastAsia" w:hAnsiTheme="minorEastAsia" w:eastAsiaTheme="minorEastAsia"/>
          <w:sz w:val="32"/>
          <w:szCs w:val="32"/>
        </w:rPr>
        <w:t>上年结余资金。</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4、一般公共服务</w:t>
      </w:r>
      <w:r>
        <w:rPr>
          <w:rFonts w:hint="eastAsia" w:asciiTheme="minorEastAsia" w:hAnsiTheme="minorEastAsia" w:eastAsiaTheme="minorEastAsia"/>
          <w:color w:val="auto"/>
          <w:sz w:val="32"/>
          <w:szCs w:val="32"/>
        </w:rPr>
        <w:t>支出</w:t>
      </w:r>
      <w:r>
        <w:rPr>
          <w:rFonts w:hint="eastAsia" w:asciiTheme="minorEastAsia" w:hAnsiTheme="minorEastAsia" w:eastAsiaTheme="minorEastAsia"/>
          <w:sz w:val="32"/>
          <w:szCs w:val="32"/>
        </w:rPr>
        <w:t>（类）发展与改革事务（款） 战略规划与实施（项）。</w:t>
      </w:r>
    </w:p>
    <w:p>
      <w:pPr>
        <w:pStyle w:val="13"/>
        <w:spacing w:line="600" w:lineRule="exact"/>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color w:val="auto"/>
          <w:sz w:val="32"/>
          <w:szCs w:val="32"/>
        </w:rPr>
        <w:t>0万元，支出决算为65.03万元，完成年初预算的100%，决算数大于年初预算数的主要原因是：年中追加代编预算项目资金支出。</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5、一般公共服务支出（类）发展与改革事务（款） 社会事业发展规划（项）。</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年初预算为0万元，支出决算为19.41万元，完成年</w:t>
      </w:r>
      <w:r>
        <w:rPr>
          <w:rFonts w:hint="eastAsia" w:asciiTheme="minorEastAsia" w:hAnsiTheme="minorEastAsia" w:eastAsiaTheme="minorEastAsia"/>
          <w:sz w:val="32"/>
          <w:szCs w:val="32"/>
        </w:rPr>
        <w:t>初预算的100%，决算数大</w:t>
      </w:r>
      <w:r>
        <w:rPr>
          <w:rFonts w:hint="eastAsia" w:asciiTheme="minorEastAsia" w:hAnsiTheme="minorEastAsia" w:eastAsiaTheme="minorEastAsia"/>
          <w:color w:val="auto"/>
          <w:sz w:val="32"/>
          <w:szCs w:val="32"/>
        </w:rPr>
        <w:t>于</w:t>
      </w:r>
      <w:r>
        <w:rPr>
          <w:rFonts w:hint="eastAsia" w:asciiTheme="minorEastAsia" w:hAnsiTheme="minorEastAsia" w:eastAsiaTheme="minorEastAsia"/>
          <w:sz w:val="32"/>
          <w:szCs w:val="32"/>
        </w:rPr>
        <w:t>年初预算数的主要原因是:</w:t>
      </w:r>
      <w:r>
        <w:rPr>
          <w:rFonts w:hint="eastAsia" w:asciiTheme="minorEastAsia" w:hAnsiTheme="minorEastAsia"/>
          <w:sz w:val="32"/>
          <w:szCs w:val="32"/>
        </w:rPr>
        <w:t xml:space="preserve"> </w:t>
      </w:r>
      <w:r>
        <w:rPr>
          <w:rFonts w:hint="eastAsia" w:asciiTheme="minorEastAsia" w:hAnsiTheme="minorEastAsia" w:eastAsiaTheme="minorEastAsia"/>
          <w:sz w:val="32"/>
          <w:szCs w:val="32"/>
        </w:rPr>
        <w:t>使用上年结余资金。</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6、一般公共服务</w:t>
      </w:r>
      <w:r>
        <w:rPr>
          <w:rFonts w:hint="eastAsia" w:asciiTheme="minorEastAsia" w:hAnsiTheme="minorEastAsia" w:eastAsiaTheme="minorEastAsia"/>
          <w:color w:val="auto"/>
          <w:sz w:val="32"/>
          <w:szCs w:val="32"/>
        </w:rPr>
        <w:t>支出</w:t>
      </w:r>
      <w:r>
        <w:rPr>
          <w:rFonts w:hint="eastAsia" w:asciiTheme="minorEastAsia" w:hAnsiTheme="minorEastAsia" w:eastAsiaTheme="minorEastAsia"/>
          <w:sz w:val="32"/>
          <w:szCs w:val="32"/>
        </w:rPr>
        <w:t>（类）发展与改革事务（款） 其他发展与改革事务支出（项）。</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324.35</w:t>
      </w:r>
      <w:r>
        <w:rPr>
          <w:rFonts w:hint="eastAsia" w:asciiTheme="minorEastAsia" w:hAnsiTheme="minorEastAsia" w:eastAsiaTheme="minorEastAsia"/>
          <w:sz w:val="32"/>
          <w:szCs w:val="32"/>
        </w:rPr>
        <w:t>万元，支</w:t>
      </w:r>
      <w:r>
        <w:rPr>
          <w:rFonts w:hint="eastAsia" w:asciiTheme="minorEastAsia" w:hAnsiTheme="minorEastAsia" w:eastAsiaTheme="minorEastAsia"/>
          <w:color w:val="auto"/>
          <w:sz w:val="32"/>
          <w:szCs w:val="32"/>
        </w:rPr>
        <w:t>出决算为923.55万元，完成年初预算的284.74%，决算数大于年初预算数的主要原因是：使用上年结转结余资金及本年上级专项资金增加。</w:t>
      </w:r>
    </w:p>
    <w:p>
      <w:pPr>
        <w:pStyle w:val="13"/>
        <w:spacing w:line="600" w:lineRule="exact"/>
        <w:ind w:firstLine="800" w:firstLineChars="250"/>
        <w:outlineLvl w:val="2"/>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7、一般公共服务支出（类）其他一般公共服务支出（款）  其他一般公共服务支出（项）。</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年初预算为0万元，支出决算为400万元，完成年初预算的100%，决算数大于年初预算数的主要原因是:</w:t>
      </w:r>
      <w:r>
        <w:rPr>
          <w:rFonts w:hint="eastAsia" w:asciiTheme="minorEastAsia" w:hAnsiTheme="minorEastAsia"/>
          <w:color w:val="auto"/>
          <w:sz w:val="32"/>
          <w:szCs w:val="32"/>
        </w:rPr>
        <w:t xml:space="preserve"> </w:t>
      </w:r>
      <w:r>
        <w:rPr>
          <w:rFonts w:hint="eastAsia" w:asciiTheme="minorEastAsia" w:hAnsiTheme="minorEastAsia" w:eastAsiaTheme="minorEastAsia"/>
          <w:color w:val="auto"/>
          <w:sz w:val="32"/>
          <w:szCs w:val="32"/>
        </w:rPr>
        <w:t>上级专项资金支出增加。</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8、文化旅游体育与传媒支出（类）体育（款）</w:t>
      </w:r>
      <w:r>
        <w:rPr>
          <w:rFonts w:hint="eastAsia" w:asciiTheme="minorEastAsia" w:hAnsiTheme="minorEastAsia" w:eastAsiaTheme="minorEastAsia"/>
          <w:sz w:val="32"/>
          <w:szCs w:val="32"/>
        </w:rPr>
        <w:t>其他体育支出（项）。</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年初预算为0万元，支出决</w:t>
      </w:r>
      <w:r>
        <w:rPr>
          <w:rFonts w:hint="eastAsia" w:asciiTheme="minorEastAsia" w:hAnsiTheme="minorEastAsia" w:eastAsiaTheme="minorEastAsia"/>
          <w:color w:val="auto"/>
          <w:sz w:val="32"/>
          <w:szCs w:val="32"/>
        </w:rPr>
        <w:t>算为50万元，完成年初预算的100%，决算数大于年初预算数的主要原因是：上级专项资金支出增加。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9、社会保障和就业支出（类）抚恤（款）死亡抚恤（项）。</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年初预算为0万元，支出决算为31.78万元，完成年初预算的100%，决算数大于年初预算数的主要原因是：年中追加死亡抚恤金支出。</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10、节能环保支出（类）其他节能环保支出（款） 其他节能环保支出（项）。</w:t>
      </w:r>
    </w:p>
    <w:p>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年初预算为0万元，支出决算为2030万元，完成年</w:t>
      </w:r>
      <w:r>
        <w:rPr>
          <w:rFonts w:hint="eastAsia" w:asciiTheme="minorEastAsia" w:hAnsiTheme="minorEastAsia" w:eastAsiaTheme="minorEastAsia"/>
          <w:sz w:val="32"/>
          <w:szCs w:val="32"/>
        </w:rPr>
        <w:t>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11、城乡社区支出（类）城乡社区公共设施（款）其他城乡社区公共设施支出（项）。</w:t>
      </w:r>
    </w:p>
    <w:p>
      <w:pPr>
        <w:pStyle w:val="13"/>
        <w:spacing w:line="600" w:lineRule="exact"/>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年初预算为0万元，支出</w:t>
      </w:r>
      <w:r>
        <w:rPr>
          <w:rFonts w:hint="eastAsia" w:asciiTheme="minorEastAsia" w:hAnsiTheme="minorEastAsia" w:eastAsiaTheme="minorEastAsia"/>
          <w:color w:val="auto"/>
          <w:sz w:val="32"/>
          <w:szCs w:val="32"/>
        </w:rPr>
        <w:t>决算为300万元，完成年初预算的100%，决算数大于年初预算数的主要原因是：上级专项资金支出增加。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12、农林水支出（类）农业农村（款）  其他农业农村支出（项）。</w:t>
      </w:r>
    </w:p>
    <w:p>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年初预算为0万元，支出决算为100万元，完成</w:t>
      </w:r>
      <w:r>
        <w:rPr>
          <w:rFonts w:hint="eastAsia" w:asciiTheme="minorEastAsia" w:hAnsiTheme="minorEastAsia" w:eastAsiaTheme="minorEastAsia"/>
          <w:sz w:val="32"/>
          <w:szCs w:val="32"/>
        </w:rPr>
        <w:t>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13、农林水支出（类）其他农林水支出（款）其他农林水支出（项）。</w:t>
      </w:r>
    </w:p>
    <w:p>
      <w:pPr>
        <w:pStyle w:val="13"/>
        <w:spacing w:line="600" w:lineRule="exact"/>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color w:val="auto"/>
          <w:sz w:val="32"/>
          <w:szCs w:val="32"/>
        </w:rPr>
        <w:t>50万元，完成年初预算的100%，决算数大于年初预算数的主要原因是：上级专项资金支出增加。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14、资源勘探工业信息等支出（类）其他资源勘探工业信息等支出（款）其他资源勘探工业信息等支出（项）。</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年初预算为0万元，支出决算为617.15万元，完成年初预算的100%，决算数大于年初预算数的主要原因是：上级专项资</w:t>
      </w:r>
      <w:r>
        <w:rPr>
          <w:rFonts w:hint="eastAsia" w:asciiTheme="minorEastAsia" w:hAnsiTheme="minorEastAsia" w:eastAsiaTheme="minorEastAsia"/>
          <w:sz w:val="32"/>
          <w:szCs w:val="32"/>
        </w:rPr>
        <w:t>金支出增加。</w:t>
      </w:r>
    </w:p>
    <w:p>
      <w:pPr>
        <w:pStyle w:val="13"/>
        <w:spacing w:line="600" w:lineRule="exact"/>
        <w:ind w:firstLine="800" w:firstLineChars="250"/>
        <w:outlineLvl w:val="2"/>
        <w:rPr>
          <w:rFonts w:asciiTheme="minorEastAsia" w:hAnsiTheme="minorEastAsia" w:eastAsiaTheme="minorEastAsia"/>
          <w:sz w:val="32"/>
          <w:szCs w:val="32"/>
        </w:rPr>
      </w:pPr>
      <w:r>
        <w:rPr>
          <w:rFonts w:hint="eastAsia" w:asciiTheme="minorEastAsia" w:hAnsiTheme="minorEastAsia" w:eastAsiaTheme="minorEastAsia"/>
          <w:sz w:val="32"/>
          <w:szCs w:val="32"/>
        </w:rPr>
        <w:t>15、住房保障支出（类）保障性安居工程支出（款）棚户区改造（项）。</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年初预算为0万元，支出决</w:t>
      </w:r>
      <w:r>
        <w:rPr>
          <w:rFonts w:hint="eastAsia" w:asciiTheme="minorEastAsia" w:hAnsiTheme="minorEastAsia" w:eastAsiaTheme="minorEastAsia"/>
          <w:color w:val="auto"/>
          <w:sz w:val="32"/>
          <w:szCs w:val="32"/>
        </w:rPr>
        <w:t>算为818万元，完成年初预算的100%，决算数大于年初预算数的主要原因是：上级专项资金支出增加。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16、住房保障支出（类）保障性安居工程支出（款）老旧小区改造（项）。</w:t>
      </w:r>
    </w:p>
    <w:p>
      <w:pPr>
        <w:pStyle w:val="13"/>
        <w:spacing w:line="600" w:lineRule="exact"/>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年初预算为0万元，支出决算为2631万元，完成年初预算的100%，决算数大于年初预算数的主要原因是：上级专项资金支出增加。</w:t>
      </w:r>
    </w:p>
    <w:p>
      <w:pPr>
        <w:pStyle w:val="13"/>
        <w:spacing w:line="600" w:lineRule="exact"/>
        <w:ind w:firstLine="800" w:firstLineChars="250"/>
        <w:outlineLvl w:val="2"/>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17、粮油物资储备支出（类）粮油事务（款）其他粮油事务支出（项）。</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年初预算为0万元，支出决算为110万元，完成</w:t>
      </w:r>
      <w:r>
        <w:rPr>
          <w:rFonts w:hint="eastAsia" w:asciiTheme="minorEastAsia" w:hAnsiTheme="minorEastAsia" w:eastAsiaTheme="minorEastAsia"/>
          <w:sz w:val="32"/>
          <w:szCs w:val="32"/>
        </w:rPr>
        <w:t>年初预算的100%，决算数大于年初预算数的主要原因是：上级专项资金支出增加。</w:t>
      </w:r>
    </w:p>
    <w:p>
      <w:pPr>
        <w:pStyle w:val="13"/>
        <w:spacing w:line="600" w:lineRule="exact"/>
        <w:ind w:firstLine="643" w:firstLineChars="200"/>
        <w:outlineLvl w:val="0"/>
        <w:rPr>
          <w:rFonts w:hAnsi="黑体"/>
          <w:b/>
          <w:sz w:val="32"/>
          <w:szCs w:val="32"/>
        </w:rPr>
      </w:pPr>
      <w:r>
        <w:rPr>
          <w:rFonts w:hint="eastAsia" w:hAnsi="黑体"/>
          <w:b/>
          <w:sz w:val="32"/>
          <w:szCs w:val="32"/>
        </w:rPr>
        <w:t>六、一般公共预算财政拨款基本支出决算情况说明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基本支出721.13万元，其中：人员经费599.53万元，占基本支出的83.14%,主要包括基本工资、津贴补贴、奖金、伙食补助费、绩效工资、机关事业单位基本养老保险缴费、职工基本医疗保险缴费、公务员医疗补助缴费、 其他社会保障缴费、住房公积金、其他工资福利支出；公用经费121.60万元，占基本支出的16.86%，主要包括办公费、印刷费、咨询费、水费、电费、邮电费、差旅费、维修（护）费、会议费、培训费、公务接待费、劳务费、工会经费、公务用车运行维护费、其他交通费用、其他商品和服务支出。</w:t>
      </w:r>
    </w:p>
    <w:p>
      <w:pPr>
        <w:pStyle w:val="13"/>
        <w:spacing w:line="600" w:lineRule="exact"/>
        <w:ind w:firstLine="643" w:firstLineChars="200"/>
        <w:outlineLvl w:val="0"/>
        <w:rPr>
          <w:rFonts w:hAnsi="黑体"/>
          <w:b/>
          <w:sz w:val="32"/>
          <w:szCs w:val="32"/>
        </w:rPr>
      </w:pPr>
      <w:r>
        <w:rPr>
          <w:rFonts w:hint="eastAsia" w:hAnsi="黑体"/>
          <w:b/>
          <w:sz w:val="32"/>
          <w:szCs w:val="32"/>
        </w:rPr>
        <w:t>七、一般公共预算财政拨款三公经费支出决算情况说明</w:t>
      </w:r>
    </w:p>
    <w:p>
      <w:pPr>
        <w:pStyle w:val="13"/>
        <w:spacing w:line="600" w:lineRule="exact"/>
        <w:ind w:firstLine="643" w:firstLineChars="200"/>
        <w:outlineLvl w:val="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“三公”经费财政拨款支出预算为14.30万元，支出决算为9.17万元，完成预算的64.13%，其中：</w:t>
      </w:r>
    </w:p>
    <w:p>
      <w:pPr>
        <w:pStyle w:val="13"/>
        <w:spacing w:line="60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因公出国（境）费支出预算为0万元，支出决算为0万元，完成预算的0%，决算数与预算数增减无变化，与上年相比增减无变化。</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9.5万元，支出决算为8.06万元，完成预算的84.84%，决算数小于预算数的主要原因是单位按照中央八项规定，坚持厉行节约，反对铺张浪费，从严控制公务支出，规范公务活动；与上年相比减少0.03万元，</w:t>
      </w:r>
      <w:r>
        <w:rPr>
          <w:rFonts w:hint="eastAsia" w:asciiTheme="minorEastAsia" w:hAnsiTheme="minorEastAsia" w:eastAsiaTheme="minorEastAsia"/>
          <w:color w:val="auto"/>
          <w:sz w:val="32"/>
          <w:szCs w:val="32"/>
        </w:rPr>
        <w:t>减少0.37%,减少</w:t>
      </w:r>
      <w:r>
        <w:rPr>
          <w:rFonts w:hint="eastAsia" w:asciiTheme="minorEastAsia" w:hAnsiTheme="minorEastAsia" w:eastAsiaTheme="minorEastAsia"/>
          <w:sz w:val="32"/>
          <w:szCs w:val="32"/>
        </w:rPr>
        <w:t>的主要原因是从严控制公务支出，规范公务活动,减少公务接待次数，严控公务接待标准。</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4.8万元，支出决算为1.11万元，完成预算的23.13%，决算数小于预算数的主要原因进一步规范公务用车活动，对公务用车科学化管理。与上年相比减少3.55万元，减少76.18%,减少的主要原因车辆的部分维修费用未在当年结算。</w:t>
      </w:r>
    </w:p>
    <w:p>
      <w:pPr>
        <w:pStyle w:val="13"/>
        <w:spacing w:line="600" w:lineRule="exact"/>
        <w:outlineLvl w:val="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2021年度“三公”经费财政拨款支出决算中，公务接待费支出决算8.06万元，占87.90%,因公出国（境）费支出决算0万元，占0%,公务用车购置费及运行维护费支出决算1.11万元，占12.10%。其中：</w:t>
      </w:r>
    </w:p>
    <w:p>
      <w:pPr>
        <w:pStyle w:val="13"/>
        <w:spacing w:line="600" w:lineRule="exact"/>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3"/>
        <w:spacing w:line="600" w:lineRule="exact"/>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2、公务接待费支出决算为8.06万元，全年共接待来访团组200个、来宾</w:t>
      </w:r>
      <w:r>
        <w:rPr>
          <w:rFonts w:hint="eastAsia" w:asciiTheme="minorEastAsia" w:hAnsiTheme="minorEastAsia" w:eastAsiaTheme="minorEastAsia"/>
          <w:color w:val="auto"/>
          <w:sz w:val="32"/>
          <w:szCs w:val="32"/>
        </w:rPr>
        <w:t>2000人次，主要是用于创文迎检、综治维稳、粮食安全考核监督等接待支出。</w:t>
      </w:r>
    </w:p>
    <w:p>
      <w:pPr>
        <w:spacing w:line="600" w:lineRule="exact"/>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3、公务用车购置费及运行维护费支出决算为1.11万元，其中：公务用车购置费0万元，单位本级更新公务用车0辆</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公务用车运行维护费1.11万元，主要是公务用车加油、维修费、过路过桥费支出。截止2021年12月31日，我单位开支财政拨款的公务用车保有量为1辆。</w:t>
      </w:r>
    </w:p>
    <w:p>
      <w:pPr>
        <w:pStyle w:val="13"/>
        <w:spacing w:line="600" w:lineRule="exact"/>
        <w:ind w:firstLine="643" w:firstLineChars="200"/>
        <w:outlineLvl w:val="0"/>
        <w:rPr>
          <w:rFonts w:hAnsi="黑体"/>
          <w:b/>
          <w:sz w:val="32"/>
          <w:szCs w:val="32"/>
        </w:rPr>
      </w:pPr>
      <w:r>
        <w:rPr>
          <w:rFonts w:hint="eastAsia" w:hAnsi="黑体"/>
          <w:b/>
          <w:sz w:val="32"/>
          <w:szCs w:val="32"/>
        </w:rPr>
        <w:t>八、政府性基金预算收入支出决算情况</w:t>
      </w:r>
    </w:p>
    <w:p>
      <w:pPr>
        <w:pStyle w:val="13"/>
        <w:spacing w:line="600" w:lineRule="exact"/>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 xml:space="preserve">     本单位2021年度无政府性基金收支。</w:t>
      </w:r>
    </w:p>
    <w:p>
      <w:pPr>
        <w:pStyle w:val="13"/>
        <w:spacing w:line="600" w:lineRule="exact"/>
        <w:ind w:firstLine="643" w:firstLineChars="200"/>
        <w:outlineLvl w:val="0"/>
        <w:rPr>
          <w:rFonts w:hAnsi="黑体"/>
          <w:b/>
          <w:sz w:val="32"/>
          <w:szCs w:val="32"/>
        </w:rPr>
      </w:pPr>
      <w:r>
        <w:rPr>
          <w:rFonts w:hint="eastAsia" w:hAnsi="黑体"/>
          <w:b/>
          <w:sz w:val="32"/>
          <w:szCs w:val="32"/>
        </w:rPr>
        <w:t>九、国有资本经营预算财政拨款支出决算情况</w:t>
      </w:r>
    </w:p>
    <w:p>
      <w:pPr>
        <w:pStyle w:val="13"/>
        <w:spacing w:line="600" w:lineRule="exact"/>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 xml:space="preserve">     本单位2021年度无国有资本经营预算财政拨款支出。</w:t>
      </w:r>
    </w:p>
    <w:p>
      <w:pPr>
        <w:pStyle w:val="13"/>
        <w:spacing w:line="600" w:lineRule="exact"/>
        <w:ind w:firstLine="643" w:firstLineChars="200"/>
        <w:outlineLvl w:val="0"/>
        <w:rPr>
          <w:rFonts w:hAnsi="黑体"/>
          <w:b/>
          <w:sz w:val="32"/>
          <w:szCs w:val="32"/>
        </w:rPr>
      </w:pPr>
      <w:r>
        <w:rPr>
          <w:rFonts w:hint="eastAsia" w:hAnsi="黑体"/>
          <w:b/>
          <w:sz w:val="32"/>
          <w:szCs w:val="32"/>
        </w:rPr>
        <w:t>十、关于2021年度预算绩效情况的说明</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我单位严格执行《湘潭县预算绩效管理实施办法》，加强财政资金的管理，提高财政资金使用的效益，做到了专款专用，收支平衡，保证了单位的正常运行，按要求完成了当年的绩效评价工作，并制定了《湘潭县发展和改革局预算绩效管理实施方案》，确定了我单位绩效管理及自评范围，并按要求积极开展绩效自评，并将自评报告在湘潭县人民政府网站进行了公开。2021年度我单位无重点绩效评价项目。</w:t>
      </w:r>
    </w:p>
    <w:p>
      <w:pPr>
        <w:pStyle w:val="13"/>
        <w:spacing w:line="600" w:lineRule="exact"/>
        <w:ind w:firstLine="643" w:firstLineChars="200"/>
        <w:outlineLvl w:val="0"/>
        <w:rPr>
          <w:rFonts w:hAnsi="黑体"/>
          <w:b/>
          <w:sz w:val="32"/>
          <w:szCs w:val="32"/>
        </w:rPr>
      </w:pPr>
      <w:r>
        <w:rPr>
          <w:rFonts w:hint="eastAsia" w:hAnsi="黑体"/>
          <w:b/>
          <w:sz w:val="32"/>
          <w:szCs w:val="32"/>
        </w:rPr>
        <w:t>十一、其他重要事项情况说明</w:t>
      </w:r>
    </w:p>
    <w:p>
      <w:pPr>
        <w:spacing w:line="600" w:lineRule="exact"/>
        <w:ind w:firstLine="643" w:firstLineChars="200"/>
        <w:outlineLvl w:val="0"/>
        <w:rPr>
          <w:rFonts w:ascii="楷体_GB2312" w:hAnsi="Times New Roman" w:eastAsia="楷体_GB2312" w:cs="Times New Roman"/>
          <w:b/>
          <w:kern w:val="0"/>
          <w:sz w:val="32"/>
          <w:szCs w:val="32"/>
        </w:rPr>
      </w:pPr>
      <w:r>
        <w:rPr>
          <w:rFonts w:hint="eastAsia" w:ascii="楷体_GB2312" w:hAnsi="Times New Roman" w:eastAsia="楷体_GB2312" w:cs="Times New Roman"/>
          <w:b/>
          <w:kern w:val="0"/>
          <w:sz w:val="32"/>
          <w:szCs w:val="32"/>
        </w:rPr>
        <w:t>（一）机关运行经费支出情况</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本部门2021年度机关运行经费支出121.60万元，比年初预算数增加31.6122万元，增长35.13%。主要原因是：一是使用上年结转资金支出；二是工会经费、乡村振兴、党建等相关工作支出预算不足。</w:t>
      </w:r>
    </w:p>
    <w:p>
      <w:pPr>
        <w:spacing w:line="600" w:lineRule="exact"/>
        <w:ind w:firstLine="643" w:firstLineChars="200"/>
        <w:outlineLvl w:val="0"/>
        <w:rPr>
          <w:rFonts w:ascii="楷体_GB2312" w:eastAsia="楷体_GB2312"/>
          <w:b/>
          <w:kern w:val="0"/>
          <w:sz w:val="32"/>
          <w:szCs w:val="32"/>
        </w:rPr>
      </w:pPr>
      <w:r>
        <w:rPr>
          <w:rFonts w:hint="eastAsia" w:ascii="楷体_GB2312" w:eastAsia="楷体_GB2312"/>
          <w:b/>
          <w:kern w:val="0"/>
          <w:sz w:val="32"/>
          <w:szCs w:val="32"/>
        </w:rPr>
        <w:t>（二）一般性支出情况</w:t>
      </w:r>
    </w:p>
    <w:p>
      <w:pPr>
        <w:autoSpaceDE w:val="0"/>
        <w:autoSpaceDN w:val="0"/>
        <w:adjustRightInd w:val="0"/>
        <w:spacing w:line="640" w:lineRule="exact"/>
        <w:ind w:firstLine="640" w:firstLineChars="200"/>
        <w:jc w:val="left"/>
        <w:rPr>
          <w:rFonts w:asciiTheme="minorEastAsia" w:hAnsiTheme="minorEastAsia"/>
          <w:sz w:val="32"/>
          <w:szCs w:val="32"/>
        </w:rPr>
      </w:pPr>
      <w:r>
        <w:rPr>
          <w:rFonts w:hint="eastAsia" w:asciiTheme="minorEastAsia" w:hAnsiTheme="minorEastAsia"/>
          <w:sz w:val="32"/>
          <w:szCs w:val="32"/>
        </w:rPr>
        <w:t>2021年本部门开支会议费1.58万元，召开会议20次,人数400人，内容为投资工作研判会、项目策划专题研究会、争项争资调度会、轨道交通座谈会及各业务专题会议；开支培训费2.15万元，用于青干班培训等，开展培训12次，人数350人左右，内容为青干班培训、事业单位人员培训平台以及固定资产投资统计、规上服务业企业统计、信用信息“双公示”等各类业务培训；</w:t>
      </w:r>
    </w:p>
    <w:p>
      <w:pPr>
        <w:pStyle w:val="13"/>
        <w:spacing w:line="600" w:lineRule="exact"/>
        <w:rPr>
          <w:rFonts w:asciiTheme="minorEastAsia" w:hAnsiTheme="minorEastAsia" w:eastAsiaTheme="minorEastAsia" w:cstheme="minorBidi"/>
          <w:color w:val="auto"/>
          <w:kern w:val="2"/>
          <w:sz w:val="32"/>
          <w:szCs w:val="32"/>
        </w:rPr>
      </w:pPr>
      <w:r>
        <w:rPr>
          <w:rFonts w:asciiTheme="minorEastAsia" w:hAnsiTheme="minorEastAsia" w:eastAsiaTheme="minorEastAsia" w:cstheme="minorBidi"/>
          <w:color w:val="auto"/>
          <w:kern w:val="2"/>
          <w:sz w:val="32"/>
          <w:szCs w:val="32"/>
        </w:rPr>
        <w:t>举办</w:t>
      </w:r>
      <w:r>
        <w:rPr>
          <w:rFonts w:hint="eastAsia" w:asciiTheme="minorEastAsia" w:hAnsiTheme="minorEastAsia" w:eastAsiaTheme="minorEastAsia" w:cstheme="minorBidi"/>
          <w:color w:val="auto"/>
          <w:kern w:val="2"/>
          <w:sz w:val="32"/>
          <w:szCs w:val="32"/>
        </w:rPr>
        <w:t>0次</w:t>
      </w:r>
      <w:r>
        <w:rPr>
          <w:rFonts w:asciiTheme="minorEastAsia" w:hAnsiTheme="minorEastAsia" w:eastAsiaTheme="minorEastAsia" w:cstheme="minorBidi"/>
          <w:color w:val="auto"/>
          <w:kern w:val="2"/>
          <w:sz w:val="32"/>
          <w:szCs w:val="32"/>
        </w:rPr>
        <w:t>节庆、晚会、论坛、赛事活动，开支</w:t>
      </w:r>
      <w:r>
        <w:rPr>
          <w:rFonts w:hint="eastAsia" w:asciiTheme="minorEastAsia" w:hAnsiTheme="minorEastAsia" w:eastAsiaTheme="minorEastAsia" w:cstheme="minorBidi"/>
          <w:color w:val="auto"/>
          <w:kern w:val="2"/>
          <w:sz w:val="32"/>
          <w:szCs w:val="32"/>
        </w:rPr>
        <w:t>0</w:t>
      </w:r>
      <w:r>
        <w:rPr>
          <w:rFonts w:asciiTheme="minorEastAsia" w:hAnsiTheme="minorEastAsia" w:eastAsiaTheme="minorEastAsia" w:cstheme="minorBidi"/>
          <w:color w:val="auto"/>
          <w:kern w:val="2"/>
          <w:sz w:val="32"/>
          <w:szCs w:val="32"/>
        </w:rPr>
        <w:t>万元</w:t>
      </w:r>
      <w:r>
        <w:rPr>
          <w:rFonts w:hint="eastAsia" w:asciiTheme="minorEastAsia" w:hAnsiTheme="minorEastAsia" w:eastAsiaTheme="minorEastAsia" w:cstheme="minorBidi"/>
          <w:color w:val="auto"/>
          <w:kern w:val="2"/>
          <w:sz w:val="32"/>
          <w:szCs w:val="32"/>
        </w:rPr>
        <w:t>。</w:t>
      </w:r>
    </w:p>
    <w:p>
      <w:pPr>
        <w:spacing w:line="600" w:lineRule="exact"/>
        <w:ind w:firstLine="643" w:firstLineChars="200"/>
        <w:outlineLvl w:val="0"/>
        <w:rPr>
          <w:rFonts w:ascii="楷体_GB2312" w:eastAsia="楷体_GB2312"/>
          <w:b/>
          <w:kern w:val="0"/>
          <w:sz w:val="32"/>
          <w:szCs w:val="32"/>
        </w:rPr>
      </w:pPr>
      <w:r>
        <w:rPr>
          <w:rFonts w:hint="eastAsia" w:ascii="楷体_GB2312" w:eastAsia="楷体_GB2312"/>
          <w:b/>
          <w:kern w:val="0"/>
          <w:sz w:val="32"/>
          <w:szCs w:val="32"/>
        </w:rPr>
        <w:t>（三）政府采购支出情况</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asciiTheme="minorEastAsia" w:hAnsiTheme="minorEastAsia" w:eastAsiaTheme="minorEastAsia"/>
          <w:sz w:val="32"/>
          <w:szCs w:val="32"/>
        </w:rPr>
        <w:t>101.64</w:t>
      </w:r>
      <w:r>
        <w:rPr>
          <w:rFonts w:hint="eastAsia" w:asciiTheme="minorEastAsia" w:hAnsiTheme="minorEastAsia" w:eastAsiaTheme="minorEastAsia"/>
          <w:sz w:val="32"/>
          <w:szCs w:val="32"/>
        </w:rPr>
        <w:t>万元，其中：政府采购货物支出</w:t>
      </w:r>
      <w:r>
        <w:rPr>
          <w:rFonts w:asciiTheme="minorEastAsia" w:hAnsiTheme="minorEastAsia" w:eastAsiaTheme="minorEastAsia"/>
          <w:sz w:val="32"/>
          <w:szCs w:val="32"/>
        </w:rPr>
        <w:t>25.55</w:t>
      </w:r>
      <w:r>
        <w:rPr>
          <w:rFonts w:hint="eastAsia" w:asciiTheme="minorEastAsia" w:hAnsiTheme="minorEastAsia" w:eastAsiaTheme="minorEastAsia"/>
          <w:sz w:val="32"/>
          <w:szCs w:val="32"/>
        </w:rPr>
        <w:t>万元、政府采购工程支出0万元、政府采购服务支出</w:t>
      </w:r>
      <w:r>
        <w:rPr>
          <w:rFonts w:asciiTheme="minorEastAsia" w:hAnsiTheme="minorEastAsia" w:eastAsiaTheme="minorEastAsia"/>
          <w:sz w:val="32"/>
          <w:szCs w:val="32"/>
        </w:rPr>
        <w:t>76.09</w:t>
      </w:r>
      <w:r>
        <w:rPr>
          <w:rFonts w:hint="eastAsia" w:asciiTheme="minorEastAsia" w:hAnsiTheme="minorEastAsia" w:eastAsiaTheme="minorEastAsia"/>
          <w:sz w:val="32"/>
          <w:szCs w:val="32"/>
        </w:rPr>
        <w:t>万元。授予中小企业合同金额</w:t>
      </w:r>
      <w:r>
        <w:rPr>
          <w:rFonts w:asciiTheme="minorEastAsia" w:hAnsiTheme="minorEastAsia" w:eastAsiaTheme="minorEastAsia"/>
          <w:sz w:val="32"/>
          <w:szCs w:val="32"/>
        </w:rPr>
        <w:t>101.64</w:t>
      </w:r>
      <w:r>
        <w:rPr>
          <w:rFonts w:hint="eastAsia" w:asciiTheme="minorEastAsia" w:hAnsiTheme="minorEastAsia" w:eastAsiaTheme="minorEastAsia"/>
          <w:sz w:val="32"/>
          <w:szCs w:val="32"/>
        </w:rPr>
        <w:t>万元，占政府采购支出总额的100%，其中：授予小微企业合同金额</w:t>
      </w:r>
      <w:r>
        <w:rPr>
          <w:rFonts w:asciiTheme="minorEastAsia" w:hAnsiTheme="minorEastAsia" w:eastAsiaTheme="minorEastAsia"/>
          <w:sz w:val="32"/>
          <w:szCs w:val="32"/>
        </w:rPr>
        <w:t>80.80</w:t>
      </w:r>
      <w:r>
        <w:rPr>
          <w:rFonts w:hint="eastAsia" w:asciiTheme="minorEastAsia" w:hAnsiTheme="minorEastAsia" w:eastAsiaTheme="minorEastAsia"/>
          <w:sz w:val="32"/>
          <w:szCs w:val="32"/>
        </w:rPr>
        <w:t>万元，占政府采购支出总额的79.50%。</w:t>
      </w:r>
    </w:p>
    <w:p>
      <w:pPr>
        <w:spacing w:line="600" w:lineRule="exact"/>
        <w:ind w:firstLine="643" w:firstLineChars="200"/>
        <w:outlineLvl w:val="0"/>
        <w:rPr>
          <w:rFonts w:ascii="楷体_GB2312" w:eastAsia="楷体_GB2312"/>
          <w:b/>
          <w:kern w:val="0"/>
          <w:sz w:val="32"/>
          <w:szCs w:val="32"/>
        </w:rPr>
      </w:pPr>
      <w:r>
        <w:rPr>
          <w:rFonts w:hint="eastAsia" w:ascii="楷体_GB2312" w:eastAsia="楷体_GB2312"/>
          <w:b/>
          <w:kern w:val="0"/>
          <w:sz w:val="32"/>
          <w:szCs w:val="32"/>
        </w:rPr>
        <w:t>（四）国有资产占用情况</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本单位共有车辆1辆，其中，主要领导干部用车0辆，机要通信用车0辆、应急保障用车0辆、执法执勤用车0辆、特种专业技术用车0辆、其他用车1辆；单位价值50万元以上通用设备0台（套）；单位价值100万元以上专用设备0台（套）。</w:t>
      </w:r>
    </w:p>
    <w:p>
      <w:pPr>
        <w:pStyle w:val="13"/>
        <w:spacing w:line="600" w:lineRule="exact"/>
        <w:jc w:val="center"/>
        <w:rPr>
          <w:sz w:val="72"/>
          <w:szCs w:val="72"/>
        </w:rPr>
      </w:pPr>
    </w:p>
    <w:p>
      <w:pPr>
        <w:pStyle w:val="13"/>
        <w:spacing w:line="600" w:lineRule="exact"/>
        <w:jc w:val="center"/>
        <w:rPr>
          <w:sz w:val="72"/>
          <w:szCs w:val="72"/>
        </w:rPr>
      </w:pPr>
    </w:p>
    <w:p>
      <w:pPr>
        <w:pStyle w:val="13"/>
        <w:spacing w:line="600" w:lineRule="exact"/>
        <w:jc w:val="center"/>
        <w:rPr>
          <w:sz w:val="72"/>
          <w:szCs w:val="72"/>
        </w:rPr>
      </w:pPr>
    </w:p>
    <w:p>
      <w:pPr>
        <w:pStyle w:val="13"/>
        <w:spacing w:line="600" w:lineRule="exact"/>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outlineLvl w:val="0"/>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一、财政拨款收入：是指行政事业单位从同级财政部门取得的财政预算资金。</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二、基本支出：指为保障机构正常运转、完成日常工作任务而发生的人员支出和公用支出。</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三、项目支出：指在基本支出之外为完成特定行政任务和事业发展目标所发生的支出。</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四、财政拨款结转：是指行政事业单位当年预算已执行但尚未完成，或因故未执行，下一年度需要按照原用途继续使用的财政拨款滚存资金。</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3"/>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六、“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3"/>
        <w:spacing w:line="600" w:lineRule="exact"/>
        <w:ind w:firstLine="640" w:firstLineChars="200"/>
        <w:rPr>
          <w:rFonts w:asciiTheme="minorEastAsia" w:hAnsiTheme="minorEastAsia" w:eastAsiaTheme="minorEastAsia"/>
          <w:sz w:val="32"/>
          <w:szCs w:val="3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outlineLvl w:val="0"/>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3" w:firstLineChars="200"/>
        <w:jc w:val="center"/>
        <w:outlineLvl w:val="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tbl>
      <w:tblPr>
        <w:tblStyle w:val="9"/>
        <w:tblW w:w="8988" w:type="dxa"/>
        <w:tblInd w:w="10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5"/>
        <w:gridCol w:w="7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单位名称</w:t>
            </w:r>
          </w:p>
        </w:tc>
        <w:tc>
          <w:tcPr>
            <w:tcW w:w="7213"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湘潭县发展和改革局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年度预算金额</w:t>
            </w:r>
          </w:p>
        </w:tc>
        <w:tc>
          <w:tcPr>
            <w:tcW w:w="7213" w:type="dxa"/>
            <w:vAlign w:val="center"/>
          </w:tcPr>
          <w:p>
            <w:pP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2021年年初收入预算980.5691万元（一般财政公共预算拨款收入980.5691万元）；其中：基本支出预算575.0591万元（工资福利支出476.7373万元，商品和服务支出89.9878万元，对个人和家庭的补助8.334万元）；项目支出预算405.51万元。</w:t>
            </w:r>
          </w:p>
          <w:p>
            <w:pP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2021年预算调整金额为12,509.72万元：本级预算调整金额为899.72万元，其中：基本支出调增13.82万元（职业年金个人账户资金记实、补记资金）；项目支出调增885.90万元，为年初代编预算项目增加。本年预算内收到中央、省级转移支付专项资金指标11,610.00万元。</w:t>
            </w:r>
          </w:p>
          <w:p>
            <w:pPr>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2021年度预算内指标合计13,490.2891万元（含本级及上级资金指标）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主管部门</w:t>
            </w:r>
          </w:p>
        </w:tc>
        <w:tc>
          <w:tcPr>
            <w:tcW w:w="7213" w:type="dxa"/>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单位基本职能</w:t>
            </w:r>
          </w:p>
        </w:tc>
        <w:tc>
          <w:tcPr>
            <w:tcW w:w="7213" w:type="dxa"/>
            <w:vAlign w:val="center"/>
          </w:tcPr>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一、机构设置及在职人员情况</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湘潭县发展和改革局设内设机构14个：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湘潭县重点建设项目事务中心、湘潭县重点项目开发前期服务中心、湘潭县政府投资项目评审中心、湘潭县价格监测服务中心、湘潭县“两型社会”建设综合配套改革事务中心。</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2021年部门预算编报范围本部门核定编制人数42名，其中行政16人，事业23人，后勤 3人；年末实有在职人员44名，其中行政人员14名，事业人员28名，机关后勤人员1人，人事代理1人；退休人员56名。</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二、部门主要工作职能</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（二）统筹协调经济社会发展。研究分析国内外、县内外经济形势和社会发展情况，监测预测预警全县宏观经济和社会发展态势，提出宏观调控措施和建议，协调解决宏观经济运行中的重大问题。</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（三）参与拟订财政政策、金融政策、土地政策等，汇总、分析政策的执行情况。负责企业债券发行的审查和申报，监督发行企业债券募集资金的使用。</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（十四）组织编制全县国民经济建设和国防建设协调发展的规划、计划，组织实施国民经济动员和装备动员有关工作。</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（十九）统筹推进信用体系建设工作。</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（二十）完成县委、县政府交办的其他任务。</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三、2021年度工作计划</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（一）客观、准确拟定国民经济和社会发展执行情况报告，有效促进全县经济社会平稳较快增长。</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（二）积极对接国省政策，全力争资争项。</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（三）我县计划铺排重大项目100个，完成</w:t>
            </w:r>
            <w:r>
              <w:rPr>
                <w:rFonts w:hint="eastAsia" w:ascii="仿宋" w:hAnsi="仿宋" w:eastAsia="仿宋" w:cs="仿宋"/>
                <w:sz w:val="24"/>
                <w:szCs w:val="24"/>
                <w:lang w:eastAsia="zh-CN"/>
              </w:rPr>
              <w:t>年度投资</w:t>
            </w:r>
            <w:r>
              <w:rPr>
                <w:rFonts w:hint="eastAsia" w:ascii="仿宋" w:hAnsi="仿宋" w:eastAsia="仿宋" w:cs="仿宋"/>
                <w:sz w:val="24"/>
                <w:szCs w:val="24"/>
              </w:rPr>
              <w:t>100亿元以上。</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（四）全面落实粮食安全责任制。建立完善奖补机制，充分调动粮农种植积极性。</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四、2021年度绩效目标</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目标1：固定资产投资增长15%以上，达到287亿元以上；</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目标2：确保中央和省市到位资金1亿元以上；</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目标3：全力推进投资增长，年内完成项目储备100个，积极争取项目资金；</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目标4：做好2019年度地方临储稻谷处置价差及费用的资金拨付与监管工作；</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目标5：加强机关作风建设和内务管理，严格遵守“八项”</w:t>
            </w:r>
            <w:r>
              <w:rPr>
                <w:rFonts w:hint="eastAsia" w:ascii="仿宋" w:hAnsi="仿宋" w:eastAsia="仿宋" w:cs="仿宋"/>
                <w:sz w:val="24"/>
                <w:szCs w:val="24"/>
                <w:lang w:eastAsia="zh-CN"/>
              </w:rPr>
              <w:t>规定</w:t>
            </w:r>
            <w:r>
              <w:rPr>
                <w:rFonts w:hint="eastAsia" w:ascii="仿宋" w:hAnsi="仿宋" w:eastAsia="仿宋" w:cs="仿宋"/>
                <w:sz w:val="24"/>
                <w:szCs w:val="24"/>
              </w:rPr>
              <w:t>，控制“三公”消费，厉行节约，打造一个和谐、文明、服务的机关。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部门整体支出管理和使用基本情况</w:t>
            </w:r>
          </w:p>
        </w:tc>
        <w:tc>
          <w:tcPr>
            <w:tcW w:w="7213" w:type="dxa"/>
            <w:vAlign w:val="center"/>
          </w:tcPr>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一、预算安排情况</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我局2021年年初收入预算980.5691万元（一般财政公共预算拨款收入980.5691万元）；其中：基本支出预算575.0591万元（工资福利支出476.7373万元，商品和服务支出89.9878万元，对个人和家庭的补助8.334万元）；项目支出预算405.51万元。</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2021年预算调整金额为899.72万元，其中：基本支出调增13.82万元（职业年金个人账户资金记实、补记资金）；项目支出调增885.90万元，为年初代编预算项目增加。</w:t>
            </w:r>
          </w:p>
          <w:p>
            <w:pPr>
              <w:spacing w:line="400" w:lineRule="exact"/>
              <w:ind w:firstLine="480" w:firstLineChars="200"/>
              <w:rPr>
                <w:rFonts w:ascii="仿宋" w:hAnsi="仿宋" w:eastAsia="仿宋" w:cs="仿宋"/>
                <w:sz w:val="24"/>
                <w:szCs w:val="24"/>
              </w:rPr>
            </w:pP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1</w:t>
            </w:r>
            <w:r>
              <w:rPr>
                <w:rFonts w:hint="eastAsia" w:ascii="仿宋" w:hAnsi="仿宋" w:eastAsia="仿宋" w:cs="仿宋"/>
                <w:sz w:val="24"/>
                <w:szCs w:val="24"/>
              </w:rPr>
              <w:t>年预算内收到中央、省级转移支付专项资金指标11,610.00万元。</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2021年度预算内指标合计13,490.2891万元（含本级及上级资金指标）</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二、预算执行情况</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（1）我局2021年度决算总收入9,880.38万元，其中：财政预算内拨款8,968.88万元，占总收入的90.77%;其他资金收入911.49万元,占总收入的9.23%</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（2）2021年度总支出9,894.05万元,其中基本支出721.13万元（工资福利支出534.32万元、商品和服务支出121.61万元、对个人和家庭的补助支出65.20万元）；项目支出9,894.05万元。</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2020年度结转210.21万元,2021年度收入9,880.38万元，2021年度支出9,894.05万元，收支结转196.54万元，均为非财政拨款资金结转。</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（3）“三公经费”情况：“三公经费”年初预算14.3万元，实际支出9.17万元，“三公经费”控制率为64.13%。</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三、部门预算支出绩效指标情况分析</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1.预算执行方面</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（1）预算控制率：我局2021年支出全部在年度预算资金内按计划安排，除了因政策性因素影响产生的人员经费增加，以及年中本级代编预算等项目资金、中央、省级项目资金的下达外，无其他预算资金的调整。</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预算执行控制率：2021年度预算资金支出总计9,894.05万元，其中：基本支出721.13万元（人员经费支出599.52万元，公用经费支出121.61万元）；基本支出年初预算数为575.06万元，年中政策性统一追加职业年金个人账户资金记实、补记资金13.82万元，基本支出指标合计588.88万元，基本支出预算控制率122%;项目支出决算数9,172.92万元，项目支出年初预算数为405.51万元，年中追加代编预算资金885.90万元，中央、省级项目资金下达11,610.00万元，项目支出预算指标合计12,901.41万元，项目支出预算控制率71.10%。</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（3）“三公经费”控制率：“三公经费”年初预算14.30万元，实际支出9.17万元，“三公经费”控制率为64.13%。</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（4）年初结转结余210.21万元，本年收入9,880.38万元，本年支出9,894.05万元，年末结转结余196.53万元，分项目核算结余结转。</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2.预算管理方面</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（1）管理制度健全性: 我局制定了《财务管理制度》以及《专项资金使用办法》，并制定了《内部控制手册》，明确了经费审批权限及程序，经费预算管理、财务收支管理、资产购置与处置、财务监督，开展公用经费使用监督和绩效评估，进一步落实厉行节约的各项规定，确保“三公经费”使用合理合规。</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（2）专账核算：我局项目支出全部分项目单独核算。</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（3）预决算公开：我局按照规定时限和规定内容在单位门户网站以及湘潭县人民政府网站公开部门预算、决算以及绩效自评信息，各项应向社会公开的信息及时、完整、真实。</w:t>
            </w:r>
          </w:p>
          <w:p>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（4）政府采购：按照《政府采购法》《政府采购内部控制制度》的要求，对达到政府采购限额的货物和服务都进行了政府采购，采购执行率100%。</w:t>
            </w:r>
          </w:p>
          <w:p>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资产管理：我局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w:t>
            </w:r>
          </w:p>
          <w:p>
            <w:pPr>
              <w:spacing w:line="400" w:lineRule="exact"/>
              <w:jc w:val="center"/>
              <w:rPr>
                <w:rFonts w:ascii="仿宋" w:hAnsi="仿宋" w:eastAsia="仿宋" w:cs="仿宋"/>
                <w:sz w:val="24"/>
                <w:szCs w:val="24"/>
              </w:rPr>
            </w:pPr>
            <w:r>
              <w:rPr>
                <w:rFonts w:hint="eastAsia" w:ascii="仿宋" w:hAnsi="仿宋" w:eastAsia="仿宋" w:cs="仿宋"/>
                <w:sz w:val="24"/>
                <w:szCs w:val="24"/>
              </w:rPr>
              <w:t>支出绩效</w:t>
            </w:r>
          </w:p>
        </w:tc>
        <w:tc>
          <w:tcPr>
            <w:tcW w:w="7213" w:type="dxa"/>
            <w:vAlign w:val="center"/>
          </w:tcPr>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2021年我局在县委、县政府的坚强领导下，围绕国、省激励表彰事项和重点工作任务，先后荣获国家级“节约型机关”称号；粮食安全省长责任制考核获得全市第一名并受到省政府真抓实干督查激励表彰；GDP增速排名全市第</w:t>
            </w:r>
            <w:r>
              <w:rPr>
                <w:rFonts w:hint="eastAsia" w:ascii="仿宋" w:hAnsi="仿宋" w:eastAsia="仿宋" w:cs="仿宋"/>
                <w:sz w:val="24"/>
                <w:szCs w:val="24"/>
                <w:lang w:eastAsia="zh-CN"/>
              </w:rPr>
              <w:t>二</w:t>
            </w:r>
            <w:r>
              <w:rPr>
                <w:rFonts w:hint="eastAsia" w:ascii="仿宋" w:hAnsi="仿宋" w:eastAsia="仿宋" w:cs="仿宋"/>
                <w:sz w:val="24"/>
                <w:szCs w:val="24"/>
              </w:rPr>
              <w:t>。固定资产投资增速、产业投资占比、民间投资占比等多项结构指标均排名全市第一。根据2021年度部门整体支出分析，部门整体支出绩效情况如下：</w:t>
            </w: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（1）聚焦稳增长，主要经济指标稳中向好。全年实现地区生产总值555亿元，增速8.5%左右，高于全市平均水平0.4个百分点以上，增速排名全市第</w:t>
            </w:r>
            <w:r>
              <w:rPr>
                <w:rFonts w:hint="eastAsia" w:ascii="仿宋" w:hAnsi="仿宋" w:eastAsia="仿宋" w:cs="仿宋"/>
                <w:sz w:val="24"/>
                <w:szCs w:val="24"/>
                <w:lang w:eastAsia="zh-CN"/>
              </w:rPr>
              <w:t>二</w:t>
            </w:r>
            <w:r>
              <w:rPr>
                <w:rFonts w:hint="eastAsia" w:ascii="仿宋" w:hAnsi="仿宋" w:eastAsia="仿宋" w:cs="仿宋"/>
                <w:sz w:val="24"/>
                <w:szCs w:val="24"/>
              </w:rPr>
              <w:t>。完成固投284.7亿元，增速14.1%，高于全市平均水平5.1个百分点，稳居全市第一。其中民间投资完成200.7亿元，同比增长19.2%，占固投比重为70.5%；产业投资完成237亿元，同比增长20.4%，占固定资产投资比重为83.3%；高新技术投资完成43亿元，同比增长96.6%，占固定资产投资比重为15%。预计城镇居民人均可支配收入达到45700元，同比增长7.3%。</w:t>
            </w: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聚焦扩投资，项目建设有序推进。一是以赛促干，扎实开展“迈好第一步项目论英雄竞赛活动”和“我为项目注动力”活动。形成了园区、乡镇、部门、实体企业“四级”联动的工作格局。全县以60个项目为重点，着力开展“招商项目比落地、在建项目比推进、产业项目比竣工、竣工项目比达效”四个序列示范性比赛，乡镇主要突出投资贡献、建设进度、服务水平和加分激励竞赛；县直部门参与争资争项，突出争取国省市项目资金、项目实施、服务保障；坚持“日会商、周调度、月评价、季通报”推进工作机制，有力促进项目早落地、早开工、快建设、快投产。截至12月底，动开工重点项目105个，动开工率90%；完成投资145亿元，占年度投资计划的92.7%，建成投入使用、建成投产或试投产项目40个。垃圾焚烧发电、胖哥耀晨、长乐建材、祥豪新材料等30个产业项目竣工投产或试产；紫云路等市政配套设施竣工通车，云龙教育集团中学部、石潭芙蓉学校、老旧小区改造、同康医院等4个民生类项目建成投入使用。二是抓实项目谋划储备。根据国家政策和投资方向，围绕 “十四五”规划、“三高四新”项目、长株潭一体化五年行动计划、新型城镇化、乡村振兴及其他专项规划等，全面精心谋划一批补短板、强弱项、拉动力强的重大项目。全县共储备“十四五”重大项目288个，储备前期项目243个（含概念性项目），谋划2022年重点建设项目113个，招商引资项目28个。</w:t>
            </w: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3）聚焦抓策划，争资争项成效明显。全面研究国、省市各项政策和资金投向，包装优质项目争取上级资金，今年已争取到保障性安居工程及配套基础设施、“135”工程升级版标准厂房项目、排水设施建设、涓水一桥污染问题环境综合整治、重点区域生态保护和修复专项、湘江湘潭县白石镇及茶恩寺镇湘江堤防加固工程项目、省级农村产业融合发展示范园、疾控中心标准化建设项目、天易金霞社会停车场建设项目、粮油千亿产业工程专项等项目，到位中央、省预算内到位资金1.5亿元。联合财政争取2021年度专项债8亿元。</w:t>
            </w: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4）聚焦优服务，营商环境持续优化。一是扎实开展营商环境评价。牵头组织包容普惠创新、获得电力等指标评价工作，多次组织营商环境评价工作培训会，科学选择样本企业，圆满完成省营商环境评价实地调查。二是积极推进信任体系建设。编制《湘潭县信用信息归集目录（2020版）》，录入信用信息事项254638条，其中“双公示”14630条。在发展党员、“两优一先”、干部提拔、公务员录取、企业资金补助等多领域应用信用查询累计8500人次。全力推进“信易贷”工作，全县1100家中小微企业入驻信易贷平台，成功申请“信易贷”资金20笔，银行发放贷款7000万元，持续帮助中小企业破解融资难、融资贵的问题。三是全面落实减税降费政策。严格清理取消供水供电供气行业不合理收费，最大限度让企业和居民享受了国家政策“红利”。用电方面：全年共为居民减少成本110余万元，为企业减少成本1760余万元。用气方面：为居民及工商业企业减免64余万元。用水方面：为居民及企业减免8万余元。四是简化行政审批手续。全力推行“不见面审批”， 全年窗口累计审批项目189个，总投资额224.3亿元，其中政府投资审批项目29个，总投资26.56亿元。</w:t>
            </w:r>
          </w:p>
          <w:p>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5）聚焦碳减排，绿色经济转型发展。一是做好能源双控工作。严格按照市发改委下达的目标任务，将节能目标任务细分到部门、单位和企业，严把项目审批关，严控“两高”项目上马，预计全年万元GDP能耗下降率达到3%。二是全力推进风电、光伏等绿色能源发展。花石、白石、石鼓昌山3个风电场以及谭家山石坝口光伏发电等新能源项目快速推进，其中花石风电场全部12台机组实现并网发电，白石、石鼓共11个机组并网发电。三是突出环境问题整改。扎实推进涓水一桥旁大量生活污水直排涓水、花石琵琶山新隆铅锌尾矿库等突出生态环境问题专项整改。加强《中华人民共和国长江保护法》的学习宣贯工作，全年共组织3次专题培训会、1次法制宣传进校园活动。四是有序推进绿心生态修复。完善定期巡查机制，定期对生态绿心地区进行无人机全覆盖航拍，阶段性组织多部门实施地面联合巡查，全面掌握绿心动态。</w:t>
            </w:r>
          </w:p>
          <w:p>
            <w:pPr>
              <w:widowControl/>
              <w:spacing w:line="4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6）聚焦增福祉，民生保障不断改善。一是扛牢粮食安全重担。全力落实粮食安全省长责任制工作。按时保质保量完成11065吨地方储备粮收购轮换任务。坚持“先检后收、优粮优价、应收尽收”政策，有序开展粮食收购工作，全年规模以上企业共收购早稻15529吨、中晚稻67232吨，没有出现农民“卖粮难”和负面舆情。完善应急体系建设。共建粮食应急供应网点18家，应急加工企业4家，粮食日应急加工能力300吨。县主城区成品粮、油储备量超过7天以上市场供应量，区域粮油市场价格平稳。二是扎实推进价格服务。强化价格监测，密切关注关系民生和经济发展的粮油、蔬菜、肉、禽、蛋等重要商品消费品价格走势，加强价格形势分析预警。全年共对粮食、生猪等116种商品开展常规监测244次，采集报送监测数据4192个。认真做好价格认证服务，全年共受理公安、纪委各类案件165宗，涉案金额345.5万元，案件办结率100%，合格率100%。规范教育、物业收费，联合相关部门组织开展了教育收费、转供电价格政策落实、行业协会商会收费等专项检查。持续推进农村集中供水价格调整和农业水价综合改革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存在的问题</w:t>
            </w:r>
          </w:p>
        </w:tc>
        <w:tc>
          <w:tcPr>
            <w:tcW w:w="7213" w:type="dxa"/>
            <w:vAlign w:val="center"/>
          </w:tcPr>
          <w:p>
            <w:pPr>
              <w:adjustRightInd w:val="0"/>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1.基本支出预算控制率有待降低</w:t>
            </w:r>
          </w:p>
          <w:p>
            <w:pPr>
              <w:adjustRightInd w:val="0"/>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扣除客观因素影响，2021年度我局基本支出预算控制率为122%。主要是部分支出年初无预算或预算不足。</w:t>
            </w:r>
          </w:p>
          <w:p>
            <w:pPr>
              <w:adjustRightInd w:val="0"/>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2.固定资产管理还有待加强。我局建立了资产管理制度，但未根据制度要求进行落实，如对固定资产条码管理不到位。</w:t>
            </w:r>
          </w:p>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3.进一步加强单位绩效管理工作。我局在绩效管理方面还需进一步完善绩效管理相关制度，对绩效管理工作方案中的各项工作任务未全部落实到位。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改进措施</w:t>
            </w:r>
          </w:p>
        </w:tc>
        <w:tc>
          <w:tcPr>
            <w:tcW w:w="7213" w:type="dxa"/>
            <w:vAlign w:val="center"/>
          </w:tcPr>
          <w:p>
            <w:pPr>
              <w:adjustRightInd w:val="0"/>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做好、做细预算基础工作，提高预算的准确性，进一步加强业务股室的预算管理意识，在资金安排和年初预算审核时，结合实际，分类研究，科学测算，合理安排，统一支出标准，进一步提高预算编制的科学性、严谨性和可控性。</w:t>
            </w:r>
          </w:p>
          <w:p>
            <w:pPr>
              <w:adjustRightInd w:val="0"/>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2．按要求落实好固定资产管理制度，规范管理好固定资产，及时对资产进行条码化管理，做到账实相符、账账相符。</w:t>
            </w:r>
          </w:p>
          <w:p>
            <w:pPr>
              <w:adjustRightInd w:val="0"/>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进一步建立健全绩效管理制度，把绩效评价作为部门日常性工作，建立绩效评价管理工作考核的长效机制，并制定切实可行的预算绩效管理实施方案，加强对绩效管理工作的业务培训，不断提升绩效评价工作的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77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其他需要说明问题</w:t>
            </w:r>
          </w:p>
        </w:tc>
        <w:tc>
          <w:tcPr>
            <w:tcW w:w="7213"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无</w:t>
            </w:r>
          </w:p>
        </w:tc>
      </w:tr>
    </w:tbl>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GM2MTcxYjgwZDczMWJkZjIxZjAwMTkyNDdmNDM0YTcifQ=="/>
  </w:docVars>
  <w:rsids>
    <w:rsidRoot w:val="004506F9"/>
    <w:rsid w:val="0002229B"/>
    <w:rsid w:val="000273BD"/>
    <w:rsid w:val="000415B7"/>
    <w:rsid w:val="00041E3F"/>
    <w:rsid w:val="0004788B"/>
    <w:rsid w:val="00055DAA"/>
    <w:rsid w:val="00061F7B"/>
    <w:rsid w:val="00062382"/>
    <w:rsid w:val="000658A3"/>
    <w:rsid w:val="00071795"/>
    <w:rsid w:val="00074155"/>
    <w:rsid w:val="00077507"/>
    <w:rsid w:val="00081DF7"/>
    <w:rsid w:val="00094EA9"/>
    <w:rsid w:val="000A3F69"/>
    <w:rsid w:val="000F6009"/>
    <w:rsid w:val="00103957"/>
    <w:rsid w:val="001527BC"/>
    <w:rsid w:val="00152C6D"/>
    <w:rsid w:val="00162D39"/>
    <w:rsid w:val="00166E32"/>
    <w:rsid w:val="001678BD"/>
    <w:rsid w:val="001737CD"/>
    <w:rsid w:val="001A67DB"/>
    <w:rsid w:val="001C3C29"/>
    <w:rsid w:val="001C7957"/>
    <w:rsid w:val="001D51E5"/>
    <w:rsid w:val="001E080D"/>
    <w:rsid w:val="001E53D0"/>
    <w:rsid w:val="001F0C3B"/>
    <w:rsid w:val="00202C82"/>
    <w:rsid w:val="00214427"/>
    <w:rsid w:val="00226CB7"/>
    <w:rsid w:val="00234269"/>
    <w:rsid w:val="00245BCF"/>
    <w:rsid w:val="00264552"/>
    <w:rsid w:val="00264EF9"/>
    <w:rsid w:val="00265724"/>
    <w:rsid w:val="0027426B"/>
    <w:rsid w:val="002758E1"/>
    <w:rsid w:val="00285439"/>
    <w:rsid w:val="002D7D6F"/>
    <w:rsid w:val="002E0A30"/>
    <w:rsid w:val="00310C9A"/>
    <w:rsid w:val="003130C4"/>
    <w:rsid w:val="00316C4B"/>
    <w:rsid w:val="0032192B"/>
    <w:rsid w:val="00334E4F"/>
    <w:rsid w:val="003479BD"/>
    <w:rsid w:val="0037197D"/>
    <w:rsid w:val="003768D5"/>
    <w:rsid w:val="00381597"/>
    <w:rsid w:val="0039002A"/>
    <w:rsid w:val="00396C61"/>
    <w:rsid w:val="003A59BC"/>
    <w:rsid w:val="003A6BF3"/>
    <w:rsid w:val="003C47E6"/>
    <w:rsid w:val="003C4FC2"/>
    <w:rsid w:val="003D0417"/>
    <w:rsid w:val="003D1370"/>
    <w:rsid w:val="003E0A7A"/>
    <w:rsid w:val="004144F9"/>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034F"/>
    <w:rsid w:val="005767CC"/>
    <w:rsid w:val="00581E37"/>
    <w:rsid w:val="0058685A"/>
    <w:rsid w:val="00590D9F"/>
    <w:rsid w:val="00595D26"/>
    <w:rsid w:val="005A74E6"/>
    <w:rsid w:val="005B404E"/>
    <w:rsid w:val="005B6411"/>
    <w:rsid w:val="005D46E2"/>
    <w:rsid w:val="005D4D55"/>
    <w:rsid w:val="005D5B59"/>
    <w:rsid w:val="005D6072"/>
    <w:rsid w:val="005E2CFB"/>
    <w:rsid w:val="005F3D1C"/>
    <w:rsid w:val="0062378F"/>
    <w:rsid w:val="00641842"/>
    <w:rsid w:val="00645B99"/>
    <w:rsid w:val="00651EEC"/>
    <w:rsid w:val="0067234E"/>
    <w:rsid w:val="00691E8C"/>
    <w:rsid w:val="006A22C4"/>
    <w:rsid w:val="006A351B"/>
    <w:rsid w:val="006B0422"/>
    <w:rsid w:val="006C1B53"/>
    <w:rsid w:val="006D7730"/>
    <w:rsid w:val="006E5284"/>
    <w:rsid w:val="006F3EB5"/>
    <w:rsid w:val="00702E34"/>
    <w:rsid w:val="00704395"/>
    <w:rsid w:val="00705B24"/>
    <w:rsid w:val="00717621"/>
    <w:rsid w:val="00720FF1"/>
    <w:rsid w:val="00727A53"/>
    <w:rsid w:val="00737C78"/>
    <w:rsid w:val="00753E98"/>
    <w:rsid w:val="00773C71"/>
    <w:rsid w:val="00787B42"/>
    <w:rsid w:val="007B3302"/>
    <w:rsid w:val="007C4539"/>
    <w:rsid w:val="007F0A71"/>
    <w:rsid w:val="007F3657"/>
    <w:rsid w:val="007F6198"/>
    <w:rsid w:val="00812ED5"/>
    <w:rsid w:val="00814FF6"/>
    <w:rsid w:val="008277D9"/>
    <w:rsid w:val="0084478C"/>
    <w:rsid w:val="0086638C"/>
    <w:rsid w:val="00870872"/>
    <w:rsid w:val="008A3E8D"/>
    <w:rsid w:val="008B4800"/>
    <w:rsid w:val="008D6F79"/>
    <w:rsid w:val="009237C4"/>
    <w:rsid w:val="00944C48"/>
    <w:rsid w:val="00950252"/>
    <w:rsid w:val="00967F5D"/>
    <w:rsid w:val="009A0F95"/>
    <w:rsid w:val="009B3ADF"/>
    <w:rsid w:val="009C3B52"/>
    <w:rsid w:val="009C7AEB"/>
    <w:rsid w:val="009E6817"/>
    <w:rsid w:val="009E6A73"/>
    <w:rsid w:val="009E6E9A"/>
    <w:rsid w:val="00A01D2B"/>
    <w:rsid w:val="00A039D7"/>
    <w:rsid w:val="00A05FE0"/>
    <w:rsid w:val="00A37536"/>
    <w:rsid w:val="00A42218"/>
    <w:rsid w:val="00A53A25"/>
    <w:rsid w:val="00A70249"/>
    <w:rsid w:val="00A70B02"/>
    <w:rsid w:val="00A71D9F"/>
    <w:rsid w:val="00A75A19"/>
    <w:rsid w:val="00A92E9F"/>
    <w:rsid w:val="00AD3DAC"/>
    <w:rsid w:val="00AE360A"/>
    <w:rsid w:val="00AE6173"/>
    <w:rsid w:val="00AF036A"/>
    <w:rsid w:val="00B25969"/>
    <w:rsid w:val="00B33BEA"/>
    <w:rsid w:val="00B55035"/>
    <w:rsid w:val="00B57C9F"/>
    <w:rsid w:val="00B63572"/>
    <w:rsid w:val="00B845B3"/>
    <w:rsid w:val="00B84C90"/>
    <w:rsid w:val="00B85D8B"/>
    <w:rsid w:val="00BB3ACC"/>
    <w:rsid w:val="00BB4A40"/>
    <w:rsid w:val="00BD6C3E"/>
    <w:rsid w:val="00BE3674"/>
    <w:rsid w:val="00C10681"/>
    <w:rsid w:val="00C3049A"/>
    <w:rsid w:val="00C31B1E"/>
    <w:rsid w:val="00C45FDD"/>
    <w:rsid w:val="00C52397"/>
    <w:rsid w:val="00C77645"/>
    <w:rsid w:val="00CE04C3"/>
    <w:rsid w:val="00CE76A0"/>
    <w:rsid w:val="00D148C6"/>
    <w:rsid w:val="00D17A8A"/>
    <w:rsid w:val="00D30986"/>
    <w:rsid w:val="00D415BA"/>
    <w:rsid w:val="00D644EE"/>
    <w:rsid w:val="00D94D62"/>
    <w:rsid w:val="00DD06FF"/>
    <w:rsid w:val="00DD5FE9"/>
    <w:rsid w:val="00DF7FC1"/>
    <w:rsid w:val="00E00C7A"/>
    <w:rsid w:val="00E146C2"/>
    <w:rsid w:val="00E31FAE"/>
    <w:rsid w:val="00E37D6C"/>
    <w:rsid w:val="00E43A20"/>
    <w:rsid w:val="00E55B68"/>
    <w:rsid w:val="00E67BE6"/>
    <w:rsid w:val="00E828BC"/>
    <w:rsid w:val="00E8683C"/>
    <w:rsid w:val="00EA17BB"/>
    <w:rsid w:val="00EA2B72"/>
    <w:rsid w:val="00EB6743"/>
    <w:rsid w:val="00F00CA2"/>
    <w:rsid w:val="00F74360"/>
    <w:rsid w:val="00F74C08"/>
    <w:rsid w:val="00FB462F"/>
    <w:rsid w:val="00FB7667"/>
    <w:rsid w:val="00FD1E4C"/>
    <w:rsid w:val="00FE119A"/>
    <w:rsid w:val="00FE16FA"/>
    <w:rsid w:val="00FE328A"/>
    <w:rsid w:val="00FE6269"/>
    <w:rsid w:val="00FE79A6"/>
    <w:rsid w:val="013B45A6"/>
    <w:rsid w:val="05B35A28"/>
    <w:rsid w:val="05CB2C09"/>
    <w:rsid w:val="065C5C18"/>
    <w:rsid w:val="0FB57C8F"/>
    <w:rsid w:val="128D5516"/>
    <w:rsid w:val="12A50B76"/>
    <w:rsid w:val="16115BBD"/>
    <w:rsid w:val="1BB92425"/>
    <w:rsid w:val="1BFB1946"/>
    <w:rsid w:val="1D413725"/>
    <w:rsid w:val="204739EC"/>
    <w:rsid w:val="23516B3F"/>
    <w:rsid w:val="23B64838"/>
    <w:rsid w:val="25621A2B"/>
    <w:rsid w:val="265F1340"/>
    <w:rsid w:val="266D24DE"/>
    <w:rsid w:val="2CFA6F22"/>
    <w:rsid w:val="2F465183"/>
    <w:rsid w:val="3BAB2308"/>
    <w:rsid w:val="3E440139"/>
    <w:rsid w:val="407D037A"/>
    <w:rsid w:val="40D4449F"/>
    <w:rsid w:val="41F402F3"/>
    <w:rsid w:val="47A0329E"/>
    <w:rsid w:val="47A67D7F"/>
    <w:rsid w:val="49ED476D"/>
    <w:rsid w:val="4DC814FE"/>
    <w:rsid w:val="5A574B13"/>
    <w:rsid w:val="5C4467BA"/>
    <w:rsid w:val="617F59DF"/>
    <w:rsid w:val="64F617CF"/>
    <w:rsid w:val="655140DF"/>
    <w:rsid w:val="66D31BFA"/>
    <w:rsid w:val="72953EE9"/>
    <w:rsid w:val="75354E5A"/>
    <w:rsid w:val="7E8F38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Indent"/>
    <w:basedOn w:val="1"/>
    <w:semiHidden/>
    <w:qFormat/>
    <w:uiPriority w:val="99"/>
    <w:pPr>
      <w:spacing w:after="120"/>
      <w:ind w:left="420" w:left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3"/>
    <w:unhideWhenUsed/>
    <w:qFormat/>
    <w:uiPriority w:val="99"/>
    <w:pPr>
      <w:spacing w:before="100" w:beforeAutospacing="1"/>
      <w:ind w:firstLine="420"/>
    </w:pPr>
    <w:rPr>
      <w:sz w:val="22"/>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19577</Words>
  <Characters>23433</Characters>
  <Lines>195</Lines>
  <Paragraphs>55</Paragraphs>
  <TotalTime>327</TotalTime>
  <ScaleCrop>false</ScaleCrop>
  <LinksUpToDate>false</LinksUpToDate>
  <CharactersWithSpaces>24940</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曹南</cp:lastModifiedBy>
  <cp:lastPrinted>2021-07-28T00:12:00Z</cp:lastPrinted>
  <dcterms:modified xsi:type="dcterms:W3CDTF">2023-06-07T04:05:58Z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73E887822AD540C7A445AA6B5F1DAEB0</vt:lpwstr>
  </property>
</Properties>
</file>