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both"/>
        <w:rPr>
          <w:sz w:val="84"/>
          <w:szCs w:val="84"/>
        </w:rPr>
      </w:pPr>
    </w:p>
    <w:p>
      <w:pPr>
        <w:pStyle w:val="11"/>
        <w:jc w:val="center"/>
        <w:rPr>
          <w:rFonts w:hint="eastAsia" w:ascii="宋体" w:hAnsi="宋体" w:eastAsia="宋体" w:cs="宋体"/>
          <w:sz w:val="52"/>
          <w:szCs w:val="52"/>
          <w:lang w:val="en-US" w:eastAsia="zh-CN"/>
        </w:rPr>
      </w:pPr>
      <w:r>
        <w:rPr>
          <w:rFonts w:hint="eastAsia" w:ascii="宋体" w:hAnsi="宋体" w:eastAsia="宋体" w:cs="宋体"/>
          <w:sz w:val="52"/>
          <w:szCs w:val="52"/>
        </w:rPr>
        <w:t>202</w:t>
      </w:r>
      <w:r>
        <w:rPr>
          <w:rFonts w:hint="eastAsia" w:ascii="宋体" w:hAnsi="宋体" w:eastAsia="宋体" w:cs="宋体"/>
          <w:sz w:val="52"/>
          <w:szCs w:val="52"/>
          <w:lang w:val="en-US" w:eastAsia="zh-CN"/>
        </w:rPr>
        <w:t>1</w:t>
      </w:r>
      <w:r>
        <w:rPr>
          <w:rFonts w:hint="eastAsia" w:ascii="宋体" w:hAnsi="宋体" w:eastAsia="宋体" w:cs="宋体"/>
          <w:sz w:val="52"/>
          <w:szCs w:val="52"/>
        </w:rPr>
        <w:t>年</w:t>
      </w:r>
      <w:r>
        <w:rPr>
          <w:rFonts w:hint="eastAsia" w:ascii="宋体" w:hAnsi="宋体" w:eastAsia="宋体" w:cs="宋体"/>
          <w:sz w:val="52"/>
          <w:szCs w:val="52"/>
          <w:lang w:eastAsia="zh-CN"/>
        </w:rPr>
        <w:t>湘潭县人力资源和社会保障局</w:t>
      </w:r>
      <w:r>
        <w:rPr>
          <w:rFonts w:hint="eastAsia" w:ascii="宋体" w:hAnsi="宋体" w:eastAsia="宋体" w:cs="宋体"/>
          <w:sz w:val="52"/>
          <w:szCs w:val="52"/>
        </w:rPr>
        <w:t>部门决算</w:t>
      </w:r>
      <w:r>
        <w:rPr>
          <w:rFonts w:hint="eastAsia" w:ascii="宋体" w:hAnsi="宋体" w:eastAsia="宋体" w:cs="宋体"/>
          <w:sz w:val="52"/>
          <w:szCs w:val="52"/>
          <w:lang w:val="en-US" w:eastAsia="zh-CN"/>
        </w:rPr>
        <w:t>公开</w:t>
      </w:r>
    </w:p>
    <w:p>
      <w:pPr>
        <w:pStyle w:val="11"/>
        <w:jc w:val="center"/>
        <w:rPr>
          <w:rFonts w:hint="eastAsia" w:ascii="宋体" w:hAnsi="宋体" w:eastAsia="宋体" w:cs="宋体"/>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bookmarkStart w:id="0" w:name="_GoBack"/>
      <w:bookmarkEnd w:id="0"/>
    </w:p>
    <w:p>
      <w:pPr>
        <w:pStyle w:val="11"/>
        <w:spacing w:line="500" w:lineRule="exact"/>
        <w:jc w:val="center"/>
        <w:rPr>
          <w:rFonts w:cs="Times New Roman"/>
          <w:b/>
          <w:bCs/>
          <w:sz w:val="36"/>
          <w:szCs w:val="36"/>
        </w:rPr>
      </w:pPr>
      <w:r>
        <w:rPr>
          <w:rFonts w:hint="eastAsia"/>
          <w:b/>
          <w:bCs/>
          <w:sz w:val="36"/>
          <w:szCs w:val="36"/>
        </w:rPr>
        <w:t>目录</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县人力资源和社会保障局</w:t>
      </w:r>
      <w:r>
        <w:rPr>
          <w:rFonts w:hint="eastAsia"/>
          <w:b/>
          <w:bCs/>
          <w:sz w:val="28"/>
          <w:szCs w:val="28"/>
        </w:rPr>
        <w:t>单位概况</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val="en-US" w:eastAsia="zh-CN"/>
        </w:rPr>
        <w:t>2021</w:t>
      </w:r>
      <w:r>
        <w:rPr>
          <w:rFonts w:hint="eastAsia" w:hAnsi="仿宋_GB2312"/>
          <w:b/>
          <w:bCs/>
          <w:sz w:val="28"/>
          <w:szCs w:val="28"/>
        </w:rPr>
        <w:t>年度部门决算表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1</w:t>
      </w:r>
      <w:r>
        <w:rPr>
          <w:rFonts w:hint="eastAsia" w:hAnsi="仿宋_GB2312"/>
          <w:b/>
          <w:bCs/>
          <w:sz w:val="28"/>
          <w:szCs w:val="28"/>
        </w:rPr>
        <w:t>年度部门决算情况说明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1"/>
        <w:jc w:val="center"/>
        <w:rPr>
          <w:rFonts w:hint="eastAsia" w:ascii="宋体" w:hAnsi="宋体" w:eastAsia="宋体" w:cs="宋体"/>
          <w:sz w:val="72"/>
          <w:szCs w:val="72"/>
        </w:rPr>
      </w:pPr>
    </w:p>
    <w:p>
      <w:pPr>
        <w:pStyle w:val="11"/>
        <w:jc w:val="center"/>
        <w:rPr>
          <w:rFonts w:hint="eastAsia" w:ascii="黑体" w:hAnsi="黑体" w:eastAsia="黑体" w:cs="Times New Roman"/>
          <w:sz w:val="32"/>
          <w:szCs w:val="32"/>
          <w:lang w:eastAsia="zh-CN"/>
        </w:rPr>
      </w:pPr>
      <w:r>
        <w:rPr>
          <w:rFonts w:hint="eastAsia" w:ascii="宋体" w:hAnsi="宋体" w:eastAsia="宋体" w:cs="宋体"/>
          <w:sz w:val="72"/>
          <w:szCs w:val="72"/>
          <w:lang w:eastAsia="zh-CN"/>
        </w:rPr>
        <w:t>湘潭县人力资源和社会保障局</w:t>
      </w:r>
      <w:r>
        <w:rPr>
          <w:rFonts w:hint="eastAsia" w:ascii="宋体" w:hAnsi="宋体" w:eastAsia="宋体" w:cs="宋体"/>
          <w:sz w:val="72"/>
          <w:szCs w:val="72"/>
        </w:rPr>
        <w:t>单位概况</w:t>
      </w: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1、</w:t>
      </w:r>
      <w:r>
        <w:rPr>
          <w:rFonts w:hint="eastAsia" w:ascii="宋体" w:hAnsi="宋体" w:cs="宋体"/>
          <w:kern w:val="0"/>
          <w:sz w:val="32"/>
          <w:szCs w:val="32"/>
        </w:rPr>
        <w:t>贯彻执行国家、省、市人力资源和社会保障方针政策和法律法规，拟定具体实施方案。</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2、</w:t>
      </w:r>
      <w:r>
        <w:rPr>
          <w:rFonts w:hint="eastAsia" w:ascii="宋体" w:hAnsi="宋体" w:cs="宋体"/>
          <w:kern w:val="0"/>
          <w:sz w:val="32"/>
          <w:szCs w:val="32"/>
        </w:rPr>
        <w:t>负责全县人力资源开发综合管理。</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3、</w:t>
      </w:r>
      <w:r>
        <w:rPr>
          <w:rFonts w:hint="eastAsia" w:ascii="宋体" w:hAnsi="宋体" w:cs="宋体"/>
          <w:kern w:val="0"/>
          <w:sz w:val="32"/>
          <w:szCs w:val="32"/>
        </w:rPr>
        <w:t>负责促进就业工作。</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4、</w:t>
      </w:r>
      <w:r>
        <w:rPr>
          <w:rFonts w:hint="eastAsia" w:ascii="宋体" w:hAnsi="宋体" w:cs="宋体"/>
          <w:kern w:val="0"/>
          <w:sz w:val="32"/>
          <w:szCs w:val="32"/>
        </w:rPr>
        <w:t>统筹建立覆盖城乡的社会保障体系，贯彻实施城乡社会保险政策。</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5、</w:t>
      </w:r>
      <w:r>
        <w:rPr>
          <w:rFonts w:hint="eastAsia" w:ascii="宋体" w:hAnsi="宋体" w:cs="宋体"/>
          <w:kern w:val="0"/>
          <w:sz w:val="32"/>
          <w:szCs w:val="32"/>
        </w:rPr>
        <w:t>负责全县社会保险基金管理，实施监督和内部审计。</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6、</w:t>
      </w:r>
      <w:r>
        <w:rPr>
          <w:rFonts w:hint="eastAsia" w:ascii="宋体" w:hAnsi="宋体" w:cs="宋体"/>
          <w:kern w:val="0"/>
          <w:sz w:val="32"/>
          <w:szCs w:val="32"/>
        </w:rPr>
        <w:t>负责全县机关事业单位工资收入分配综合管理。</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7、</w:t>
      </w:r>
      <w:r>
        <w:rPr>
          <w:rFonts w:hint="eastAsia" w:ascii="宋体" w:hAnsi="宋体" w:cs="宋体"/>
          <w:kern w:val="0"/>
          <w:sz w:val="32"/>
          <w:szCs w:val="32"/>
        </w:rPr>
        <w:t>负责指导事业单位人事制度改革，实施事业单位人员和机关工勤人员的管理。</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8、</w:t>
      </w:r>
      <w:r>
        <w:rPr>
          <w:rFonts w:hint="eastAsia" w:ascii="宋体" w:hAnsi="宋体" w:cs="宋体"/>
          <w:kern w:val="0"/>
          <w:sz w:val="32"/>
          <w:szCs w:val="32"/>
        </w:rPr>
        <w:t>负责全县专家综合管理和会同有关部门做好引进国外智力工作。</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9、</w:t>
      </w:r>
      <w:r>
        <w:rPr>
          <w:rFonts w:hint="eastAsia" w:ascii="宋体" w:hAnsi="宋体" w:cs="宋体"/>
          <w:kern w:val="0"/>
          <w:sz w:val="32"/>
          <w:szCs w:val="32"/>
        </w:rPr>
        <w:t>贯彻执行农村居民进城务工综合性政策，会同有关部门做好进城务工农村居民的维权工作。</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lang w:val="en-US" w:eastAsia="zh-CN"/>
        </w:rPr>
        <w:t>10、</w:t>
      </w:r>
      <w:r>
        <w:rPr>
          <w:rFonts w:hint="eastAsia" w:ascii="宋体" w:hAnsi="宋体" w:cs="宋体"/>
          <w:kern w:val="0"/>
          <w:sz w:val="32"/>
          <w:szCs w:val="32"/>
        </w:rPr>
        <w:t>实施劳动、人事争议调解仲裁制度，组织实施劳动监察，协调劳动者维权工作，依法查处违法侵权案件。</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ind w:left="0" w:leftChars="0" w:firstLine="729" w:firstLineChars="228"/>
        <w:rPr>
          <w:rFonts w:hint="eastAsia" w:ascii="宋体" w:hAnsi="宋体" w:cs="宋体"/>
          <w:kern w:val="0"/>
          <w:sz w:val="32"/>
          <w:szCs w:val="32"/>
        </w:rPr>
      </w:pPr>
      <w:r>
        <w:rPr>
          <w:rFonts w:hint="eastAsia" w:ascii="宋体" w:hAnsi="宋体" w:cs="宋体"/>
          <w:kern w:val="0"/>
          <w:sz w:val="32"/>
          <w:szCs w:val="32"/>
        </w:rPr>
        <w:t>（一）内设机构设置。</w:t>
      </w:r>
      <w:r>
        <w:rPr>
          <w:rFonts w:hint="eastAsia" w:ascii="宋体" w:cs="宋体"/>
          <w:kern w:val="0"/>
          <w:sz w:val="32"/>
          <w:szCs w:val="32"/>
          <w:lang w:eastAsia="zh-CN"/>
        </w:rPr>
        <w:t>湘潭县人力资源和社会保障局</w:t>
      </w:r>
      <w:r>
        <w:rPr>
          <w:rFonts w:hint="eastAsia" w:ascii="宋体" w:hAnsi="宋体" w:cs="宋体"/>
          <w:kern w:val="0"/>
          <w:sz w:val="32"/>
          <w:szCs w:val="32"/>
        </w:rPr>
        <w:t>单位内设机构包括：</w:t>
      </w:r>
      <w:r>
        <w:rPr>
          <w:rFonts w:hint="eastAsia" w:ascii="宋体" w:hAnsi="宋体" w:cs="宋体"/>
          <w:kern w:val="0"/>
          <w:sz w:val="32"/>
          <w:szCs w:val="32"/>
          <w:lang w:val="en-US" w:eastAsia="zh-CN"/>
        </w:rPr>
        <w:t>办公室、法规股（审批服务股）、计划财务股、就业与人力资源管理股、养老保险股、工伤保险股、社会保险基金监督股、事业单位人事管理股、考核奖惩调配股、工资福利股、劳动关系股、人事股、机关党委13个职能股室，辖劳动人事争议仲裁院、劳动保障监察大队、社会保险服务中心、工伤保险服务中心、就业服务中心、人力资源管理服务中心、人才培训和考试中心、人力资源和社会保障信息服务中心、人力资源档案服务中心9个二级机构。</w:t>
      </w:r>
    </w:p>
    <w:p>
      <w:pPr>
        <w:widowControl/>
        <w:spacing w:line="600" w:lineRule="exact"/>
        <w:rPr>
          <w:rFonts w:hint="eastAsia" w:ascii="宋体" w:eastAsia="宋体" w:cs="Times New Roman"/>
          <w:kern w:val="0"/>
          <w:sz w:val="32"/>
          <w:szCs w:val="32"/>
          <w:lang w:eastAsia="zh-CN"/>
        </w:rPr>
      </w:pPr>
      <w:r>
        <w:rPr>
          <w:rFonts w:hint="eastAsia" w:ascii="宋体" w:hAnsi="宋体" w:cs="宋体"/>
          <w:kern w:val="0"/>
          <w:sz w:val="32"/>
          <w:szCs w:val="32"/>
        </w:rPr>
        <w:t>（二）决算单位构成。</w:t>
      </w:r>
      <w:r>
        <w:rPr>
          <w:rFonts w:hint="eastAsia" w:ascii="宋体" w:hAnsi="宋体" w:cs="宋体"/>
          <w:kern w:val="0"/>
          <w:sz w:val="32"/>
          <w:szCs w:val="32"/>
          <w:lang w:eastAsia="zh-CN"/>
        </w:rPr>
        <w:t>湘潭县人力资源和社会保障局</w:t>
      </w:r>
      <w:r>
        <w:rPr>
          <w:rFonts w:hint="eastAsia" w:ascii="宋体" w:hAnsi="宋体" w:cs="宋体"/>
          <w:kern w:val="0"/>
          <w:sz w:val="32"/>
          <w:szCs w:val="32"/>
        </w:rPr>
        <w:t>单位</w:t>
      </w:r>
      <w:r>
        <w:rPr>
          <w:rFonts w:ascii="宋体" w:hAnsi="宋体" w:cs="宋体"/>
          <w:kern w:val="0"/>
          <w:sz w:val="32"/>
          <w:szCs w:val="32"/>
        </w:rPr>
        <w:t>202</w:t>
      </w:r>
      <w:r>
        <w:rPr>
          <w:rFonts w:hint="eastAsia" w:ascii="宋体" w:hAnsi="宋体" w:cs="宋体"/>
          <w:kern w:val="0"/>
          <w:sz w:val="32"/>
          <w:szCs w:val="32"/>
          <w:lang w:val="en-US" w:eastAsia="zh-CN"/>
        </w:rPr>
        <w:t>1</w:t>
      </w:r>
      <w:r>
        <w:rPr>
          <w:rFonts w:hint="eastAsia" w:ascii="宋体" w:hAnsi="宋体" w:cs="宋体"/>
          <w:kern w:val="0"/>
          <w:sz w:val="32"/>
          <w:szCs w:val="32"/>
        </w:rPr>
        <w:t>年部门决算汇总公开单位构成包括：</w:t>
      </w:r>
      <w:r>
        <w:rPr>
          <w:rFonts w:hint="eastAsia" w:ascii="宋体" w:hAnsi="宋体" w:cs="宋体"/>
          <w:kern w:val="0"/>
          <w:sz w:val="32"/>
          <w:szCs w:val="32"/>
          <w:lang w:eastAsia="zh-CN"/>
        </w:rPr>
        <w:t>湘潭县人力资源和社会保障局</w:t>
      </w:r>
      <w:r>
        <w:rPr>
          <w:rFonts w:hint="eastAsia" w:ascii="宋体" w:hAnsi="宋体" w:cs="宋体"/>
          <w:kern w:val="0"/>
          <w:sz w:val="32"/>
          <w:szCs w:val="32"/>
        </w:rPr>
        <w:t>单位</w:t>
      </w:r>
      <w:r>
        <w:rPr>
          <w:rFonts w:hint="eastAsia" w:ascii="宋体" w:hAnsi="宋体" w:cs="宋体"/>
          <w:kern w:val="0"/>
          <w:sz w:val="32"/>
          <w:szCs w:val="32"/>
          <w:lang w:val="en-US" w:eastAsia="zh-CN"/>
        </w:rPr>
        <w:t>部门决算只有本级，没有其他决算单位，因此本部门决算仅含本级决算</w:t>
      </w:r>
      <w:r>
        <w:rPr>
          <w:rFonts w:hint="eastAsia" w:ascii="宋体" w:hAnsi="宋体" w:cs="宋体"/>
          <w:kern w:val="0"/>
          <w:sz w:val="32"/>
          <w:szCs w:val="32"/>
          <w:lang w:eastAsia="zh-CN"/>
        </w:rPr>
        <w:t>。</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both"/>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rtlGutter w:val="0"/>
          <w:docGrid w:type="lines" w:linePitch="312" w:charSpace="0"/>
        </w:sectPr>
      </w:pPr>
    </w:p>
    <w:p>
      <w:pPr>
        <w:jc w:val="left"/>
        <w:rPr>
          <w:rFonts w:ascii="黑体" w:hAnsi="黑体" w:eastAsia="黑体" w:cs="Times New Roman"/>
          <w:sz w:val="20"/>
          <w:szCs w:val="20"/>
        </w:rPr>
        <w:sectPr>
          <w:pgSz w:w="16838" w:h="11906" w:orient="landscape"/>
          <w:pgMar w:top="567" w:right="567" w:bottom="567" w:left="567" w:header="851" w:footer="992" w:gutter="0"/>
          <w:cols w:space="425" w:num="1"/>
          <w:docGrid w:type="linesAndChars" w:linePitch="312" w:charSpace="0"/>
        </w:sectPr>
      </w:pPr>
      <w:r>
        <w:rPr>
          <w:rFonts w:hint="eastAsia" w:ascii="宋体" w:hAnsi="宋体" w:cs="宋体"/>
          <w:kern w:val="0"/>
          <w:sz w:val="24"/>
          <w:szCs w:val="24"/>
        </w:rPr>
        <w:object>
          <v:shape id="_x0000_i1025" o:spt="75" type="#_x0000_t75" style="height:482.7pt;width:782.05pt;" o:ole="t" filled="f" o:preferrelative="t" stroked="f" coordsize="21600,21600">
            <v:path/>
            <v:fill on="f" focussize="0,0"/>
            <v:stroke on="f"/>
            <v:imagedata r:id="rId5" o:title=""/>
            <o:lock v:ext="edit" aspectratio="f"/>
            <w10:wrap type="none"/>
            <w10:anchorlock/>
          </v:shape>
          <o:OLEObject Type="Embed" ProgID="Office12.wks.Sheet.8" ShapeID="_x0000_i1025" DrawAspect="Content" ObjectID="_1468075725" r:id="rId4">
            <o:LockedField>false</o:LockedField>
          </o:OLEObject>
        </w:object>
      </w:r>
      <w:r>
        <w:rPr>
          <w:rFonts w:hint="eastAsia" w:ascii="宋体" w:hAnsi="宋体" w:cs="宋体"/>
          <w:kern w:val="0"/>
          <w:sz w:val="20"/>
          <w:szCs w:val="20"/>
        </w:rPr>
        <w:t>注：</w:t>
      </w:r>
      <w:r>
        <w:rPr>
          <w:rFonts w:ascii="宋体" w:hAnsi="宋体" w:cs="宋体"/>
          <w:kern w:val="0"/>
          <w:sz w:val="20"/>
          <w:szCs w:val="20"/>
        </w:rPr>
        <w:t>1.</w:t>
      </w:r>
      <w:r>
        <w:rPr>
          <w:rFonts w:hint="eastAsia" w:ascii="宋体" w:hAnsi="宋体" w:cs="宋体"/>
          <w:kern w:val="0"/>
          <w:sz w:val="20"/>
          <w:szCs w:val="20"/>
        </w:rPr>
        <w:t>本表反映部门本年度的总收支和年末结转结余情况。</w:t>
      </w:r>
      <w:r>
        <w:rPr>
          <w:rFonts w:ascii="宋体" w:cs="Times New Roman"/>
          <w:kern w:val="0"/>
          <w:sz w:val="20"/>
          <w:szCs w:val="20"/>
        </w:rPr>
        <w:br w:type="textWrapping"/>
      </w:r>
      <w:r>
        <w:rPr>
          <w:rFonts w:ascii="宋体" w:hAnsi="宋体" w:cs="宋体"/>
          <w:kern w:val="0"/>
          <w:sz w:val="20"/>
          <w:szCs w:val="20"/>
        </w:rPr>
        <w:t xml:space="preserve"> </w:t>
      </w:r>
      <w:r>
        <w:rPr>
          <w:rFonts w:hint="eastAsia" w:ascii="宋体" w:hAnsi="宋体" w:cs="宋体"/>
          <w:kern w:val="0"/>
          <w:sz w:val="20"/>
          <w:szCs w:val="20"/>
          <w:lang w:val="en-US" w:eastAsia="zh-CN"/>
        </w:rPr>
        <w:t xml:space="preserve">   </w:t>
      </w:r>
      <w:r>
        <w:rPr>
          <w:rFonts w:ascii="宋体" w:hAnsi="宋体" w:cs="宋体"/>
          <w:kern w:val="0"/>
          <w:sz w:val="20"/>
          <w:szCs w:val="20"/>
        </w:rPr>
        <w:t>2.</w:t>
      </w:r>
      <w:r>
        <w:rPr>
          <w:rFonts w:hint="eastAsia" w:ascii="宋体" w:hAnsi="宋体" w:cs="宋体"/>
          <w:kern w:val="0"/>
          <w:sz w:val="20"/>
          <w:szCs w:val="20"/>
        </w:rPr>
        <w:t>本套报表金额单位转换时可能存在尾数误差。</w:t>
      </w:r>
    </w:p>
    <w:p>
      <w:pPr>
        <w:widowControl/>
        <w:tabs>
          <w:tab w:val="left" w:pos="3370"/>
        </w:tabs>
        <w:jc w:val="left"/>
        <w:rPr>
          <w:rFonts w:hint="eastAsia" w:ascii="Times New Roman" w:hAnsi="Times New Roman" w:eastAsia="黑体" w:cs="Times New Roman"/>
          <w:kern w:val="0"/>
          <w:sz w:val="32"/>
          <w:szCs w:val="32"/>
          <w:lang w:eastAsia="zh-CN"/>
        </w:rPr>
      </w:pPr>
      <w:r>
        <w:rPr>
          <w:rFonts w:hint="eastAsia" w:ascii="宋体" w:hAnsi="宋体" w:cs="宋体"/>
          <w:kern w:val="0"/>
          <w:sz w:val="24"/>
          <w:szCs w:val="24"/>
        </w:rPr>
        <w:object>
          <v:shape id="_x0000_i1026" o:spt="75" type="#_x0000_t75" style="height:496.5pt;width:780.75pt;" o:ole="t" filled="f" o:preferrelative="t" stroked="f" coordsize="21600,21600">
            <v:path/>
            <v:fill on="f" focussize="0,0"/>
            <v:stroke on="f"/>
            <v:imagedata r:id="rId7" o:title=""/>
            <o:lock v:ext="edit" aspectratio="f"/>
            <w10:wrap type="none"/>
            <w10:anchorlock/>
          </v:shape>
          <o:OLEObject Type="Embed" ProgID="Office12.wks.Sheet.8" ShapeID="_x0000_i1026" DrawAspect="Content" ObjectID="_1468075726" r:id="rId6">
            <o:LockedField>false</o:LockedField>
          </o:OLEObject>
        </w:object>
      </w:r>
      <w:r>
        <w:rPr>
          <w:rFonts w:hint="eastAsia" w:ascii="宋体" w:hAnsi="宋体" w:cs="宋体"/>
          <w:kern w:val="0"/>
          <w:sz w:val="20"/>
          <w:szCs w:val="20"/>
        </w:rPr>
        <w:t>注：本表反映部门本年度取得的各项收入情况。</w:t>
      </w:r>
    </w:p>
    <w:p>
      <w:pPr>
        <w:widowControl/>
        <w:tabs>
          <w:tab w:val="left" w:pos="3370"/>
        </w:tabs>
        <w:jc w:val="left"/>
        <w:rPr>
          <w:rFonts w:hint="eastAsia" w:ascii="Times New Roman" w:hAnsi="Times New Roman" w:eastAsia="黑体" w:cs="Times New Roman"/>
          <w:kern w:val="0"/>
          <w:sz w:val="32"/>
          <w:szCs w:val="32"/>
          <w:lang w:eastAsia="zh-CN"/>
        </w:rPr>
      </w:pPr>
      <w:r>
        <w:rPr>
          <w:rFonts w:hint="eastAsia" w:ascii="宋体" w:hAnsi="宋体" w:cs="宋体"/>
          <w:kern w:val="0"/>
          <w:sz w:val="24"/>
          <w:szCs w:val="24"/>
        </w:rPr>
        <w:object>
          <v:shape id="_x0000_i1027" o:spt="75" type="#_x0000_t75" style="height:496.8pt;width:770.2pt;" o:ole="t" filled="f" o:preferrelative="t" stroked="f" coordsize="21600,21600">
            <v:path/>
            <v:fill on="f" focussize="0,0"/>
            <v:stroke on="f"/>
            <v:imagedata r:id="rId9" o:title=""/>
            <o:lock v:ext="edit" aspectratio="f"/>
            <w10:wrap type="none"/>
            <w10:anchorlock/>
          </v:shape>
          <o:OLEObject Type="Embed" ProgID="Office12.wks.Sheet.8" ShapeID="_x0000_i1027" DrawAspect="Content" ObjectID="_1468075727" r:id="rId8">
            <o:LockedField>false</o:LockedField>
          </o:OLEObject>
        </w:object>
      </w:r>
      <w:r>
        <w:rPr>
          <w:rFonts w:hint="eastAsia" w:ascii="宋体" w:hAnsi="宋体" w:cs="宋体"/>
          <w:kern w:val="0"/>
          <w:sz w:val="20"/>
          <w:szCs w:val="20"/>
        </w:rPr>
        <w:t>注：本表反映部门本年度各项支出情况。</w:t>
      </w:r>
    </w:p>
    <w:p>
      <w:pPr>
        <w:widowControl/>
        <w:tabs>
          <w:tab w:val="left" w:pos="3370"/>
        </w:tabs>
        <w:jc w:val="left"/>
        <w:rPr>
          <w:rFonts w:hint="eastAsia" w:ascii="Times New Roman" w:hAnsi="Times New Roman" w:eastAsia="黑体" w:cs="Times New Roman"/>
          <w:kern w:val="0"/>
          <w:sz w:val="32"/>
          <w:szCs w:val="32"/>
          <w:lang w:eastAsia="zh-CN"/>
        </w:rPr>
      </w:pPr>
      <w:r>
        <w:rPr>
          <w:rFonts w:hint="eastAsia" w:ascii="Times New Roman" w:hAnsi="Times New Roman" w:eastAsia="黑体" w:cs="Times New Roman"/>
          <w:kern w:val="0"/>
          <w:sz w:val="32"/>
          <w:szCs w:val="32"/>
          <w:lang w:eastAsia="zh-CN"/>
        </w:rPr>
        <w:object>
          <v:shape id="_x0000_i1028" o:spt="75" type="#_x0000_t75" style="height:497pt;width:745.7pt;" o:ole="t" filled="f" o:preferrelative="t" stroked="f" coordsize="21600,21600">
            <v:path/>
            <v:fill on="f" focussize="0,0"/>
            <v:stroke on="f"/>
            <v:imagedata r:id="rId11" o:title=""/>
            <o:lock v:ext="edit" aspectratio="f"/>
            <w10:wrap type="none"/>
            <w10:anchorlock/>
          </v:shape>
          <o:OLEObject Type="Embed" ProgID="Office12.wks.Sheet.8" ShapeID="_x0000_i1028" DrawAspect="Content" ObjectID="_1468075728" r:id="rId10">
            <o:LockedField>false</o:LockedField>
          </o:OLEObject>
        </w:object>
      </w:r>
    </w:p>
    <w:p>
      <w:pPr>
        <w:widowControl/>
        <w:tabs>
          <w:tab w:val="left" w:pos="3370"/>
        </w:tabs>
        <w:jc w:val="left"/>
        <w:rPr>
          <w:rFonts w:hint="eastAsia" w:ascii="宋体" w:hAnsi="宋体" w:cs="宋体"/>
          <w:kern w:val="0"/>
          <w:sz w:val="20"/>
          <w:szCs w:val="20"/>
          <w:lang w:eastAsia="zh-CN"/>
        </w:rPr>
      </w:pPr>
      <w:r>
        <w:rPr>
          <w:rFonts w:hint="eastAsia" w:ascii="宋体" w:hAnsi="宋体" w:cs="宋体"/>
          <w:kern w:val="0"/>
          <w:sz w:val="20"/>
          <w:szCs w:val="20"/>
          <w:lang w:val="en-US" w:eastAsia="zh-CN"/>
        </w:rPr>
        <w:t>注：本表反映部门本年度一般公共预算财政拨款支出情况。</w:t>
      </w:r>
    </w:p>
    <w:p>
      <w:pPr>
        <w:widowControl/>
        <w:jc w:val="left"/>
        <w:rPr>
          <w:rFonts w:ascii="Times New Roman" w:hAnsi="Times New Roman" w:eastAsia="仿宋_GB2312" w:cs="Times New Roman"/>
          <w:kern w:val="0"/>
        </w:rPr>
      </w:pPr>
    </w:p>
    <w:tbl>
      <w:tblPr>
        <w:tblStyle w:val="6"/>
        <w:tblW w:w="14622" w:type="dxa"/>
        <w:tblInd w:w="0" w:type="dxa"/>
        <w:shd w:val="clear" w:color="auto" w:fill="auto"/>
        <w:tblLayout w:type="autofit"/>
        <w:tblCellMar>
          <w:top w:w="0" w:type="dxa"/>
          <w:left w:w="0" w:type="dxa"/>
          <w:bottom w:w="0" w:type="dxa"/>
          <w:right w:w="0" w:type="dxa"/>
        </w:tblCellMar>
      </w:tblPr>
      <w:tblGrid>
        <w:gridCol w:w="581"/>
        <w:gridCol w:w="3330"/>
        <w:gridCol w:w="980"/>
        <w:gridCol w:w="581"/>
        <w:gridCol w:w="2230"/>
        <w:gridCol w:w="743"/>
        <w:gridCol w:w="581"/>
        <w:gridCol w:w="4210"/>
        <w:gridCol w:w="1386"/>
      </w:tblGrid>
      <w:tr>
        <w:tblPrEx>
          <w:shd w:val="clear" w:color="auto" w:fill="auto"/>
          <w:tblCellMar>
            <w:top w:w="0" w:type="dxa"/>
            <w:left w:w="0" w:type="dxa"/>
            <w:bottom w:w="0" w:type="dxa"/>
            <w:right w:w="0" w:type="dxa"/>
          </w:tblCellMar>
        </w:tblPrEx>
        <w:trPr>
          <w:trHeight w:val="592" w:hRule="atLeast"/>
        </w:trPr>
        <w:tc>
          <w:tcPr>
            <w:tcW w:w="14622" w:type="dxa"/>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2"/>
                <w:szCs w:val="32"/>
                <w:u w:val="none"/>
                <w:lang w:val="en-US" w:eastAsia="zh-CN" w:bidi="ar"/>
              </w:rPr>
              <w:t>一般公共预算财政拨款基本支出决算表</w:t>
            </w:r>
          </w:p>
        </w:tc>
      </w:tr>
      <w:tr>
        <w:tblPrEx>
          <w:shd w:val="clear" w:color="auto" w:fill="auto"/>
          <w:tblCellMar>
            <w:top w:w="0" w:type="dxa"/>
            <w:left w:w="0" w:type="dxa"/>
            <w:bottom w:w="0" w:type="dxa"/>
            <w:right w:w="0" w:type="dxa"/>
          </w:tblCellMar>
        </w:tblPrEx>
        <w:trPr>
          <w:trHeight w:val="303"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公开06表</w:t>
            </w:r>
          </w:p>
        </w:tc>
      </w:tr>
      <w:tr>
        <w:tblPrEx>
          <w:shd w:val="clear" w:color="auto" w:fill="auto"/>
          <w:tblCellMar>
            <w:top w:w="0" w:type="dxa"/>
            <w:left w:w="0" w:type="dxa"/>
            <w:bottom w:w="0" w:type="dxa"/>
            <w:right w:w="0" w:type="dxa"/>
          </w:tblCellMar>
        </w:tblPrEx>
        <w:trPr>
          <w:trHeight w:val="303" w:hRule="atLeast"/>
        </w:trPr>
        <w:tc>
          <w:tcPr>
            <w:tcW w:w="0" w:type="auto"/>
            <w:gridSpan w:val="5"/>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shd w:val="clear" w:color="auto" w:fill="auto"/>
          <w:tblCellMar>
            <w:top w:w="0" w:type="dxa"/>
            <w:left w:w="0" w:type="dxa"/>
            <w:bottom w:w="0" w:type="dxa"/>
            <w:right w:w="0" w:type="dxa"/>
          </w:tblCellMar>
        </w:tblPrEx>
        <w:trPr>
          <w:trHeight w:val="312"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w:t>
            </w:r>
          </w:p>
        </w:tc>
        <w:tc>
          <w:tcPr>
            <w:tcW w:w="0" w:type="auto"/>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w:t>
            </w:r>
          </w:p>
        </w:tc>
      </w:tr>
      <w:tr>
        <w:tblPrEx>
          <w:shd w:val="clear" w:color="auto" w:fill="auto"/>
          <w:tblCellMar>
            <w:top w:w="0" w:type="dxa"/>
            <w:left w:w="0" w:type="dxa"/>
            <w:bottom w:w="0" w:type="dxa"/>
            <w:right w:w="0" w:type="dxa"/>
          </w:tblCellMar>
        </w:tblPrEx>
        <w:trPr>
          <w:trHeight w:val="312" w:hRule="atLeast"/>
        </w:trPr>
        <w:tc>
          <w:tcPr>
            <w:tcW w:w="581"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3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98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58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22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74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58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421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8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shd w:val="clear" w:color="auto" w:fill="auto"/>
          <w:tblCellMar>
            <w:top w:w="0" w:type="dxa"/>
            <w:left w:w="0" w:type="dxa"/>
            <w:bottom w:w="0" w:type="dxa"/>
            <w:right w:w="0" w:type="dxa"/>
          </w:tblCellMar>
        </w:tblPrEx>
        <w:trPr>
          <w:trHeight w:val="312" w:hRule="atLeast"/>
        </w:trPr>
        <w:tc>
          <w:tcPr>
            <w:tcW w:w="581"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8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2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4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8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1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8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1149.41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416.50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584.32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60.96</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55.33</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214.35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w:t>
            </w:r>
            <w:r>
              <w:rPr>
                <w:rFonts w:hint="eastAsia" w:ascii="宋体" w:hAnsi="宋体" w:eastAsia="宋体" w:cs="宋体"/>
                <w:i w:val="0"/>
                <w:color w:val="000000"/>
                <w:kern w:val="0"/>
                <w:sz w:val="22"/>
                <w:szCs w:val="22"/>
                <w:u w:val="none"/>
                <w:lang w:val="en-US" w:eastAsia="zh-CN" w:bidi="ar"/>
              </w:rPr>
              <w:t>.00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2.2</w:t>
            </w:r>
            <w:r>
              <w:rPr>
                <w:rFonts w:hint="eastAsia" w:ascii="宋体" w:hAnsi="宋体" w:eastAsia="宋体" w:cs="宋体"/>
                <w:i w:val="0"/>
                <w:color w:val="000000"/>
                <w:kern w:val="0"/>
                <w:sz w:val="22"/>
                <w:szCs w:val="22"/>
                <w:u w:val="none"/>
                <w:lang w:val="en-US" w:eastAsia="zh-CN" w:bidi="ar"/>
              </w:rPr>
              <w:t>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75.62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0.27</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0.87</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2.20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100.37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14.55</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12.21</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67.15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26.98</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4.30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2.86</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103.29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57.88</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55.11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2.86</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3.92</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3.18</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38.87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4.44</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8.02</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39906</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赠与</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64.89</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1.8</w:t>
            </w:r>
            <w:r>
              <w:rPr>
                <w:rFonts w:hint="eastAsia" w:ascii="宋体" w:hAnsi="宋体" w:eastAsia="宋体" w:cs="宋体"/>
                <w:i w:val="0"/>
                <w:color w:val="000000"/>
                <w:kern w:val="0"/>
                <w:sz w:val="22"/>
                <w:szCs w:val="22"/>
                <w:u w:val="none"/>
                <w:lang w:val="en-US" w:eastAsia="zh-CN" w:bidi="ar"/>
              </w:rPr>
              <w:t>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0.0</w:t>
            </w:r>
            <w:r>
              <w:rPr>
                <w:rFonts w:hint="eastAsia" w:ascii="宋体" w:hAnsi="宋体" w:eastAsia="宋体" w:cs="宋体"/>
                <w:i w:val="0"/>
                <w:color w:val="000000"/>
                <w:kern w:val="0"/>
                <w:sz w:val="22"/>
                <w:szCs w:val="22"/>
                <w:u w:val="none"/>
                <w:lang w:val="en-US" w:eastAsia="zh-CN" w:bidi="ar"/>
              </w:rPr>
              <w:t>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3.16</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shd w:val="clear" w:color="auto" w:fill="auto"/>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71.36</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0</w:t>
            </w:r>
            <w:r>
              <w:rPr>
                <w:rFonts w:hint="eastAsia" w:ascii="宋体" w:hAnsi="宋体" w:eastAsia="宋体" w:cs="宋体"/>
                <w:i w:val="0"/>
                <w:color w:val="000000"/>
                <w:kern w:val="0"/>
                <w:sz w:val="22"/>
                <w:szCs w:val="22"/>
                <w:u w:val="none"/>
                <w:lang w:val="en-US" w:eastAsia="zh-CN" w:bidi="ar"/>
              </w:rPr>
              <w:t>.00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2" w:hRule="atLeast"/>
        </w:trPr>
        <w:tc>
          <w:tcPr>
            <w:tcW w:w="0" w:type="auto"/>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74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27.20</w:t>
            </w:r>
          </w:p>
        </w:tc>
        <w:tc>
          <w:tcPr>
            <w:tcW w:w="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2" w:hRule="atLeast"/>
        </w:trPr>
        <w:tc>
          <w:tcPr>
            <w:tcW w:w="0" w:type="auto"/>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人员经费合计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1204.51</w:t>
            </w:r>
          </w:p>
        </w:tc>
        <w:tc>
          <w:tcPr>
            <w:tcW w:w="0" w:type="auto"/>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公用经费合计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418.70</w:t>
            </w:r>
          </w:p>
        </w:tc>
      </w:tr>
      <w:tr>
        <w:tblPrEx>
          <w:tblCellMar>
            <w:top w:w="0" w:type="dxa"/>
            <w:left w:w="0" w:type="dxa"/>
            <w:bottom w:w="0" w:type="dxa"/>
            <w:right w:w="0" w:type="dxa"/>
          </w:tblCellMar>
        </w:tblPrEx>
        <w:trPr>
          <w:trHeight w:val="312" w:hRule="atLeast"/>
        </w:trPr>
        <w:tc>
          <w:tcPr>
            <w:tcW w:w="0" w:type="auto"/>
            <w:gridSpan w:val="9"/>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kern w:val="0"/>
                <w:sz w:val="20"/>
                <w:szCs w:val="20"/>
                <w:lang w:val="en-US" w:eastAsia="zh-CN"/>
              </w:rPr>
              <w:t>注：本表反映部门本年度一般公共预算财政拨款基本支出明细情况。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tabs>
          <w:tab w:val="left" w:pos="2436"/>
        </w:tabs>
        <w:rPr>
          <w:rFonts w:hint="eastAsia" w:ascii="Times New Roman" w:hAnsi="Times New Roman" w:eastAsia="方正小标宋_GBK" w:cs="Times New Roman"/>
          <w:color w:val="000000"/>
          <w:kern w:val="0"/>
          <w:sz w:val="36"/>
          <w:szCs w:val="36"/>
          <w:lang w:eastAsia="zh-CN"/>
        </w:rPr>
      </w:pPr>
      <w:r>
        <w:rPr>
          <w:rFonts w:hint="eastAsia" w:ascii="Times New Roman" w:hAnsi="Times New Roman" w:eastAsia="方正小标宋_GBK" w:cs="Times New Roman"/>
          <w:color w:val="000000"/>
          <w:kern w:val="0"/>
          <w:sz w:val="36"/>
          <w:szCs w:val="36"/>
          <w:lang w:eastAsia="zh-CN"/>
        </w:rPr>
        <w:tab/>
      </w:r>
    </w:p>
    <w:tbl>
      <w:tblPr>
        <w:tblStyle w:val="6"/>
        <w:tblW w:w="15340" w:type="dxa"/>
        <w:tblInd w:w="0" w:type="dxa"/>
        <w:shd w:val="clear" w:color="auto" w:fill="auto"/>
        <w:tblLayout w:type="autofit"/>
        <w:tblCellMar>
          <w:top w:w="0" w:type="dxa"/>
          <w:left w:w="0" w:type="dxa"/>
          <w:bottom w:w="0" w:type="dxa"/>
          <w:right w:w="0" w:type="dxa"/>
        </w:tblCellMar>
      </w:tblPr>
      <w:tblGrid>
        <w:gridCol w:w="1277"/>
        <w:gridCol w:w="1277"/>
        <w:gridCol w:w="1258"/>
        <w:gridCol w:w="1258"/>
        <w:gridCol w:w="1258"/>
        <w:gridCol w:w="1277"/>
        <w:gridCol w:w="1258"/>
        <w:gridCol w:w="1277"/>
        <w:gridCol w:w="1258"/>
        <w:gridCol w:w="1258"/>
        <w:gridCol w:w="1258"/>
        <w:gridCol w:w="1430"/>
      </w:tblGrid>
      <w:tr>
        <w:tblPrEx>
          <w:shd w:val="clear" w:color="auto" w:fill="auto"/>
          <w:tblCellMar>
            <w:top w:w="0" w:type="dxa"/>
            <w:left w:w="0" w:type="dxa"/>
            <w:bottom w:w="0" w:type="dxa"/>
            <w:right w:w="0" w:type="dxa"/>
          </w:tblCellMar>
        </w:tblPrEx>
        <w:trPr>
          <w:trHeight w:val="624" w:hRule="atLeast"/>
        </w:trPr>
        <w:tc>
          <w:tcPr>
            <w:tcW w:w="15340" w:type="dxa"/>
            <w:gridSpan w:val="12"/>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32"/>
                <w:szCs w:val="32"/>
                <w:u w:val="none"/>
                <w:lang w:val="en-US" w:eastAsia="zh-CN" w:bidi="ar"/>
              </w:rPr>
              <w:t>一般公共预算财政拨款“三公”经费支出决算表</w:t>
            </w:r>
          </w:p>
        </w:tc>
      </w:tr>
      <w:tr>
        <w:tblPrEx>
          <w:shd w:val="clear" w:color="auto" w:fill="auto"/>
          <w:tblCellMar>
            <w:top w:w="0" w:type="dxa"/>
            <w:left w:w="0" w:type="dxa"/>
            <w:bottom w:w="0" w:type="dxa"/>
            <w:right w:w="0" w:type="dxa"/>
          </w:tblCellMar>
        </w:tblPrEx>
        <w:trPr>
          <w:trHeight w:val="324" w:hRule="atLeast"/>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shd w:val="clear" w:color="auto" w:fill="auto"/>
          <w:tblCellMar>
            <w:top w:w="0" w:type="dxa"/>
            <w:left w:w="0" w:type="dxa"/>
            <w:bottom w:w="0" w:type="dxa"/>
            <w:right w:w="0" w:type="dxa"/>
          </w:tblCellMar>
        </w:tblPrEx>
        <w:trPr>
          <w:trHeight w:val="324" w:hRule="atLeast"/>
        </w:trPr>
        <w:tc>
          <w:tcPr>
            <w:tcW w:w="0" w:type="auto"/>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CellMar>
            <w:top w:w="0" w:type="dxa"/>
            <w:left w:w="0" w:type="dxa"/>
            <w:bottom w:w="0" w:type="dxa"/>
            <w:right w:w="0" w:type="dxa"/>
          </w:tblCellMar>
        </w:tblPrEx>
        <w:trPr>
          <w:trHeight w:val="343" w:hRule="atLeast"/>
        </w:trPr>
        <w:tc>
          <w:tcPr>
            <w:tcW w:w="7617" w:type="dxa"/>
            <w:gridSpan w:val="6"/>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723" w:type="dxa"/>
            <w:gridSpan w:val="6"/>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CellMar>
            <w:top w:w="0" w:type="dxa"/>
            <w:left w:w="0" w:type="dxa"/>
            <w:bottom w:w="0" w:type="dxa"/>
            <w:right w:w="0" w:type="dxa"/>
          </w:tblCellMar>
        </w:tblPrEx>
        <w:trPr>
          <w:trHeight w:val="343" w:hRule="atLeast"/>
        </w:trPr>
        <w:tc>
          <w:tcPr>
            <w:tcW w:w="127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7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6" w:type="dxa"/>
            <w:gridSpan w:val="3"/>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公务用车购置及运行费</w:t>
            </w:r>
          </w:p>
        </w:tc>
        <w:tc>
          <w:tcPr>
            <w:tcW w:w="127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7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6" w:type="dxa"/>
            <w:gridSpan w:val="3"/>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公务用车购置及运行费</w:t>
            </w:r>
          </w:p>
        </w:tc>
        <w:tc>
          <w:tcPr>
            <w:tcW w:w="139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CellMar>
            <w:top w:w="0" w:type="dxa"/>
            <w:left w:w="0" w:type="dxa"/>
            <w:bottom w:w="0" w:type="dxa"/>
            <w:right w:w="0" w:type="dxa"/>
          </w:tblCellMar>
        </w:tblPrEx>
        <w:trPr>
          <w:trHeight w:val="637" w:hRule="atLeast"/>
        </w:trPr>
        <w:tc>
          <w:tcPr>
            <w:tcW w:w="127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7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公务用车运行费</w:t>
            </w:r>
          </w:p>
        </w:tc>
        <w:tc>
          <w:tcPr>
            <w:tcW w:w="127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7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公务用车购置费</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公务用车运行费</w:t>
            </w:r>
          </w:p>
        </w:tc>
        <w:tc>
          <w:tcPr>
            <w:tcW w:w="139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3" w:hRule="atLeast"/>
        </w:trPr>
        <w:tc>
          <w:tcPr>
            <w:tcW w:w="1277"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7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7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7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98"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CellMar>
            <w:top w:w="0" w:type="dxa"/>
            <w:left w:w="0" w:type="dxa"/>
            <w:bottom w:w="0" w:type="dxa"/>
            <w:right w:w="0" w:type="dxa"/>
          </w:tblCellMar>
        </w:tblPrEx>
        <w:trPr>
          <w:trHeight w:val="343"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r>
              <w:rPr>
                <w:rFonts w:hint="eastAsia" w:ascii="宋体" w:hAnsi="宋体"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10.50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6.34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3.16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3.16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3.18</w:t>
            </w:r>
          </w:p>
        </w:tc>
      </w:tr>
      <w:tr>
        <w:tblPrEx>
          <w:tblCellMar>
            <w:top w:w="0" w:type="dxa"/>
            <w:left w:w="0" w:type="dxa"/>
            <w:bottom w:w="0" w:type="dxa"/>
            <w:right w:w="0" w:type="dxa"/>
          </w:tblCellMar>
        </w:tblPrEx>
        <w:trPr>
          <w:trHeight w:val="637" w:hRule="atLeast"/>
        </w:trPr>
        <w:tc>
          <w:tcPr>
            <w:tcW w:w="153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hint="eastAsia" w:ascii="宋体" w:hAnsi="宋体" w:eastAsia="宋体" w:cs="宋体"/>
                <w:i w:val="0"/>
                <w:color w:val="000000"/>
                <w:kern w:val="0"/>
                <w:sz w:val="22"/>
                <w:szCs w:val="22"/>
                <w:u w:val="none"/>
                <w:lang w:val="en-US" w:eastAsia="zh-CN" w:bidi="ar"/>
              </w:rPr>
              <w:t>。</w:t>
            </w:r>
          </w:p>
        </w:tc>
      </w:tr>
    </w:tbl>
    <w:p>
      <w:pPr>
        <w:autoSpaceDE w:val="0"/>
        <w:autoSpaceDN w:val="0"/>
        <w:adjustRightInd w:val="0"/>
        <w:jc w:val="left"/>
        <w:rPr>
          <w:rFonts w:ascii="宋体" w:cs="Times New Roman"/>
          <w:kern w:val="0"/>
          <w:sz w:val="24"/>
          <w:szCs w:val="24"/>
        </w:rPr>
      </w:pPr>
    </w:p>
    <w:tbl>
      <w:tblPr>
        <w:tblStyle w:val="6"/>
        <w:tblW w:w="15360" w:type="dxa"/>
        <w:tblInd w:w="0" w:type="dxa"/>
        <w:shd w:val="clear" w:color="auto" w:fill="auto"/>
        <w:tblLayout w:type="fixed"/>
        <w:tblCellMar>
          <w:top w:w="0" w:type="dxa"/>
          <w:left w:w="0" w:type="dxa"/>
          <w:bottom w:w="0" w:type="dxa"/>
          <w:right w:w="0" w:type="dxa"/>
        </w:tblCellMar>
      </w:tblPr>
      <w:tblGrid>
        <w:gridCol w:w="83"/>
        <w:gridCol w:w="83"/>
        <w:gridCol w:w="166"/>
        <w:gridCol w:w="332"/>
        <w:gridCol w:w="332"/>
        <w:gridCol w:w="975"/>
        <w:gridCol w:w="1432"/>
        <w:gridCol w:w="216"/>
        <w:gridCol w:w="1018"/>
        <w:gridCol w:w="827"/>
        <w:gridCol w:w="1906"/>
        <w:gridCol w:w="1875"/>
        <w:gridCol w:w="2117"/>
        <w:gridCol w:w="1815"/>
        <w:gridCol w:w="1203"/>
        <w:gridCol w:w="980"/>
      </w:tblGrid>
      <w:tr>
        <w:tblPrEx>
          <w:shd w:val="clear" w:color="auto" w:fill="auto"/>
          <w:tblCellMar>
            <w:top w:w="0" w:type="dxa"/>
            <w:left w:w="0" w:type="dxa"/>
            <w:bottom w:w="0" w:type="dxa"/>
            <w:right w:w="0" w:type="dxa"/>
          </w:tblCellMar>
        </w:tblPrEx>
        <w:trPr>
          <w:trHeight w:val="681" w:hRule="atLeast"/>
        </w:trPr>
        <w:tc>
          <w:tcPr>
            <w:tcW w:w="15360" w:type="dxa"/>
            <w:gridSpan w:val="1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2"/>
                <w:szCs w:val="32"/>
                <w:u w:val="none"/>
                <w:lang w:val="en-US" w:eastAsia="zh-CN" w:bidi="ar"/>
              </w:rPr>
              <w:t>政府性基金预算财政拨款收入支出决算表</w:t>
            </w:r>
          </w:p>
        </w:tc>
      </w:tr>
      <w:tr>
        <w:tblPrEx>
          <w:shd w:val="clear" w:color="auto" w:fill="auto"/>
          <w:tblCellMar>
            <w:top w:w="0" w:type="dxa"/>
            <w:left w:w="0" w:type="dxa"/>
            <w:bottom w:w="0" w:type="dxa"/>
            <w:right w:w="0" w:type="dxa"/>
          </w:tblCellMar>
        </w:tblPrEx>
        <w:trPr>
          <w:trHeight w:val="348" w:hRule="atLeast"/>
        </w:trPr>
        <w:tc>
          <w:tcPr>
            <w:tcW w:w="83" w:type="dxa"/>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8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05" w:type="dxa"/>
            <w:gridSpan w:val="4"/>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648"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45"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90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7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1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83"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shd w:val="clear" w:color="auto" w:fill="auto"/>
          <w:tblCellMar>
            <w:top w:w="0" w:type="dxa"/>
            <w:left w:w="0" w:type="dxa"/>
            <w:bottom w:w="0" w:type="dxa"/>
            <w:right w:w="0" w:type="dxa"/>
          </w:tblCellMar>
        </w:tblPrEx>
        <w:trPr>
          <w:trHeight w:val="348" w:hRule="atLeast"/>
        </w:trPr>
        <w:tc>
          <w:tcPr>
            <w:tcW w:w="7370" w:type="dxa"/>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187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81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2183" w:type="dxa"/>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shd w:val="clear" w:color="auto" w:fill="auto"/>
          <w:tblCellMar>
            <w:top w:w="0" w:type="dxa"/>
            <w:left w:w="0" w:type="dxa"/>
            <w:bottom w:w="0" w:type="dxa"/>
            <w:right w:w="0" w:type="dxa"/>
          </w:tblCellMar>
        </w:tblPrEx>
        <w:trPr>
          <w:trHeight w:val="359" w:hRule="atLeast"/>
        </w:trPr>
        <w:tc>
          <w:tcPr>
            <w:tcW w:w="3619" w:type="dxa"/>
            <w:gridSpan w:val="8"/>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845"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1906"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w:t>
            </w:r>
          </w:p>
        </w:tc>
        <w:tc>
          <w:tcPr>
            <w:tcW w:w="5807"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c>
          <w:tcPr>
            <w:tcW w:w="2183"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r>
      <w:tr>
        <w:tblPrEx>
          <w:shd w:val="clear" w:color="auto" w:fill="auto"/>
          <w:tblCellMar>
            <w:top w:w="0" w:type="dxa"/>
            <w:left w:w="0" w:type="dxa"/>
            <w:bottom w:w="0" w:type="dxa"/>
            <w:right w:w="0" w:type="dxa"/>
          </w:tblCellMar>
        </w:tblPrEx>
        <w:trPr>
          <w:trHeight w:val="355" w:hRule="atLeast"/>
        </w:trPr>
        <w:tc>
          <w:tcPr>
            <w:tcW w:w="1971" w:type="dxa"/>
            <w:gridSpan w:val="6"/>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1648" w:type="dxa"/>
            <w:gridSpan w:val="2"/>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84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0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21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81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218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5" w:hRule="atLeast"/>
        </w:trPr>
        <w:tc>
          <w:tcPr>
            <w:tcW w:w="1971" w:type="dxa"/>
            <w:gridSpan w:val="6"/>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8" w:type="dxa"/>
            <w:gridSpan w:val="2"/>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4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0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8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5" w:hRule="atLeast"/>
        </w:trPr>
        <w:tc>
          <w:tcPr>
            <w:tcW w:w="1971" w:type="dxa"/>
            <w:gridSpan w:val="6"/>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8" w:type="dxa"/>
            <w:gridSpan w:val="2"/>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4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90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8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3619" w:type="dxa"/>
            <w:gridSpan w:val="8"/>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45"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0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7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1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1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183"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shd w:val="clear" w:color="auto" w:fill="auto"/>
          <w:tblCellMar>
            <w:top w:w="0" w:type="dxa"/>
            <w:left w:w="0" w:type="dxa"/>
            <w:bottom w:w="0" w:type="dxa"/>
            <w:right w:w="0" w:type="dxa"/>
          </w:tblCellMar>
        </w:tblPrEx>
        <w:trPr>
          <w:trHeight w:val="359" w:hRule="atLeast"/>
        </w:trPr>
        <w:tc>
          <w:tcPr>
            <w:tcW w:w="3619" w:type="dxa"/>
            <w:gridSpan w:val="8"/>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lang w:eastAsia="zh-CN"/>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59" w:hRule="atLeast"/>
        </w:trPr>
        <w:tc>
          <w:tcPr>
            <w:tcW w:w="1971"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6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8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90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218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92" w:hRule="atLeast"/>
        </w:trPr>
        <w:tc>
          <w:tcPr>
            <w:tcW w:w="15360" w:type="dxa"/>
            <w:gridSpan w:val="1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cs="宋体"/>
                <w:kern w:val="0"/>
                <w:sz w:val="20"/>
                <w:szCs w:val="20"/>
                <w:lang w:val="en-US" w:eastAsia="zh-CN"/>
              </w:rPr>
            </w:pPr>
            <w:r>
              <w:rPr>
                <w:rFonts w:hint="eastAsia" w:ascii="宋体" w:hAnsi="宋体" w:cs="宋体"/>
                <w:kern w:val="0"/>
                <w:sz w:val="20"/>
                <w:szCs w:val="20"/>
                <w:lang w:val="en-US" w:eastAsia="zh-CN"/>
              </w:rPr>
              <w:t>注：本表反映部门本年度政府性基金预算财政拨款收入、支出及结转和结余情况。</w:t>
            </w:r>
            <w:r>
              <w:rPr>
                <w:rFonts w:hint="eastAsia" w:ascii="宋体" w:hAnsi="宋体" w:cs="宋体"/>
                <w:kern w:val="0"/>
                <w:sz w:val="20"/>
                <w:szCs w:val="20"/>
                <w:lang w:val="en-US" w:eastAsia="zh-CN"/>
              </w:rPr>
              <w:tab/>
            </w:r>
          </w:p>
          <w:p>
            <w:pPr>
              <w:keepNext w:val="0"/>
              <w:keepLines w:val="0"/>
              <w:widowControl/>
              <w:suppressLineNumbers w:val="0"/>
              <w:tabs>
                <w:tab w:val="left" w:pos="6336"/>
              </w:tabs>
              <w:jc w:val="left"/>
              <w:textAlignment w:val="center"/>
              <w:rPr>
                <w:rFonts w:hint="eastAsia" w:ascii="宋体" w:hAnsi="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gridAfter w:val="1"/>
          <w:wAfter w:w="980" w:type="dxa"/>
          <w:trHeight w:val="681" w:hRule="atLeast"/>
        </w:trPr>
        <w:tc>
          <w:tcPr>
            <w:tcW w:w="14380" w:type="dxa"/>
            <w:gridSpan w:val="1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2"/>
                <w:szCs w:val="32"/>
                <w:u w:val="none"/>
                <w:lang w:val="en-US" w:eastAsia="zh-CN" w:bidi="ar"/>
              </w:rPr>
              <w:t>国有资本经营预算财政拨款支出决算表</w:t>
            </w:r>
          </w:p>
        </w:tc>
      </w:tr>
      <w:tr>
        <w:tblPrEx>
          <w:tblCellMar>
            <w:top w:w="0" w:type="dxa"/>
            <w:left w:w="0" w:type="dxa"/>
            <w:bottom w:w="0" w:type="dxa"/>
            <w:right w:w="0" w:type="dxa"/>
          </w:tblCellMar>
        </w:tblPrEx>
        <w:trPr>
          <w:gridAfter w:val="1"/>
          <w:wAfter w:w="980" w:type="dxa"/>
          <w:trHeight w:val="348" w:hRule="atLeast"/>
        </w:trPr>
        <w:tc>
          <w:tcPr>
            <w:tcW w:w="332" w:type="dxa"/>
            <w:gridSpan w:val="3"/>
            <w:tcBorders>
              <w:top w:val="nil"/>
              <w:left w:val="nil"/>
              <w:bottom w:val="nil"/>
              <w:right w:val="nil"/>
            </w:tcBorders>
            <w:shd w:val="clear" w:color="auto" w:fill="auto"/>
            <w:noWrap/>
            <w:tcMar>
              <w:top w:w="15" w:type="dxa"/>
              <w:left w:w="15" w:type="dxa"/>
              <w:right w:w="15" w:type="dxa"/>
            </w:tcMar>
            <w:vAlign w:val="bottom"/>
          </w:tcPr>
          <w:p>
            <w:pPr>
              <w:rPr>
                <w:rFonts w:hint="eastAsia" w:ascii="Arial" w:hAnsi="Arial" w:cs="Arial"/>
                <w:i w:val="0"/>
                <w:color w:val="000000"/>
                <w:sz w:val="20"/>
                <w:szCs w:val="20"/>
                <w:u w:val="none"/>
              </w:rPr>
            </w:pPr>
          </w:p>
        </w:tc>
        <w:tc>
          <w:tcPr>
            <w:tcW w:w="33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33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43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1234"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43"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CellMar>
            <w:top w:w="0" w:type="dxa"/>
            <w:left w:w="0" w:type="dxa"/>
            <w:bottom w:w="0" w:type="dxa"/>
            <w:right w:w="0" w:type="dxa"/>
          </w:tblCellMar>
        </w:tblPrEx>
        <w:trPr>
          <w:gridAfter w:val="1"/>
          <w:wAfter w:w="980" w:type="dxa"/>
          <w:trHeight w:val="456" w:hRule="atLeast"/>
        </w:trPr>
        <w:tc>
          <w:tcPr>
            <w:tcW w:w="3403"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部门：湘潭县人力资源和社会保障局</w:t>
            </w:r>
          </w:p>
        </w:tc>
        <w:tc>
          <w:tcPr>
            <w:tcW w:w="1234" w:type="dxa"/>
            <w:gridSpan w:val="2"/>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i w:val="0"/>
                <w:color w:val="000000"/>
                <w:sz w:val="20"/>
                <w:szCs w:val="20"/>
                <w:u w:val="none"/>
              </w:rPr>
            </w:pPr>
          </w:p>
        </w:tc>
        <w:tc>
          <w:tcPr>
            <w:tcW w:w="9743" w:type="dxa"/>
            <w:gridSpan w:val="6"/>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CellMar>
            <w:top w:w="0" w:type="dxa"/>
            <w:left w:w="0" w:type="dxa"/>
            <w:bottom w:w="0" w:type="dxa"/>
            <w:right w:w="0" w:type="dxa"/>
          </w:tblCellMar>
        </w:tblPrEx>
        <w:trPr>
          <w:gridAfter w:val="1"/>
          <w:wAfter w:w="980" w:type="dxa"/>
          <w:trHeight w:val="359" w:hRule="atLeast"/>
        </w:trPr>
        <w:tc>
          <w:tcPr>
            <w:tcW w:w="1971" w:type="dxa"/>
            <w:gridSpan w:val="6"/>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2409" w:type="dxa"/>
            <w:gridSpan w:val="9"/>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tblCellMar>
            <w:top w:w="0" w:type="dxa"/>
            <w:left w:w="0" w:type="dxa"/>
            <w:bottom w:w="0" w:type="dxa"/>
            <w:right w:w="0" w:type="dxa"/>
          </w:tblCellMar>
        </w:tblPrEx>
        <w:trPr>
          <w:gridAfter w:val="1"/>
          <w:wAfter w:w="980" w:type="dxa"/>
          <w:trHeight w:val="355" w:hRule="atLeast"/>
        </w:trPr>
        <w:tc>
          <w:tcPr>
            <w:tcW w:w="996" w:type="dxa"/>
            <w:gridSpan w:val="5"/>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975"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43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34"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9743" w:type="dxa"/>
            <w:gridSpan w:val="6"/>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CellMar>
            <w:top w:w="0" w:type="dxa"/>
            <w:left w:w="0" w:type="dxa"/>
            <w:bottom w:w="0" w:type="dxa"/>
            <w:right w:w="0" w:type="dxa"/>
          </w:tblCellMar>
        </w:tblPrEx>
        <w:trPr>
          <w:gridAfter w:val="1"/>
          <w:wAfter w:w="980" w:type="dxa"/>
          <w:trHeight w:val="355" w:hRule="atLeast"/>
        </w:trPr>
        <w:tc>
          <w:tcPr>
            <w:tcW w:w="996" w:type="dxa"/>
            <w:gridSpan w:val="5"/>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3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34"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43" w:type="dxa"/>
            <w:gridSpan w:val="6"/>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5" w:hRule="atLeast"/>
        </w:trPr>
        <w:tc>
          <w:tcPr>
            <w:tcW w:w="996" w:type="dxa"/>
            <w:gridSpan w:val="5"/>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5"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3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34"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43" w:type="dxa"/>
            <w:gridSpan w:val="6"/>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1971" w:type="dxa"/>
            <w:gridSpan w:val="6"/>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432"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4"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743" w:type="dxa"/>
            <w:gridSpan w:val="6"/>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CellMar>
            <w:top w:w="0" w:type="dxa"/>
            <w:left w:w="0" w:type="dxa"/>
            <w:bottom w:w="0" w:type="dxa"/>
            <w:right w:w="0" w:type="dxa"/>
          </w:tblCellMar>
        </w:tblPrEx>
        <w:trPr>
          <w:gridAfter w:val="1"/>
          <w:wAfter w:w="980" w:type="dxa"/>
          <w:trHeight w:val="359" w:hRule="atLeast"/>
        </w:trPr>
        <w:tc>
          <w:tcPr>
            <w:tcW w:w="1971" w:type="dxa"/>
            <w:gridSpan w:val="6"/>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val="0"/>
                <w:bCs/>
                <w:i w:val="0"/>
                <w:color w:val="000000"/>
                <w:sz w:val="22"/>
                <w:szCs w:val="22"/>
                <w:u w:val="none"/>
                <w:lang w:val="en-US" w:eastAsia="zh-CN"/>
              </w:rPr>
            </w:pPr>
            <w:r>
              <w:rPr>
                <w:rFonts w:hint="eastAsia" w:ascii="宋体" w:hAnsi="宋体" w:cs="宋体"/>
                <w:b w:val="0"/>
                <w:bCs/>
                <w:i w:val="0"/>
                <w:color w:val="000000"/>
                <w:sz w:val="22"/>
                <w:szCs w:val="22"/>
                <w:u w:val="none"/>
                <w:lang w:val="en-US" w:eastAsia="zh-CN"/>
              </w:rPr>
              <w:t>0</w:t>
            </w: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lang w:eastAsia="zh-CN"/>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996"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9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3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123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c>
          <w:tcPr>
            <w:tcW w:w="9743" w:type="dxa"/>
            <w:gridSpan w:val="6"/>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980" w:type="dxa"/>
          <w:trHeight w:val="359" w:hRule="atLeast"/>
        </w:trPr>
        <w:tc>
          <w:tcPr>
            <w:tcW w:w="14380" w:type="dxa"/>
            <w:gridSpan w:val="1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kern w:val="0"/>
                <w:sz w:val="20"/>
                <w:szCs w:val="20"/>
                <w:lang w:val="en-US" w:eastAsia="zh-CN"/>
              </w:rPr>
              <w:t>注：本表反映部门本年度国有资本经营预算财政拨款支出情况。</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tabs>
          <w:tab w:val="left" w:pos="2773"/>
        </w:tabs>
        <w:jc w:val="both"/>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p>
    <w:p>
      <w:pPr>
        <w:pStyle w:val="11"/>
        <w:tabs>
          <w:tab w:val="left" w:pos="2773"/>
        </w:tabs>
        <w:jc w:val="center"/>
        <w:rPr>
          <w:rFonts w:hint="eastAsia" w:ascii="宋体" w:hAnsi="宋体" w:eastAsia="宋体" w:cs="宋体"/>
          <w:sz w:val="72"/>
          <w:szCs w:val="72"/>
        </w:rPr>
      </w:pPr>
      <w:r>
        <w:rPr>
          <w:rFonts w:hint="eastAsia" w:ascii="宋体" w:hAnsi="宋体" w:eastAsia="宋体" w:cs="宋体"/>
          <w:sz w:val="72"/>
          <w:szCs w:val="72"/>
        </w:rPr>
        <w:t>第三部分</w:t>
      </w:r>
    </w:p>
    <w:p>
      <w:pPr>
        <w:pStyle w:val="11"/>
        <w:jc w:val="center"/>
        <w:rPr>
          <w:rFonts w:hint="eastAsia" w:ascii="宋体" w:hAnsi="宋体" w:eastAsia="宋体" w:cs="宋体"/>
          <w:sz w:val="72"/>
          <w:szCs w:val="72"/>
        </w:rPr>
      </w:pPr>
    </w:p>
    <w:p>
      <w:pPr>
        <w:pStyle w:val="11"/>
        <w:keepNext w:val="0"/>
        <w:keepLines w:val="0"/>
        <w:pageBreakBefore w:val="0"/>
        <w:widowControl w:val="0"/>
        <w:kinsoku/>
        <w:wordWrap/>
        <w:overflowPunct/>
        <w:topLinePunct w:val="0"/>
        <w:autoSpaceDE w:val="0"/>
        <w:autoSpaceDN w:val="0"/>
        <w:bidi w:val="0"/>
        <w:adjustRightInd w:val="0"/>
        <w:snapToGrid/>
        <w:jc w:val="center"/>
        <w:textAlignment w:val="auto"/>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年度部门决算情况说明</w:t>
      </w:r>
    </w:p>
    <w:p>
      <w:pPr>
        <w:widowControl/>
        <w:jc w:val="left"/>
        <w:rPr>
          <w:rFonts w:cs="Times New Roman"/>
          <w:sz w:val="70"/>
          <w:szCs w:val="70"/>
        </w:rPr>
      </w:pPr>
    </w:p>
    <w:p>
      <w:pPr>
        <w:bidi w:val="0"/>
        <w:rPr>
          <w:rFonts w:ascii="Calibri" w:hAnsi="Calibri" w:eastAsia="宋体" w:cs="Calibri"/>
          <w:kern w:val="2"/>
          <w:sz w:val="21"/>
          <w:szCs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1228"/>
        </w:tabs>
        <w:bidi w:val="0"/>
        <w:jc w:val="left"/>
        <w:rPr>
          <w:lang w:val="en-US" w:eastAsia="zh-CN"/>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2059.42</w:t>
      </w:r>
      <w:r>
        <w:rPr>
          <w:rFonts w:hint="eastAsia" w:ascii="宋体" w:hAnsi="宋体" w:eastAsia="宋体" w:cs="宋体"/>
          <w:sz w:val="32"/>
          <w:szCs w:val="32"/>
        </w:rPr>
        <w:t>万元</w:t>
      </w:r>
      <w:r>
        <w:rPr>
          <w:rFonts w:hint="eastAsia" w:ascii="宋体" w:hAnsi="宋体" w:eastAsia="宋体" w:cs="宋体"/>
          <w:color w:val="auto"/>
          <w:sz w:val="32"/>
          <w:szCs w:val="32"/>
        </w:rPr>
        <w:t>。与上年相比，减少</w:t>
      </w:r>
      <w:r>
        <w:rPr>
          <w:rFonts w:hint="eastAsia" w:ascii="宋体" w:hAnsi="宋体" w:eastAsia="宋体" w:cs="宋体"/>
          <w:color w:val="auto"/>
          <w:sz w:val="32"/>
          <w:szCs w:val="32"/>
          <w:lang w:val="en-US" w:eastAsia="zh-CN"/>
        </w:rPr>
        <w:t>1248.86</w:t>
      </w:r>
      <w:r>
        <w:rPr>
          <w:rFonts w:hint="eastAsia" w:ascii="宋体" w:hAnsi="宋体" w:eastAsia="宋体" w:cs="宋体"/>
          <w:color w:val="auto"/>
          <w:sz w:val="32"/>
          <w:szCs w:val="32"/>
        </w:rPr>
        <w:t>万元，减少</w:t>
      </w:r>
      <w:r>
        <w:rPr>
          <w:rFonts w:hint="eastAsia" w:ascii="宋体" w:hAnsi="宋体" w:eastAsia="宋体" w:cs="宋体"/>
          <w:color w:val="auto"/>
          <w:sz w:val="32"/>
          <w:szCs w:val="32"/>
          <w:lang w:val="en-US" w:eastAsia="zh-CN"/>
        </w:rPr>
        <w:t>37.75</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sz w:val="32"/>
          <w:szCs w:val="32"/>
          <w:lang w:eastAsia="zh-CN"/>
        </w:rPr>
        <w:t>项目支出减少。</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1794.22</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1794.22</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2059.42</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1623.21</w:t>
      </w:r>
      <w:r>
        <w:rPr>
          <w:rFonts w:hint="eastAsia" w:ascii="宋体" w:hAnsi="宋体" w:eastAsia="宋体" w:cs="宋体"/>
          <w:sz w:val="32"/>
          <w:szCs w:val="32"/>
        </w:rPr>
        <w:t>万元，占</w:t>
      </w:r>
      <w:r>
        <w:rPr>
          <w:rFonts w:hint="eastAsia" w:ascii="宋体" w:hAnsi="宋体" w:eastAsia="宋体" w:cs="宋体"/>
          <w:sz w:val="32"/>
          <w:szCs w:val="32"/>
          <w:lang w:val="en-US" w:eastAsia="zh-CN"/>
        </w:rPr>
        <w:t>78.82</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436.21</w:t>
      </w:r>
      <w:r>
        <w:rPr>
          <w:rFonts w:hint="eastAsia" w:ascii="宋体" w:hAnsi="宋体" w:eastAsia="宋体" w:cs="宋体"/>
          <w:sz w:val="32"/>
          <w:szCs w:val="32"/>
        </w:rPr>
        <w:t>万元，占</w:t>
      </w:r>
      <w:r>
        <w:rPr>
          <w:rFonts w:hint="eastAsia" w:ascii="宋体" w:hAnsi="宋体" w:eastAsia="宋体" w:cs="宋体"/>
          <w:sz w:val="32"/>
          <w:szCs w:val="32"/>
          <w:lang w:val="en-US" w:eastAsia="zh-CN"/>
        </w:rPr>
        <w:t>21.28</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2059.42</w:t>
      </w:r>
      <w:r>
        <w:rPr>
          <w:rFonts w:hint="eastAsia" w:ascii="宋体" w:hAnsi="宋体" w:eastAsia="宋体" w:cs="宋体"/>
          <w:sz w:val="32"/>
          <w:szCs w:val="32"/>
        </w:rPr>
        <w:t>万元</w:t>
      </w:r>
      <w:r>
        <w:rPr>
          <w:rFonts w:hint="eastAsia" w:ascii="宋体" w:hAnsi="宋体" w:eastAsia="宋体" w:cs="宋体"/>
          <w:color w:val="auto"/>
          <w:sz w:val="32"/>
          <w:szCs w:val="32"/>
        </w:rPr>
        <w:t>，与上年相比，减少</w:t>
      </w:r>
      <w:r>
        <w:rPr>
          <w:rFonts w:hint="eastAsia" w:ascii="宋体" w:hAnsi="宋体" w:eastAsia="宋体" w:cs="宋体"/>
          <w:color w:val="auto"/>
          <w:sz w:val="32"/>
          <w:szCs w:val="32"/>
          <w:lang w:val="en-US" w:eastAsia="zh-CN"/>
        </w:rPr>
        <w:t>1248.86</w:t>
      </w:r>
      <w:r>
        <w:rPr>
          <w:rFonts w:hint="eastAsia" w:ascii="宋体" w:hAnsi="宋体" w:eastAsia="宋体" w:cs="宋体"/>
          <w:color w:val="auto"/>
          <w:sz w:val="32"/>
          <w:szCs w:val="32"/>
        </w:rPr>
        <w:t>万元</w:t>
      </w:r>
      <w:r>
        <w:rPr>
          <w:rFonts w:ascii="宋体" w:hAnsi="宋体" w:eastAsia="宋体" w:cs="宋体"/>
          <w:color w:val="auto"/>
          <w:sz w:val="32"/>
          <w:szCs w:val="32"/>
        </w:rPr>
        <w:t>,</w:t>
      </w:r>
      <w:r>
        <w:rPr>
          <w:rFonts w:hint="eastAsia" w:ascii="宋体" w:hAnsi="宋体" w:eastAsia="宋体" w:cs="宋体"/>
          <w:color w:val="auto"/>
          <w:sz w:val="32"/>
          <w:szCs w:val="32"/>
        </w:rPr>
        <w:t>减少</w:t>
      </w:r>
      <w:r>
        <w:rPr>
          <w:rFonts w:hint="eastAsia" w:ascii="宋体" w:hAnsi="宋体" w:eastAsia="宋体" w:cs="宋体"/>
          <w:color w:val="auto"/>
          <w:sz w:val="32"/>
          <w:szCs w:val="32"/>
          <w:lang w:val="en-US" w:eastAsia="zh-CN"/>
        </w:rPr>
        <w:t>37.75</w:t>
      </w:r>
      <w:r>
        <w:rPr>
          <w:rFonts w:ascii="宋体" w:hAnsi="宋体" w:eastAsia="宋体" w:cs="宋体"/>
          <w:color w:val="auto"/>
          <w:sz w:val="32"/>
          <w:szCs w:val="32"/>
        </w:rPr>
        <w:t>%</w:t>
      </w:r>
      <w:r>
        <w:rPr>
          <w:rFonts w:hint="eastAsia" w:ascii="宋体" w:hAnsi="宋体" w:eastAsia="宋体" w:cs="宋体"/>
          <w:color w:val="auto"/>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项目支出减少。</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2059.42</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rPr>
        <w:t>与上年相比，财政拨款支出减少</w:t>
      </w:r>
      <w:r>
        <w:rPr>
          <w:rFonts w:hint="eastAsia" w:ascii="宋体" w:hAnsi="宋体" w:eastAsia="宋体" w:cs="宋体"/>
          <w:color w:val="auto"/>
          <w:sz w:val="32"/>
          <w:szCs w:val="32"/>
          <w:lang w:val="en-US" w:eastAsia="zh-CN"/>
        </w:rPr>
        <w:t>983.67</w:t>
      </w:r>
      <w:r>
        <w:rPr>
          <w:rFonts w:hint="eastAsia" w:ascii="宋体" w:hAnsi="宋体" w:eastAsia="宋体" w:cs="宋体"/>
          <w:color w:val="auto"/>
          <w:sz w:val="32"/>
          <w:szCs w:val="32"/>
        </w:rPr>
        <w:t>万元，</w:t>
      </w:r>
      <w:r>
        <w:rPr>
          <w:rFonts w:hint="eastAsia" w:ascii="宋体" w:hAnsi="宋体" w:eastAsia="宋体" w:cs="宋体"/>
          <w:sz w:val="32"/>
          <w:szCs w:val="32"/>
        </w:rPr>
        <w:t>减少</w:t>
      </w:r>
      <w:r>
        <w:rPr>
          <w:rFonts w:hint="eastAsia" w:ascii="宋体" w:hAnsi="宋体" w:eastAsia="宋体" w:cs="宋体"/>
          <w:sz w:val="32"/>
          <w:szCs w:val="32"/>
          <w:lang w:val="en-US" w:eastAsia="zh-CN"/>
        </w:rPr>
        <w:t>32.32</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项目支出减少。</w:t>
      </w:r>
    </w:p>
    <w:p>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1"/>
        <w:ind w:firstLine="640" w:firstLineChars="200"/>
        <w:rPr>
          <w:rFonts w:hint="default" w:ascii="宋体" w:hAnsi="宋体" w:eastAsia="宋体" w:cs="宋体"/>
          <w:sz w:val="32"/>
          <w:szCs w:val="32"/>
          <w:lang w:val="en-US"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年度一般公共预算财政拨款支出</w:t>
      </w:r>
      <w:r>
        <w:rPr>
          <w:rFonts w:hint="eastAsia" w:ascii="宋体" w:hAnsi="宋体" w:eastAsia="宋体" w:cs="宋体"/>
          <w:sz w:val="32"/>
          <w:szCs w:val="32"/>
          <w:lang w:val="en-US" w:eastAsia="zh-CN"/>
        </w:rPr>
        <w:t>2059.42</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57.79</w:t>
      </w:r>
      <w:r>
        <w:rPr>
          <w:rFonts w:hint="eastAsia" w:ascii="宋体" w:hAnsi="宋体" w:eastAsia="宋体" w:cs="宋体"/>
          <w:sz w:val="32"/>
          <w:szCs w:val="32"/>
        </w:rPr>
        <w:t>万元，占</w:t>
      </w:r>
      <w:r>
        <w:rPr>
          <w:rFonts w:hint="eastAsia" w:ascii="宋体" w:hAnsi="宋体" w:eastAsia="宋体" w:cs="宋体"/>
          <w:sz w:val="32"/>
          <w:szCs w:val="32"/>
          <w:lang w:val="en-US" w:eastAsia="zh-CN"/>
        </w:rPr>
        <w:t>2.81</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社会保障和就业</w:t>
      </w:r>
      <w:r>
        <w:rPr>
          <w:rFonts w:hint="eastAsia" w:ascii="宋体" w:hAnsi="宋体" w:eastAsia="宋体" w:cs="宋体"/>
          <w:sz w:val="32"/>
          <w:szCs w:val="32"/>
        </w:rPr>
        <w:t>（类）支出</w:t>
      </w:r>
      <w:r>
        <w:rPr>
          <w:rFonts w:hint="eastAsia" w:ascii="宋体" w:hAnsi="宋体" w:eastAsia="宋体" w:cs="宋体"/>
          <w:sz w:val="32"/>
          <w:szCs w:val="32"/>
          <w:lang w:val="en-US" w:eastAsia="zh-CN"/>
        </w:rPr>
        <w:t>1963.97</w:t>
      </w:r>
      <w:r>
        <w:rPr>
          <w:rFonts w:hint="eastAsia" w:ascii="宋体" w:hAnsi="宋体" w:eastAsia="宋体" w:cs="宋体"/>
          <w:sz w:val="32"/>
          <w:szCs w:val="32"/>
        </w:rPr>
        <w:t>万元，占</w:t>
      </w:r>
      <w:r>
        <w:rPr>
          <w:rFonts w:hint="eastAsia" w:ascii="宋体" w:hAnsi="宋体" w:eastAsia="宋体" w:cs="宋体"/>
          <w:sz w:val="32"/>
          <w:szCs w:val="32"/>
          <w:lang w:val="en-US" w:eastAsia="zh-CN"/>
        </w:rPr>
        <w:t>95.37</w:t>
      </w:r>
      <w:r>
        <w:rPr>
          <w:rFonts w:ascii="宋体" w:hAnsi="宋体" w:eastAsia="宋体" w:cs="宋体"/>
          <w:sz w:val="32"/>
          <w:szCs w:val="32"/>
        </w:rPr>
        <w:t>%;</w:t>
      </w:r>
      <w:r>
        <w:rPr>
          <w:rFonts w:hint="eastAsia" w:ascii="宋体" w:hAnsi="宋体" w:eastAsia="宋体" w:cs="宋体"/>
          <w:sz w:val="32"/>
          <w:szCs w:val="32"/>
          <w:lang w:eastAsia="zh-CN"/>
        </w:rPr>
        <w:t>卫生健康（类）支出</w:t>
      </w:r>
      <w:r>
        <w:rPr>
          <w:rFonts w:hint="eastAsia" w:ascii="宋体" w:hAnsi="宋体" w:eastAsia="宋体" w:cs="宋体"/>
          <w:sz w:val="32"/>
          <w:szCs w:val="32"/>
          <w:lang w:val="en-US" w:eastAsia="zh-CN"/>
        </w:rPr>
        <w:t>30.48万元，占1.48%；资源勘探工业信息等（类）支出7.18万元，占0.34%。</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年度一般公共预算财政拨款支出年初预算数为</w:t>
      </w:r>
      <w:r>
        <w:rPr>
          <w:rFonts w:hint="eastAsia" w:ascii="宋体" w:hAnsi="宋体" w:eastAsia="宋体" w:cs="宋体"/>
          <w:sz w:val="32"/>
          <w:szCs w:val="32"/>
          <w:lang w:val="en-US" w:eastAsia="zh-CN"/>
        </w:rPr>
        <w:t>1385.4</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2059.42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148.65</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、一般公共服务（类）组织事务（款）其他组织事务支出（项）。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57.79</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：年中追加预算。</w:t>
      </w:r>
    </w:p>
    <w:p>
      <w:pPr>
        <w:pStyle w:val="11"/>
        <w:ind w:firstLine="800" w:firstLineChars="250"/>
        <w:rPr>
          <w:rFonts w:hint="eastAsia" w:ascii="宋体" w:hAnsi="宋体" w:eastAsia="宋体" w:cs="宋体"/>
          <w:sz w:val="32"/>
          <w:szCs w:val="32"/>
        </w:rPr>
      </w:pPr>
      <w:r>
        <w:rPr>
          <w:rFonts w:ascii="宋体" w:hAnsi="宋体" w:eastAsia="宋体" w:cs="宋体"/>
          <w:sz w:val="32"/>
          <w:szCs w:val="32"/>
        </w:rPr>
        <w:t>2</w:t>
      </w:r>
      <w:r>
        <w:rPr>
          <w:rFonts w:hint="eastAsia" w:ascii="宋体" w:hAnsi="宋体" w:eastAsia="宋体" w:cs="宋体"/>
          <w:sz w:val="32"/>
          <w:szCs w:val="32"/>
        </w:rPr>
        <w:t>、</w:t>
      </w: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行政运行（项）。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1330.6</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1349.04</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101.39</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一般行政管理事务政运行（项）。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199.89</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社会保障和就业支出（类）人力资源和社会保障管理事务（款）机关服务</w:t>
      </w:r>
      <w:r>
        <w:rPr>
          <w:rFonts w:hint="eastAsia" w:ascii="宋体" w:hAnsi="宋体" w:eastAsia="宋体" w:cs="宋体"/>
          <w:sz w:val="32"/>
          <w:szCs w:val="32"/>
        </w:rPr>
        <w:t>（项）。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54.8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58.12</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106.06</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：预算调整。</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社会保障和就业支出（类）人力资源和社会保障管理事务（款）综合业务管理</w:t>
      </w:r>
      <w:r>
        <w:rPr>
          <w:rFonts w:hint="eastAsia" w:ascii="宋体" w:hAnsi="宋体" w:eastAsia="宋体" w:cs="宋体"/>
          <w:sz w:val="32"/>
          <w:szCs w:val="32"/>
        </w:rPr>
        <w:t>（项）。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22.39</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：预算调整。</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劳动保障监察（项）。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29.37</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就业管理事务（项）。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28.22</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社会保险业务管理事务（项）。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120.28</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：预算调整。</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信息化建设（项）。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9.53</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社会保险经办机构（项）。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23.69</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劳动人事争议调解仲裁（项）</w:t>
      </w:r>
      <w:r>
        <w:rPr>
          <w:rFonts w:hint="eastAsia" w:ascii="宋体" w:hAnsi="宋体" w:eastAsia="宋体" w:cs="Times New Roman"/>
          <w:sz w:val="32"/>
          <w:szCs w:val="32"/>
          <w:lang w:val="en-US" w:eastAsia="zh-CN"/>
        </w:rPr>
        <w:t>。</w:t>
      </w:r>
    </w:p>
    <w:p>
      <w:pPr>
        <w:pStyle w:val="11"/>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年初预算为0万元，支出决算为9.92万元，决算数大于年初预算数的主要原因是：年中追加预算。</w:t>
      </w:r>
    </w:p>
    <w:p>
      <w:pPr>
        <w:pStyle w:val="11"/>
        <w:numPr>
          <w:ilvl w:val="0"/>
          <w:numId w:val="2"/>
        </w:numPr>
        <w:ind w:firstLine="800" w:firstLineChars="250"/>
        <w:rPr>
          <w:rFonts w:hint="eastAsia" w:ascii="宋体" w:hAnsi="宋体" w:eastAsia="宋体" w:cs="宋体"/>
          <w:sz w:val="32"/>
          <w:szCs w:val="32"/>
        </w:rPr>
      </w:pPr>
      <w:r>
        <w:rPr>
          <w:rFonts w:hint="eastAsia" w:ascii="宋体" w:hAnsi="宋体" w:eastAsia="宋体" w:cs="Times New Roman"/>
          <w:sz w:val="32"/>
          <w:szCs w:val="32"/>
          <w:lang w:val="en-US" w:eastAsia="zh-CN"/>
        </w:rPr>
        <w:t>社会保障和就业支出（类）人力资源和社会保障管理事务（款）</w:t>
      </w:r>
      <w:r>
        <w:rPr>
          <w:rFonts w:hint="eastAsia" w:ascii="宋体" w:hAnsi="宋体" w:eastAsia="宋体" w:cs="宋体"/>
          <w:sz w:val="32"/>
          <w:szCs w:val="32"/>
        </w:rPr>
        <w:t>其他人力资源和社会保障管理事务支出（项）。</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55.29</w:t>
      </w:r>
      <w:r>
        <w:rPr>
          <w:rFonts w:hint="eastAsia" w:ascii="宋体" w:hAnsi="宋体" w:eastAsia="宋体" w:cs="宋体"/>
          <w:sz w:val="32"/>
          <w:szCs w:val="32"/>
        </w:rPr>
        <w:t>万元，决算数</w:t>
      </w:r>
      <w:r>
        <w:rPr>
          <w:rFonts w:hint="eastAsia" w:ascii="宋体" w:hAnsi="宋体" w:eastAsia="宋体" w:cs="宋体"/>
          <w:sz w:val="32"/>
          <w:szCs w:val="32"/>
          <w:lang w:eastAsia="zh-CN"/>
        </w:rPr>
        <w:t>大于</w:t>
      </w:r>
      <w:r>
        <w:rPr>
          <w:rFonts w:hint="eastAsia" w:ascii="宋体" w:hAnsi="宋体" w:eastAsia="宋体" w:cs="宋体"/>
          <w:sz w:val="32"/>
          <w:szCs w:val="32"/>
        </w:rPr>
        <w:t>年初预算数的主要原因是</w:t>
      </w:r>
      <w:r>
        <w:rPr>
          <w:rFonts w:hint="eastAsia" w:ascii="宋体" w:hAnsi="宋体" w:eastAsia="宋体" w:cs="宋体"/>
          <w:sz w:val="32"/>
          <w:szCs w:val="32"/>
          <w:lang w:eastAsia="zh-CN"/>
        </w:rPr>
        <w:t>：年中追加预算。</w:t>
      </w:r>
    </w:p>
    <w:p>
      <w:pPr>
        <w:pStyle w:val="11"/>
        <w:numPr>
          <w:ilvl w:val="0"/>
          <w:numId w:val="2"/>
        </w:numPr>
        <w:ind w:firstLine="800" w:firstLineChars="25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社会保障和就业支出（类）抚恤（款）死亡抚恤（项）。</w:t>
      </w:r>
    </w:p>
    <w:p>
      <w:pPr>
        <w:pStyle w:val="11"/>
        <w:numPr>
          <w:ilvl w:val="0"/>
          <w:numId w:val="0"/>
        </w:numPr>
        <w:ind w:firstLine="640" w:firstLineChars="20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年初预算为0万元，支出决算为38.37万元，决算数大于年初预算数的主要原因是：年中追加预算。</w:t>
      </w:r>
    </w:p>
    <w:p>
      <w:pPr>
        <w:pStyle w:val="11"/>
        <w:numPr>
          <w:ilvl w:val="0"/>
          <w:numId w:val="2"/>
        </w:numPr>
        <w:ind w:firstLine="800" w:firstLineChars="25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社会保障和就业支出（类）财政对其他社会保险基金的补助（款）其他财政对社会保险基金的补助（项）。</w:t>
      </w:r>
    </w:p>
    <w:p>
      <w:pPr>
        <w:pStyle w:val="11"/>
        <w:numPr>
          <w:ilvl w:val="0"/>
          <w:numId w:val="0"/>
        </w:numPr>
        <w:ind w:firstLine="640" w:firstLineChars="20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年初预算为0万元，支出决算为19.86万元，决算数大于年初预算数的主要原因是：年中追加预算。</w:t>
      </w:r>
    </w:p>
    <w:p>
      <w:pPr>
        <w:pStyle w:val="11"/>
        <w:numPr>
          <w:ilvl w:val="0"/>
          <w:numId w:val="2"/>
        </w:numPr>
        <w:ind w:firstLine="800" w:firstLineChars="25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卫生健康支出（类）卫生健康管理事务（款）行政运行（项）。</w:t>
      </w:r>
    </w:p>
    <w:p>
      <w:pPr>
        <w:pStyle w:val="11"/>
        <w:numPr>
          <w:ilvl w:val="0"/>
          <w:numId w:val="0"/>
        </w:numPr>
        <w:ind w:firstLine="640" w:firstLineChars="20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年初预算为0万元，支出决算为30.48万元，决算数大于年初预算数的主要原因是：年中追加预算。</w:t>
      </w:r>
    </w:p>
    <w:p>
      <w:pPr>
        <w:pStyle w:val="11"/>
        <w:numPr>
          <w:ilvl w:val="0"/>
          <w:numId w:val="2"/>
        </w:numPr>
        <w:ind w:firstLine="800" w:firstLineChars="250"/>
        <w:rPr>
          <w:rFonts w:hint="eastAsia" w:ascii="宋体" w:hAnsi="宋体" w:eastAsia="宋体" w:cs="Times New Roman"/>
          <w:sz w:val="32"/>
          <w:szCs w:val="32"/>
          <w:lang w:val="en-US" w:eastAsia="zh-CN"/>
        </w:rPr>
      </w:pPr>
      <w:r>
        <w:rPr>
          <w:rFonts w:hint="eastAsia" w:ascii="宋体" w:hAnsi="宋体" w:eastAsia="宋体" w:cs="Times New Roman"/>
          <w:sz w:val="32"/>
          <w:szCs w:val="32"/>
          <w:lang w:val="en-US" w:eastAsia="zh-CN"/>
        </w:rPr>
        <w:t>资源勘探工业信息等支出（类）其他资源勘探工业信息等支出（款）其他资源勘探工业信息等支出（项）。</w:t>
      </w:r>
    </w:p>
    <w:p>
      <w:pPr>
        <w:pStyle w:val="11"/>
        <w:numPr>
          <w:ilvl w:val="0"/>
          <w:numId w:val="0"/>
        </w:numPr>
        <w:ind w:firstLine="640" w:firstLineChars="200"/>
        <w:rPr>
          <w:rFonts w:hint="default" w:ascii="宋体" w:hAnsi="宋体" w:eastAsia="宋体" w:cs="Times New Roman"/>
          <w:sz w:val="32"/>
          <w:szCs w:val="32"/>
          <w:lang w:val="en-US" w:eastAsia="zh-CN"/>
        </w:rPr>
      </w:pPr>
      <w:r>
        <w:rPr>
          <w:rFonts w:hint="eastAsia" w:ascii="宋体" w:hAnsi="宋体" w:eastAsia="宋体" w:cs="Times New Roman"/>
          <w:sz w:val="32"/>
          <w:szCs w:val="32"/>
          <w:lang w:val="en-US" w:eastAsia="zh-CN"/>
        </w:rPr>
        <w:t>年初预算为0万元，支出决算为7.18万元，决算数大于年初预算数的主要原因是：年中追加预算。</w:t>
      </w:r>
    </w:p>
    <w:p>
      <w:pPr>
        <w:pStyle w:val="11"/>
        <w:tabs>
          <w:tab w:val="left" w:pos="724"/>
        </w:tabs>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年度一般公共预算财政拨款基本支出</w:t>
      </w:r>
      <w:r>
        <w:rPr>
          <w:rFonts w:hint="eastAsia" w:ascii="宋体" w:hAnsi="宋体" w:eastAsia="宋体" w:cs="宋体"/>
          <w:sz w:val="32"/>
          <w:szCs w:val="32"/>
          <w:lang w:val="en-US" w:eastAsia="zh-CN"/>
        </w:rPr>
        <w:t>1623.21</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1204.51</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74.21</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w:t>
      </w:r>
      <w:r>
        <w:rPr>
          <w:rFonts w:hint="eastAsia" w:ascii="宋体" w:hAnsi="宋体" w:eastAsia="宋体" w:cs="宋体"/>
          <w:sz w:val="32"/>
          <w:szCs w:val="32"/>
          <w:lang w:eastAsia="zh-CN"/>
        </w:rPr>
        <w:t>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418.7</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25.79</w:t>
      </w:r>
      <w:r>
        <w:rPr>
          <w:rFonts w:ascii="宋体" w:hAnsi="宋体" w:eastAsia="宋体" w:cs="宋体"/>
          <w:sz w:val="32"/>
          <w:szCs w:val="32"/>
        </w:rPr>
        <w:t>%</w:t>
      </w:r>
      <w:r>
        <w:rPr>
          <w:rFonts w:hint="eastAsia" w:ascii="宋体" w:hAnsi="宋体" w:eastAsia="宋体" w:cs="宋体"/>
          <w:sz w:val="32"/>
          <w:szCs w:val="32"/>
        </w:rPr>
        <w:t>，主要包括办公费、印刷费、咨询费、手续费</w:t>
      </w:r>
      <w:r>
        <w:rPr>
          <w:rFonts w:hint="eastAsia" w:ascii="宋体" w:hAnsi="宋体" w:eastAsia="宋体" w:cs="宋体"/>
          <w:sz w:val="32"/>
          <w:szCs w:val="32"/>
          <w:lang w:eastAsia="zh-CN"/>
        </w:rPr>
        <w:t>等</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15.3</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6.34</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41.44</w:t>
      </w:r>
      <w:r>
        <w:rPr>
          <w:rFonts w:ascii="宋体" w:hAnsi="宋体" w:eastAsia="宋体" w:cs="宋体"/>
          <w:sz w:val="32"/>
          <w:szCs w:val="32"/>
        </w:rPr>
        <w:t>%</w:t>
      </w:r>
      <w:r>
        <w:rPr>
          <w:rFonts w:hint="eastAsia" w:ascii="宋体" w:hAnsi="宋体" w:eastAsia="宋体" w:cs="宋体"/>
          <w:sz w:val="32"/>
          <w:szCs w:val="32"/>
        </w:rPr>
        <w:t>，其中：</w:t>
      </w:r>
    </w:p>
    <w:p>
      <w:pPr>
        <w:ind w:firstLine="800" w:firstLineChars="250"/>
        <w:jc w:val="left"/>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1</w:t>
      </w:r>
      <w:r>
        <w:rPr>
          <w:rFonts w:hint="eastAsia" w:ascii="宋体" w:hAnsi="宋体" w:cs="宋体"/>
          <w:sz w:val="32"/>
          <w:szCs w:val="32"/>
          <w:lang w:val="en-US" w:eastAsia="zh-CN"/>
        </w:rPr>
        <w:t>0.5</w:t>
      </w:r>
      <w:r>
        <w:rPr>
          <w:rFonts w:hint="eastAsia" w:ascii="宋体" w:hAnsi="宋体" w:eastAsia="宋体" w:cs="宋体"/>
          <w:sz w:val="32"/>
          <w:szCs w:val="32"/>
        </w:rPr>
        <w:t>万元，支出决算为</w:t>
      </w:r>
      <w:r>
        <w:rPr>
          <w:rFonts w:hint="eastAsia" w:ascii="宋体" w:hAnsi="宋体" w:cs="宋体"/>
          <w:sz w:val="32"/>
          <w:szCs w:val="32"/>
          <w:lang w:val="en-US" w:eastAsia="zh-CN"/>
        </w:rPr>
        <w:t>3.18</w:t>
      </w:r>
      <w:r>
        <w:rPr>
          <w:rFonts w:hint="eastAsia" w:ascii="宋体" w:hAnsi="宋体" w:eastAsia="宋体" w:cs="宋体"/>
          <w:sz w:val="32"/>
          <w:szCs w:val="32"/>
        </w:rPr>
        <w:t>万元，完成预算的</w:t>
      </w:r>
      <w:r>
        <w:rPr>
          <w:rFonts w:hint="eastAsia" w:ascii="宋体" w:hAnsi="宋体" w:cs="宋体"/>
          <w:sz w:val="32"/>
          <w:szCs w:val="32"/>
          <w:lang w:val="en-US" w:eastAsia="zh-CN"/>
        </w:rPr>
        <w:t>30.29</w:t>
      </w:r>
      <w:r>
        <w:rPr>
          <w:rFonts w:ascii="宋体" w:hAnsi="宋体" w:eastAsia="宋体" w:cs="宋体"/>
          <w:sz w:val="32"/>
          <w:szCs w:val="32"/>
        </w:rPr>
        <w:t>%</w:t>
      </w:r>
      <w:r>
        <w:rPr>
          <w:rFonts w:hint="eastAsia" w:ascii="宋体" w:hAnsi="宋体" w:eastAsia="宋体" w:cs="宋体"/>
          <w:sz w:val="32"/>
          <w:szCs w:val="32"/>
        </w:rPr>
        <w:t>，决算数小于预算数的主要原因是</w:t>
      </w:r>
      <w:r>
        <w:rPr>
          <w:rFonts w:hint="eastAsia" w:ascii="宋体" w:hAnsi="宋体" w:eastAsia="宋体" w:cs="宋体"/>
          <w:sz w:val="32"/>
          <w:szCs w:val="32"/>
          <w:lang w:eastAsia="zh-CN"/>
        </w:rPr>
        <w:t>加强财务管理，建立并履行内部审批制度，切实转变作风，努力从源头和过程上制止各种铺张浪费行为的发生</w:t>
      </w:r>
      <w:r>
        <w:rPr>
          <w:rFonts w:hint="eastAsia" w:ascii="宋体" w:hAnsi="宋体" w:eastAsia="宋体" w:cs="宋体"/>
          <w:color w:val="auto"/>
          <w:sz w:val="32"/>
          <w:szCs w:val="32"/>
          <w:lang w:eastAsia="zh-CN"/>
        </w:rPr>
        <w:t>。与上年相比减少</w:t>
      </w:r>
      <w:r>
        <w:rPr>
          <w:rFonts w:hint="eastAsia" w:ascii="宋体" w:hAnsi="宋体" w:cs="宋体"/>
          <w:color w:val="auto"/>
          <w:sz w:val="32"/>
          <w:szCs w:val="32"/>
          <w:lang w:val="en-US" w:eastAsia="zh-CN"/>
        </w:rPr>
        <w:t>0.45</w:t>
      </w:r>
      <w:r>
        <w:rPr>
          <w:rFonts w:hint="eastAsia" w:ascii="宋体" w:hAnsi="宋体" w:eastAsia="宋体" w:cs="宋体"/>
          <w:color w:val="auto"/>
          <w:sz w:val="32"/>
          <w:szCs w:val="32"/>
          <w:lang w:eastAsia="zh-CN"/>
        </w:rPr>
        <w:t>万元，减少</w:t>
      </w:r>
      <w:r>
        <w:rPr>
          <w:rFonts w:hint="eastAsia" w:ascii="宋体" w:hAnsi="宋体" w:cs="宋体"/>
          <w:color w:val="auto"/>
          <w:sz w:val="32"/>
          <w:szCs w:val="32"/>
          <w:lang w:val="en-US" w:eastAsia="zh-CN"/>
        </w:rPr>
        <w:t>12.40</w:t>
      </w:r>
      <w:r>
        <w:rPr>
          <w:rFonts w:hint="eastAsia" w:ascii="宋体" w:hAnsi="宋体" w:eastAsia="宋体" w:cs="宋体"/>
          <w:color w:val="auto"/>
          <w:sz w:val="32"/>
          <w:szCs w:val="32"/>
          <w:lang w:eastAsia="zh-CN"/>
        </w:rPr>
        <w:t>%,减少的主要原因是</w:t>
      </w:r>
      <w:r>
        <w:rPr>
          <w:rFonts w:hint="eastAsia" w:ascii="宋体" w:hAnsi="宋体" w:eastAsia="宋体" w:cs="宋体"/>
          <w:color w:val="auto"/>
          <w:sz w:val="32"/>
          <w:szCs w:val="32"/>
          <w:lang w:val="en-US" w:eastAsia="zh-CN"/>
        </w:rPr>
        <w:t>严</w:t>
      </w:r>
      <w:r>
        <w:rPr>
          <w:rFonts w:hint="eastAsia" w:ascii="宋体" w:hAnsi="宋体" w:eastAsia="宋体" w:cs="宋体"/>
          <w:sz w:val="32"/>
          <w:szCs w:val="32"/>
          <w:lang w:val="en-US" w:eastAsia="zh-CN"/>
        </w:rPr>
        <w:t>格落实中央八项规定</w:t>
      </w:r>
      <w:r>
        <w:rPr>
          <w:rFonts w:hint="eastAsia" w:ascii="宋体" w:hAnsi="宋体" w:eastAsia="宋体" w:cs="宋体"/>
          <w:sz w:val="32"/>
          <w:szCs w:val="32"/>
          <w:lang w:eastAsia="zh-CN"/>
        </w:rPr>
        <w:t>。</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4.8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3.16</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65.83</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rPr>
        <w:t>决算数小于预算数的主要原因是</w:t>
      </w:r>
      <w:r>
        <w:rPr>
          <w:rFonts w:hint="eastAsia" w:ascii="宋体" w:hAnsi="宋体" w:eastAsia="宋体" w:cs="宋体"/>
          <w:color w:val="auto"/>
          <w:sz w:val="32"/>
          <w:szCs w:val="32"/>
          <w:lang w:val="en-US" w:eastAsia="zh-CN"/>
        </w:rPr>
        <w:t>严格落实公车改革政策</w:t>
      </w:r>
      <w:r>
        <w:rPr>
          <w:rFonts w:hint="eastAsia" w:ascii="宋体" w:hAnsi="宋体" w:eastAsia="宋体" w:cs="宋体"/>
          <w:color w:val="auto"/>
          <w:sz w:val="32"/>
          <w:szCs w:val="32"/>
        </w:rPr>
        <w:t>，与上年相比</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1.63</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106.48</w:t>
      </w:r>
      <w:r>
        <w:rPr>
          <w:rFonts w:ascii="宋体" w:hAnsi="宋体" w:eastAsia="宋体" w:cs="宋体"/>
          <w:color w:val="auto"/>
          <w:sz w:val="32"/>
          <w:szCs w:val="32"/>
        </w:rPr>
        <w:t>%,</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rPr>
        <w:t>的主要原因是</w:t>
      </w:r>
      <w:r>
        <w:rPr>
          <w:rFonts w:hint="eastAsia" w:ascii="宋体" w:hAnsi="宋体" w:eastAsia="宋体" w:cs="宋体"/>
          <w:color w:val="auto"/>
          <w:sz w:val="32"/>
          <w:szCs w:val="32"/>
          <w:lang w:val="en-US" w:eastAsia="zh-CN"/>
        </w:rPr>
        <w:t>车辆老旧，维修维护费相应提高</w:t>
      </w:r>
      <w:r>
        <w:rPr>
          <w:rFonts w:hint="eastAsia" w:ascii="宋体" w:hAnsi="宋体" w:eastAsia="宋体" w:cs="宋体"/>
          <w:sz w:val="32"/>
          <w:szCs w:val="32"/>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3.18</w:t>
      </w:r>
      <w:r>
        <w:rPr>
          <w:rFonts w:hint="eastAsia" w:ascii="宋体" w:hAnsi="宋体" w:eastAsia="宋体" w:cs="宋体"/>
          <w:sz w:val="32"/>
          <w:szCs w:val="32"/>
        </w:rPr>
        <w:t>万元，占</w:t>
      </w:r>
      <w:r>
        <w:rPr>
          <w:rFonts w:hint="eastAsia" w:ascii="宋体" w:hAnsi="宋体" w:eastAsia="宋体" w:cs="宋体"/>
          <w:sz w:val="32"/>
          <w:szCs w:val="32"/>
          <w:lang w:val="en-US" w:eastAsia="zh-CN"/>
        </w:rPr>
        <w:t>50.16</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3.16</w:t>
      </w:r>
      <w:r>
        <w:rPr>
          <w:rFonts w:hint="eastAsia" w:ascii="宋体" w:hAnsi="宋体" w:eastAsia="宋体" w:cs="宋体"/>
          <w:sz w:val="32"/>
          <w:szCs w:val="32"/>
        </w:rPr>
        <w:t>万元，占</w:t>
      </w:r>
      <w:r>
        <w:rPr>
          <w:rFonts w:hint="eastAsia" w:ascii="宋体" w:hAnsi="宋体" w:eastAsia="宋体" w:cs="宋体"/>
          <w:sz w:val="32"/>
          <w:szCs w:val="32"/>
          <w:lang w:val="en-US" w:eastAsia="zh-CN"/>
        </w:rPr>
        <w:t>49.84</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p>
    <w:p>
      <w:pPr>
        <w:pStyle w:val="11"/>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3.18</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78</w:t>
      </w:r>
      <w:r>
        <w:rPr>
          <w:rFonts w:hint="eastAsia" w:ascii="宋体" w:hAnsi="宋体" w:eastAsia="宋体" w:cs="宋体"/>
          <w:sz w:val="32"/>
          <w:szCs w:val="32"/>
        </w:rPr>
        <w:t>个、来宾</w:t>
      </w:r>
      <w:r>
        <w:rPr>
          <w:rFonts w:hint="eastAsia" w:ascii="宋体" w:hAnsi="宋体" w:eastAsia="宋体" w:cs="宋体"/>
          <w:sz w:val="32"/>
          <w:szCs w:val="32"/>
          <w:lang w:val="en-US" w:eastAsia="zh-CN"/>
        </w:rPr>
        <w:t>780</w:t>
      </w:r>
      <w:r>
        <w:rPr>
          <w:rFonts w:hint="eastAsia" w:ascii="宋体" w:hAnsi="宋体" w:eastAsia="宋体" w:cs="宋体"/>
          <w:sz w:val="32"/>
          <w:szCs w:val="32"/>
        </w:rPr>
        <w:t>人次，主要是</w:t>
      </w:r>
      <w:r>
        <w:rPr>
          <w:rFonts w:hint="eastAsia" w:ascii="宋体" w:hAnsi="宋体" w:eastAsia="宋体" w:cs="宋体"/>
          <w:sz w:val="32"/>
          <w:szCs w:val="32"/>
          <w:lang w:eastAsia="zh-CN"/>
        </w:rPr>
        <w:t>各项检查</w:t>
      </w:r>
      <w:r>
        <w:rPr>
          <w:rFonts w:hint="eastAsia" w:ascii="宋体" w:hAnsi="宋体" w:eastAsia="宋体" w:cs="宋体"/>
          <w:sz w:val="32"/>
          <w:szCs w:val="32"/>
        </w:rPr>
        <w:t>发生的接待支出。</w:t>
      </w:r>
    </w:p>
    <w:p>
      <w:pPr>
        <w:ind w:firstLine="640" w:firstLineChars="200"/>
        <w:rPr>
          <w:rFonts w:hint="eastAsia" w:ascii="宋体" w:eastAsia="宋体" w:cs="Times New Roman"/>
          <w:color w:val="000000"/>
          <w:kern w:val="0"/>
          <w:sz w:val="32"/>
          <w:szCs w:val="32"/>
          <w:lang w:val="en-US" w:eastAsia="zh-CN"/>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3.16</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sz w:val="32"/>
          <w:szCs w:val="32"/>
          <w:lang w:val="en-US" w:eastAsia="zh-CN"/>
        </w:rPr>
        <w:t>,</w:t>
      </w:r>
      <w:r>
        <w:rPr>
          <w:rFonts w:hint="eastAsia" w:ascii="宋体" w:hAnsi="宋体" w:eastAsia="宋体" w:cs="宋体"/>
          <w:sz w:val="32"/>
          <w:szCs w:val="32"/>
          <w:lang w:val="en-US" w:eastAsia="zh-CN"/>
        </w:rPr>
        <w:t>更新公务用车0辆</w:t>
      </w:r>
      <w:r>
        <w:rPr>
          <w:rFonts w:hint="eastAsia" w:ascii="仿宋_GB2312" w:hAnsi="仿宋" w:eastAsia="仿宋_GB2312" w:cstheme="minorBidi"/>
          <w:color w:val="auto"/>
          <w:kern w:val="0"/>
          <w:sz w:val="32"/>
          <w:szCs w:val="32"/>
          <w:shd w:val="clear" w:color="auto" w:fill="FFFFFF"/>
          <w:lang w:val="en-US" w:eastAsia="zh-CN" w:bidi="ar"/>
        </w:rPr>
        <w:t>,</w:t>
      </w:r>
      <w:r>
        <w:rPr>
          <w:rFonts w:hint="eastAsia" w:ascii="宋体" w:hAnsi="宋体" w:cs="宋体"/>
          <w:sz w:val="32"/>
          <w:szCs w:val="32"/>
        </w:rPr>
        <w:t>公务用车运行维护费</w:t>
      </w:r>
      <w:r>
        <w:rPr>
          <w:rFonts w:hint="eastAsia" w:ascii="宋体" w:hAnsi="宋体" w:cs="宋体"/>
          <w:sz w:val="32"/>
          <w:szCs w:val="32"/>
          <w:lang w:val="en-US" w:eastAsia="zh-CN"/>
        </w:rPr>
        <w:t>3.16</w:t>
      </w:r>
      <w:r>
        <w:rPr>
          <w:rFonts w:hint="eastAsia" w:ascii="宋体" w:hAnsi="宋体" w:cs="宋体"/>
          <w:sz w:val="32"/>
          <w:szCs w:val="32"/>
        </w:rPr>
        <w:t>万元，主要是公务车</w:t>
      </w:r>
      <w:r>
        <w:rPr>
          <w:rFonts w:hint="eastAsia" w:ascii="宋体" w:hAnsi="宋体" w:cs="宋体"/>
          <w:sz w:val="32"/>
          <w:szCs w:val="32"/>
          <w:lang w:eastAsia="zh-CN"/>
        </w:rPr>
        <w:t>维修、燃油费、保险费</w:t>
      </w:r>
      <w:r>
        <w:rPr>
          <w:rFonts w:hint="eastAsia" w:ascii="宋体" w:hAnsi="宋体" w:cs="宋体"/>
          <w:sz w:val="32"/>
          <w:szCs w:val="32"/>
        </w:rPr>
        <w:t>支出，截止</w:t>
      </w:r>
      <w:r>
        <w:rPr>
          <w:rFonts w:ascii="宋体" w:hAnsi="宋体" w:cs="宋体"/>
          <w:sz w:val="32"/>
          <w:szCs w:val="32"/>
        </w:rPr>
        <w:t>202</w:t>
      </w:r>
      <w:r>
        <w:rPr>
          <w:rFonts w:hint="eastAsia" w:ascii="宋体" w:hAnsi="宋体" w:cs="宋体"/>
          <w:sz w:val="32"/>
          <w:szCs w:val="32"/>
          <w:lang w:val="en-US" w:eastAsia="zh-CN"/>
        </w:rPr>
        <w:t>1</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1</w:t>
      </w:r>
      <w:r>
        <w:rPr>
          <w:rFonts w:hint="eastAsia" w:ascii="宋体" w:hAnsi="宋体" w:cs="宋体"/>
          <w:sz w:val="32"/>
          <w:szCs w:val="32"/>
        </w:rPr>
        <w:t>辆</w:t>
      </w:r>
      <w:r>
        <w:rPr>
          <w:rFonts w:hint="eastAsia" w:ascii="宋体" w:hAnsi="宋体" w:cs="宋体"/>
          <w:sz w:val="32"/>
          <w:szCs w:val="32"/>
          <w:lang w:val="en-US" w:eastAsia="zh-CN"/>
        </w:rPr>
        <w:t>。</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rPr>
          <w:rFonts w:hint="eastAsia" w:ascii="宋体" w:hAnsi="宋体" w:eastAsia="宋体" w:cs="宋体"/>
          <w:sz w:val="32"/>
          <w:szCs w:val="32"/>
          <w:lang w:eastAsia="zh-CN"/>
        </w:rPr>
      </w:pPr>
      <w:r>
        <w:rPr>
          <w:rFonts w:ascii="宋体" w:hAnsi="宋体" w:eastAsia="宋体" w:cs="宋体"/>
          <w:sz w:val="32"/>
          <w:szCs w:val="32"/>
        </w:rPr>
        <w:t xml:space="preserve">     </w:t>
      </w:r>
      <w:r>
        <w:rPr>
          <w:rFonts w:hint="eastAsia" w:ascii="宋体" w:hAnsi="宋体" w:eastAsia="宋体" w:cs="宋体"/>
          <w:sz w:val="32"/>
          <w:szCs w:val="32"/>
        </w:rPr>
        <w:t>本单位无政府性基金收支</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lang w:eastAsia="zh-CN"/>
        </w:rPr>
        <w:t>九</w:t>
      </w:r>
      <w:r>
        <w:rPr>
          <w:rFonts w:hint="eastAsia" w:hAnsi="黑体"/>
          <w:b/>
          <w:bCs/>
          <w:sz w:val="32"/>
          <w:szCs w:val="32"/>
        </w:rPr>
        <w:t>、</w:t>
      </w:r>
      <w:r>
        <w:rPr>
          <w:rFonts w:hint="eastAsia" w:hAnsi="黑体"/>
          <w:b/>
          <w:bCs/>
          <w:sz w:val="32"/>
          <w:szCs w:val="32"/>
          <w:lang w:val="en-US" w:eastAsia="zh-CN"/>
        </w:rPr>
        <w:t>国有资本经营预算财政拨款收入支出决算情况</w:t>
      </w:r>
    </w:p>
    <w:p>
      <w:pPr>
        <w:pStyle w:val="11"/>
        <w:rPr>
          <w:rFonts w:hint="eastAsia" w:ascii="宋体" w:hAnsi="宋体" w:eastAsia="宋体" w:cs="宋体"/>
          <w:sz w:val="32"/>
          <w:szCs w:val="32"/>
          <w:lang w:eastAsia="zh-CN"/>
        </w:rPr>
      </w:pPr>
      <w:r>
        <w:rPr>
          <w:rFonts w:ascii="宋体" w:hAnsi="宋体" w:eastAsia="宋体" w:cs="宋体"/>
          <w:sz w:val="32"/>
          <w:szCs w:val="32"/>
        </w:rPr>
        <w:t xml:space="preserve"> </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本单位无</w:t>
      </w:r>
      <w:r>
        <w:rPr>
          <w:rFonts w:hint="eastAsia" w:ascii="宋体" w:hAnsi="宋体" w:eastAsia="宋体" w:cs="宋体"/>
          <w:sz w:val="32"/>
          <w:szCs w:val="32"/>
          <w:lang w:eastAsia="zh-CN"/>
        </w:rPr>
        <w:t>国有资本经营</w:t>
      </w:r>
      <w:r>
        <w:rPr>
          <w:rFonts w:hint="eastAsia" w:ascii="宋体" w:hAnsi="宋体" w:eastAsia="宋体" w:cs="宋体"/>
          <w:sz w:val="32"/>
          <w:szCs w:val="32"/>
          <w:lang w:val="en-US" w:eastAsia="zh-CN"/>
        </w:rPr>
        <w:t>预算财政拨款</w:t>
      </w:r>
      <w:r>
        <w:rPr>
          <w:rFonts w:hint="eastAsia" w:ascii="宋体" w:hAnsi="宋体" w:eastAsia="宋体" w:cs="宋体"/>
          <w:sz w:val="32"/>
          <w:szCs w:val="32"/>
        </w:rPr>
        <w:t>收支</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rPr>
        <w:t>十、关于机关运行经费支出说明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418.7</w:t>
      </w:r>
      <w:r>
        <w:rPr>
          <w:rFonts w:hint="eastAsia" w:ascii="宋体" w:hAnsi="宋体" w:eastAsia="宋体" w:cs="宋体"/>
          <w:sz w:val="32"/>
          <w:szCs w:val="32"/>
        </w:rPr>
        <w:t>万元，</w:t>
      </w:r>
      <w:r>
        <w:rPr>
          <w:rFonts w:hint="eastAsia" w:ascii="宋体" w:hAnsi="宋体" w:eastAsia="宋体" w:cs="宋体"/>
          <w:color w:val="auto"/>
          <w:sz w:val="32"/>
          <w:szCs w:val="32"/>
        </w:rPr>
        <w:t>比上年决算数</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105.23</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33.57</w:t>
      </w:r>
      <w:r>
        <w:rPr>
          <w:rFonts w:ascii="宋体" w:hAnsi="宋体" w:eastAsia="宋体" w:cs="宋体"/>
          <w:color w:val="auto"/>
          <w:sz w:val="32"/>
          <w:szCs w:val="32"/>
        </w:rPr>
        <w:t>%</w:t>
      </w:r>
      <w:r>
        <w:rPr>
          <w:rFonts w:hint="eastAsia" w:ascii="宋体" w:hAnsi="宋体" w:eastAsia="宋体" w:cs="宋体"/>
          <w:color w:val="auto"/>
          <w:sz w:val="32"/>
          <w:szCs w:val="32"/>
        </w:rPr>
        <w:t>。主要原因是：</w:t>
      </w:r>
      <w:r>
        <w:rPr>
          <w:rFonts w:hint="eastAsia" w:ascii="宋体" w:hAnsi="宋体" w:eastAsia="宋体" w:cs="宋体"/>
          <w:color w:val="auto"/>
          <w:sz w:val="32"/>
          <w:szCs w:val="32"/>
          <w:lang w:eastAsia="zh-CN"/>
        </w:rPr>
        <w:t>2020年疫情导致机关运行经费较低，</w:t>
      </w:r>
      <w:r>
        <w:rPr>
          <w:rFonts w:hint="eastAsia" w:ascii="宋体" w:hAnsi="宋体" w:eastAsia="宋体" w:cs="宋体"/>
          <w:color w:val="auto"/>
          <w:sz w:val="32"/>
          <w:szCs w:val="32"/>
          <w:lang w:val="en-US" w:eastAsia="zh-CN"/>
        </w:rPr>
        <w:t>20</w:t>
      </w:r>
      <w:r>
        <w:rPr>
          <w:rFonts w:hint="eastAsia" w:ascii="宋体" w:hAnsi="宋体" w:eastAsia="宋体" w:cs="宋体"/>
          <w:color w:val="auto"/>
          <w:sz w:val="32"/>
          <w:szCs w:val="32"/>
          <w:lang w:eastAsia="zh-CN"/>
        </w:rPr>
        <w:t>21年疫情影响降低，支出增多。</w:t>
      </w:r>
    </w:p>
    <w:p>
      <w:pPr>
        <w:pStyle w:val="11"/>
        <w:rPr>
          <w:rFonts w:hAnsi="黑体" w:cs="Times New Roman"/>
          <w:b/>
          <w:bCs/>
          <w:sz w:val="32"/>
          <w:szCs w:val="32"/>
        </w:rPr>
      </w:pPr>
      <w:r>
        <w:rPr>
          <w:rFonts w:hint="eastAsia" w:hAnsi="黑体"/>
          <w:b/>
          <w:bCs/>
          <w:sz w:val="32"/>
          <w:szCs w:val="32"/>
        </w:rPr>
        <w:t>十一、一般性支出情况</w:t>
      </w:r>
    </w:p>
    <w:p>
      <w:pPr>
        <w:widowControl/>
        <w:spacing w:line="600" w:lineRule="exact"/>
        <w:ind w:firstLine="660"/>
        <w:rPr>
          <w:rFonts w:hint="eastAsia" w:ascii="宋体" w:hAnsi="宋体" w:eastAsia="宋体" w:cs="宋体"/>
          <w:sz w:val="32"/>
          <w:szCs w:val="32"/>
          <w:lang w:val="en-US" w:eastAsia="zh-CN"/>
        </w:rPr>
      </w:pPr>
      <w:r>
        <w:rPr>
          <w:rFonts w:ascii="宋体" w:hAnsi="宋体" w:eastAsia="宋体" w:cs="宋体"/>
          <w:sz w:val="32"/>
          <w:szCs w:val="32"/>
        </w:rPr>
        <w:t>202</w:t>
      </w:r>
      <w:r>
        <w:rPr>
          <w:rFonts w:hint="eastAsia" w:ascii="宋体" w:hAnsi="宋体" w:cs="宋体"/>
          <w:sz w:val="32"/>
          <w:szCs w:val="32"/>
          <w:lang w:val="en-US" w:eastAsia="zh-CN"/>
        </w:rPr>
        <w:t>1</w:t>
      </w:r>
      <w:r>
        <w:rPr>
          <w:rFonts w:hint="eastAsia" w:ascii="宋体" w:hAnsi="宋体" w:eastAsia="宋体" w:cs="宋体"/>
          <w:sz w:val="32"/>
          <w:szCs w:val="32"/>
        </w:rPr>
        <w:t>年本部门开支会议费</w:t>
      </w:r>
      <w:r>
        <w:rPr>
          <w:rFonts w:hint="eastAsia" w:ascii="宋体" w:hAnsi="宋体" w:cs="宋体"/>
          <w:sz w:val="32"/>
          <w:szCs w:val="32"/>
          <w:lang w:val="en-US" w:eastAsia="zh-CN"/>
        </w:rPr>
        <w:t>2.86</w:t>
      </w:r>
      <w:r>
        <w:rPr>
          <w:rFonts w:hint="eastAsia" w:ascii="宋体" w:hAnsi="宋体" w:eastAsia="宋体" w:cs="宋体"/>
          <w:sz w:val="32"/>
          <w:szCs w:val="32"/>
        </w:rPr>
        <w:t>万元，用于召开</w:t>
      </w:r>
      <w:r>
        <w:rPr>
          <w:rFonts w:hint="eastAsia" w:ascii="宋体" w:hAnsi="宋体" w:eastAsia="宋体" w:cs="宋体"/>
          <w:sz w:val="32"/>
          <w:szCs w:val="32"/>
          <w:lang w:eastAsia="zh-CN"/>
        </w:rPr>
        <w:t>全县社会养老保险工作会议</w:t>
      </w:r>
      <w:r>
        <w:rPr>
          <w:rFonts w:hint="eastAsia" w:ascii="宋体" w:hAnsi="宋体" w:eastAsia="宋体" w:cs="宋体"/>
          <w:sz w:val="32"/>
          <w:szCs w:val="32"/>
        </w:rPr>
        <w:t>，</w:t>
      </w:r>
      <w:r>
        <w:rPr>
          <w:rFonts w:hint="eastAsia" w:ascii="宋体" w:hAnsi="宋体" w:eastAsia="宋体" w:cs="宋体"/>
          <w:sz w:val="32"/>
          <w:szCs w:val="32"/>
          <w:lang w:eastAsia="zh-CN"/>
        </w:rPr>
        <w:t>参会</w:t>
      </w:r>
      <w:r>
        <w:rPr>
          <w:rFonts w:hint="eastAsia" w:ascii="宋体" w:hAnsi="宋体" w:eastAsia="宋体" w:cs="宋体"/>
          <w:sz w:val="32"/>
          <w:szCs w:val="32"/>
        </w:rPr>
        <w:t>人数</w:t>
      </w:r>
      <w:r>
        <w:rPr>
          <w:rFonts w:hint="eastAsia" w:ascii="宋体" w:hAnsi="宋体" w:eastAsia="宋体" w:cs="宋体"/>
          <w:sz w:val="32"/>
          <w:szCs w:val="32"/>
          <w:lang w:val="en-US" w:eastAsia="zh-CN"/>
        </w:rPr>
        <w:t>120</w:t>
      </w:r>
      <w:r>
        <w:rPr>
          <w:rFonts w:hint="eastAsia" w:ascii="宋体" w:hAnsi="宋体" w:eastAsia="宋体" w:cs="宋体"/>
          <w:sz w:val="32"/>
          <w:szCs w:val="32"/>
        </w:rPr>
        <w:t>人，内容为</w:t>
      </w:r>
      <w:r>
        <w:rPr>
          <w:rFonts w:hint="eastAsia" w:ascii="宋体" w:hAnsi="宋体" w:eastAsia="宋体" w:cs="宋体"/>
          <w:sz w:val="32"/>
          <w:szCs w:val="32"/>
          <w:lang w:eastAsia="zh-CN"/>
        </w:rPr>
        <w:t>讨论社会养老保险工作；召开湘潭县全民参保工作会议，参会人数</w:t>
      </w:r>
      <w:r>
        <w:rPr>
          <w:rFonts w:hint="eastAsia" w:ascii="宋体" w:hAnsi="宋体" w:eastAsia="宋体" w:cs="宋体"/>
          <w:sz w:val="32"/>
          <w:szCs w:val="32"/>
          <w:lang w:val="en-US" w:eastAsia="zh-CN"/>
        </w:rPr>
        <w:t>100人，内容为讨论湘潭县全民参保工作；召开湘潭县创新创业工作会议，参会人数90人，内容为探讨湘潭县创新创业工作开展情况；召开湘潭县统筹城乡就业工作会议，参会人数65人，内容为统筹城乡就业工作安排部署；召开湘潭县保障农民工工资支付工作会议，参会人数110人，内容为保障农民工工资正常按时支付；召开湘潭县人才引进工作会议，参会人数105人，内容为确定人才引进计划</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3.92</w:t>
      </w:r>
      <w:r>
        <w:rPr>
          <w:rFonts w:hint="eastAsia" w:ascii="宋体" w:hAnsi="宋体" w:eastAsia="宋体" w:cs="宋体"/>
          <w:sz w:val="32"/>
          <w:szCs w:val="32"/>
        </w:rPr>
        <w:t>万</w:t>
      </w:r>
      <w:r>
        <w:rPr>
          <w:rFonts w:hint="eastAsia" w:ascii="宋体" w:hAnsi="宋体" w:eastAsia="宋体" w:cs="宋体"/>
          <w:sz w:val="32"/>
          <w:szCs w:val="32"/>
          <w:lang w:val="en-US" w:eastAsia="zh-CN"/>
        </w:rPr>
        <w:t>元</w:t>
      </w:r>
      <w:r>
        <w:rPr>
          <w:rFonts w:hint="eastAsia" w:ascii="宋体" w:hAnsi="宋体" w:eastAsia="宋体" w:cs="宋体"/>
          <w:sz w:val="32"/>
          <w:szCs w:val="32"/>
        </w:rPr>
        <w:t>，</w:t>
      </w:r>
      <w:r>
        <w:rPr>
          <w:rFonts w:hint="eastAsia" w:ascii="宋体" w:hAnsi="宋体" w:eastAsia="宋体" w:cs="宋体"/>
          <w:sz w:val="32"/>
          <w:szCs w:val="32"/>
          <w:lang w:val="en-US" w:eastAsia="zh-CN"/>
        </w:rPr>
        <w:t>用于开展社保业务培训</w:t>
      </w:r>
      <w:r>
        <w:rPr>
          <w:rFonts w:hint="eastAsia" w:ascii="宋体" w:hAnsi="宋体" w:cs="宋体"/>
          <w:sz w:val="32"/>
          <w:szCs w:val="32"/>
          <w:lang w:val="en-US" w:eastAsia="zh-CN"/>
        </w:rPr>
        <w:t>、</w:t>
      </w:r>
      <w:r>
        <w:rPr>
          <w:rFonts w:hint="eastAsia" w:ascii="宋体" w:hAnsi="宋体" w:eastAsia="宋体" w:cs="宋体"/>
          <w:sz w:val="32"/>
          <w:szCs w:val="32"/>
          <w:lang w:val="en-US" w:eastAsia="zh-CN"/>
        </w:rPr>
        <w:t>执法培训</w:t>
      </w:r>
      <w:r>
        <w:rPr>
          <w:rFonts w:hint="eastAsia" w:ascii="宋体" w:hAnsi="宋体" w:cs="宋体"/>
          <w:sz w:val="32"/>
          <w:szCs w:val="32"/>
          <w:lang w:val="en-US" w:eastAsia="zh-CN"/>
        </w:rPr>
        <w:t>、事业编人员继续教育培训。</w:t>
      </w:r>
      <w:r>
        <w:rPr>
          <w:rFonts w:hint="eastAsia" w:ascii="宋体" w:hAnsi="宋体" w:eastAsia="宋体" w:cs="宋体"/>
          <w:sz w:val="32"/>
          <w:szCs w:val="32"/>
          <w:lang w:val="en-US" w:eastAsia="zh-CN"/>
        </w:rPr>
        <w:t>未举办节庆、晚会、论坛、赛事，预算经费为0。</w:t>
      </w:r>
    </w:p>
    <w:p>
      <w:pPr>
        <w:pStyle w:val="11"/>
        <w:rPr>
          <w:rFonts w:hAnsi="黑体" w:cs="Times New Roman"/>
          <w:b/>
          <w:bCs/>
          <w:sz w:val="32"/>
          <w:szCs w:val="32"/>
        </w:rPr>
      </w:pPr>
      <w:r>
        <w:rPr>
          <w:rFonts w:hint="eastAsia" w:hAnsi="黑体"/>
          <w:b/>
          <w:bCs/>
          <w:sz w:val="32"/>
          <w:szCs w:val="32"/>
        </w:rPr>
        <w:t>十二、关于政府采购支出说明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104.70</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77.72</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26.98</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十三、关于国有资产占用情况说明</w:t>
      </w:r>
    </w:p>
    <w:p>
      <w:pPr>
        <w:pStyle w:val="11"/>
        <w:ind w:firstLine="640" w:firstLineChars="200"/>
        <w:rPr>
          <w:rFonts w:hint="default" w:ascii="宋体" w:hAnsi="宋体" w:eastAsia="宋体" w:cs="Times New Roman"/>
          <w:sz w:val="32"/>
          <w:szCs w:val="32"/>
          <w:lang w:val="en-US" w:eastAsia="zh-CN"/>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1</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1</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0台</w:t>
      </w:r>
      <w:r>
        <w:rPr>
          <w:rFonts w:hint="eastAsia" w:ascii="宋体" w:hAnsi="宋体" w:eastAsia="宋体" w:cs="宋体"/>
          <w:sz w:val="32"/>
          <w:szCs w:val="32"/>
        </w:rPr>
        <w:t>（套）。</w:t>
      </w:r>
    </w:p>
    <w:p>
      <w:pPr>
        <w:pStyle w:val="11"/>
        <w:tabs>
          <w:tab w:val="left" w:pos="540"/>
        </w:tabs>
        <w:rPr>
          <w:rFonts w:hint="eastAsia" w:ascii="宋体" w:hAnsi="宋体" w:eastAsia="宋体" w:cs="宋体"/>
          <w:sz w:val="32"/>
          <w:szCs w:val="32"/>
          <w:lang w:eastAsia="zh-CN"/>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w:t>
      </w:r>
      <w:r>
        <w:rPr>
          <w:rFonts w:hint="eastAsia" w:hAnsi="黑体"/>
          <w:b/>
          <w:bCs/>
          <w:sz w:val="32"/>
          <w:szCs w:val="32"/>
          <w:lang w:val="en-US" w:eastAsia="zh-CN"/>
        </w:rPr>
        <w:t>1</w:t>
      </w:r>
      <w:r>
        <w:rPr>
          <w:rFonts w:hint="eastAsia" w:hAnsi="黑体"/>
          <w:b/>
          <w:bCs/>
          <w:sz w:val="32"/>
          <w:szCs w:val="32"/>
        </w:rPr>
        <w:t>年度预算绩效情况的说</w:t>
      </w:r>
      <w:r>
        <w:rPr>
          <w:rFonts w:hint="eastAsia" w:hAnsi="黑体"/>
          <w:b/>
          <w:bCs/>
          <w:sz w:val="32"/>
          <w:szCs w:val="32"/>
          <w:lang w:eastAsia="zh-CN"/>
        </w:rPr>
        <w:t>明</w:t>
      </w:r>
    </w:p>
    <w:p>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本部门为一级预算单位，严格执行并积极开展预算管理及预算绩效评价工作。全年预算绩效评价部门整体支出</w:t>
      </w:r>
      <w:r>
        <w:rPr>
          <w:rFonts w:hint="eastAsia" w:ascii="宋体" w:hAnsi="宋体" w:eastAsia="宋体" w:cs="宋体"/>
          <w:sz w:val="32"/>
          <w:szCs w:val="32"/>
          <w:lang w:val="en-US" w:eastAsia="zh-CN"/>
        </w:rPr>
        <w:t>1个。无重点绩效目标。</w:t>
      </w:r>
    </w:p>
    <w:p>
      <w:pPr>
        <w:pStyle w:val="11"/>
        <w:jc w:val="both"/>
        <w:rPr>
          <w:rFonts w:cs="Times New Roman"/>
          <w:sz w:val="72"/>
          <w:szCs w:val="72"/>
        </w:rPr>
        <w:sectPr>
          <w:pgSz w:w="11906" w:h="16838"/>
          <w:pgMar w:top="1440" w:right="1797" w:bottom="1440" w:left="1797" w:header="851" w:footer="992" w:gutter="0"/>
          <w:cols w:space="0" w:num="1"/>
          <w:rtlGutter w:val="0"/>
          <w:docGrid w:type="linesAndChars" w:linePitch="312" w:charSpace="0"/>
        </w:sectPr>
      </w:pPr>
    </w:p>
    <w:p>
      <w:pPr>
        <w:pStyle w:val="11"/>
        <w:jc w:val="both"/>
        <w:rPr>
          <w:rFonts w:cs="Times New Roman"/>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pPr>
        <w:ind w:firstLine="640" w:firstLineChars="200"/>
        <w:rPr>
          <w:rFonts w:hint="eastAsia" w:ascii="宋体" w:hAnsi="宋体" w:eastAsia="宋体" w:cs="宋体"/>
          <w:color w:val="000000"/>
          <w:kern w:val="0"/>
          <w:sz w:val="32"/>
          <w:szCs w:val="32"/>
          <w:lang w:val="en-US" w:eastAsia="zh-CN" w:bidi="ar-SA"/>
        </w:rPr>
      </w:pPr>
    </w:p>
    <w:p>
      <w:pPr>
        <w:pStyle w:val="11"/>
        <w:jc w:val="center"/>
        <w:rPr>
          <w:rFonts w:cs="Times New Roman"/>
          <w:sz w:val="72"/>
          <w:szCs w:val="72"/>
        </w:rPr>
      </w:pPr>
    </w:p>
    <w:p>
      <w:pPr>
        <w:pStyle w:val="11"/>
        <w:jc w:val="center"/>
        <w:rPr>
          <w:rFonts w:cs="Times New Roman"/>
          <w:sz w:val="72"/>
          <w:szCs w:val="72"/>
        </w:rPr>
      </w:pPr>
    </w:p>
    <w:p>
      <w:pPr>
        <w:pStyle w:val="11"/>
        <w:tabs>
          <w:tab w:val="left" w:pos="4567"/>
        </w:tabs>
        <w:jc w:val="left"/>
        <w:rPr>
          <w:rFonts w:hint="eastAsia" w:cs="Times New Roman"/>
          <w:sz w:val="72"/>
          <w:szCs w:val="72"/>
          <w:lang w:eastAsia="zh-CN"/>
        </w:rPr>
      </w:pPr>
      <w:r>
        <w:rPr>
          <w:rFonts w:hint="eastAsia" w:cs="Times New Roman"/>
          <w:sz w:val="72"/>
          <w:szCs w:val="72"/>
          <w:lang w:eastAsia="zh-CN"/>
        </w:rPr>
        <w:tab/>
      </w:r>
    </w:p>
    <w:p>
      <w:pPr>
        <w:pStyle w:val="11"/>
        <w:tabs>
          <w:tab w:val="left" w:pos="4567"/>
        </w:tabs>
        <w:jc w:val="left"/>
        <w:rPr>
          <w:rFonts w:hint="eastAsia" w:cs="Times New Roman"/>
          <w:sz w:val="72"/>
          <w:szCs w:val="72"/>
          <w:lang w:eastAsia="zh-CN"/>
        </w:rPr>
      </w:pPr>
    </w:p>
    <w:p>
      <w:pPr>
        <w:pStyle w:val="11"/>
        <w:tabs>
          <w:tab w:val="left" w:pos="4567"/>
        </w:tabs>
        <w:jc w:val="left"/>
        <w:rPr>
          <w:rFonts w:hint="eastAsia" w:cs="Times New Roman"/>
          <w:sz w:val="72"/>
          <w:szCs w:val="72"/>
          <w:lang w:eastAsia="zh-CN"/>
        </w:rPr>
      </w:pPr>
    </w:p>
    <w:p>
      <w:pPr>
        <w:pStyle w:val="11"/>
        <w:ind w:firstLine="3960" w:firstLineChars="550"/>
        <w:rPr>
          <w:rFonts w:hint="eastAsia" w:ascii="宋体" w:hAnsi="宋体" w:eastAsia="宋体" w:cs="宋体"/>
          <w:sz w:val="72"/>
          <w:szCs w:val="72"/>
        </w:rPr>
      </w:pPr>
    </w:p>
    <w:p>
      <w:pPr>
        <w:pStyle w:val="11"/>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pPr>
        <w:jc w:val="both"/>
        <w:rPr>
          <w:rFonts w:hint="eastAsia" w:ascii="宋体" w:hAnsi="宋体" w:eastAsia="宋体" w:cs="宋体"/>
          <w:color w:val="000000"/>
          <w:kern w:val="0"/>
          <w:sz w:val="72"/>
          <w:szCs w:val="72"/>
        </w:rPr>
      </w:pPr>
    </w:p>
    <w:p>
      <w:pPr>
        <w:pStyle w:val="15"/>
        <w:jc w:val="center"/>
        <w:rPr>
          <w:rFonts w:ascii="宋体" w:hAnsi="宋体"/>
          <w:b/>
          <w:kern w:val="0"/>
          <w:sz w:val="44"/>
          <w:szCs w:val="44"/>
        </w:rPr>
      </w:pPr>
      <w:r>
        <w:rPr>
          <w:rFonts w:hint="eastAsia" w:ascii="宋体" w:hAnsi="宋体"/>
          <w:b/>
          <w:kern w:val="0"/>
          <w:sz w:val="44"/>
          <w:szCs w:val="44"/>
        </w:rPr>
        <w:t>湘潭县人力资源和社会保障局</w:t>
      </w:r>
    </w:p>
    <w:p>
      <w:pPr>
        <w:pStyle w:val="15"/>
        <w:jc w:val="center"/>
        <w:rPr>
          <w:rFonts w:hint="eastAsia" w:ascii="宋体" w:hAnsi="宋体"/>
          <w:b/>
          <w:kern w:val="0"/>
          <w:sz w:val="44"/>
          <w:szCs w:val="44"/>
        </w:rPr>
      </w:pPr>
      <w:r>
        <w:rPr>
          <w:rFonts w:hint="eastAsia" w:ascii="宋体" w:hAnsi="宋体"/>
          <w:b/>
          <w:kern w:val="0"/>
          <w:sz w:val="44"/>
          <w:szCs w:val="44"/>
        </w:rPr>
        <w:t>2021年度部门整体支出绩效自评报告</w:t>
      </w:r>
    </w:p>
    <w:p>
      <w:pPr>
        <w:pStyle w:val="15"/>
        <w:jc w:val="center"/>
        <w:rPr>
          <w:rFonts w:hint="eastAsia" w:ascii="宋体" w:hAnsi="宋体"/>
          <w:b/>
          <w:kern w:val="0"/>
          <w:sz w:val="44"/>
          <w:szCs w:val="44"/>
        </w:rPr>
      </w:pPr>
    </w:p>
    <w:p>
      <w:pPr>
        <w:pStyle w:val="15"/>
        <w:spacing w:line="560" w:lineRule="exact"/>
        <w:rPr>
          <w:rFonts w:hint="eastAsia" w:ascii="黑体" w:hAnsi="仿宋" w:eastAsia="黑体"/>
          <w:b/>
          <w:bCs/>
          <w:kern w:val="0"/>
          <w:sz w:val="32"/>
          <w:szCs w:val="32"/>
        </w:rPr>
      </w:pPr>
      <w:r>
        <w:rPr>
          <w:rFonts w:hint="eastAsia" w:ascii="黑体" w:hAnsi="仿宋" w:eastAsia="黑体"/>
          <w:b/>
          <w:bCs/>
          <w:kern w:val="0"/>
          <w:sz w:val="32"/>
          <w:szCs w:val="32"/>
        </w:rPr>
        <w:t>一、部门基本情况</w:t>
      </w:r>
    </w:p>
    <w:p>
      <w:pPr>
        <w:pStyle w:val="15"/>
        <w:spacing w:line="560" w:lineRule="exact"/>
        <w:ind w:firstLine="640"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（一）在职人员情况及机构设置</w:t>
      </w:r>
    </w:p>
    <w:p>
      <w:pPr>
        <w:pStyle w:val="15"/>
        <w:spacing w:line="560" w:lineRule="exact"/>
        <w:ind w:firstLine="640" w:firstLineChars="200"/>
        <w:rPr>
          <w:rFonts w:hint="eastAsia" w:ascii="仿宋_GB2312" w:hAnsi="仿宋_GB2312" w:eastAsia="仿宋_GB2312" w:cs="仿宋_GB2312"/>
          <w:kern w:val="0"/>
          <w:sz w:val="32"/>
          <w:szCs w:val="32"/>
        </w:rPr>
      </w:pPr>
      <w:r>
        <w:rPr>
          <w:rFonts w:hint="eastAsia" w:ascii="仿宋_GB2312" w:eastAsia="仿宋_GB2312"/>
          <w:color w:val="000000"/>
          <w:sz w:val="32"/>
          <w:szCs w:val="32"/>
        </w:rPr>
        <w:t>2021年末实有在职人员130人，其中编制内统发工资人数99人、人事代理3人、劳务派遣9人、社保员19人。</w:t>
      </w:r>
    </w:p>
    <w:p>
      <w:pPr>
        <w:spacing w:line="560" w:lineRule="exact"/>
        <w:ind w:firstLine="790" w:firstLineChars="247"/>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rPr>
        <w:t>我局属于县人民政府组成部门，为县财政全额预算拨款的行政单位。</w:t>
      </w:r>
      <w:r>
        <w:rPr>
          <w:rFonts w:hint="eastAsia" w:ascii="仿宋_GB2312" w:eastAsia="仿宋_GB2312"/>
          <w:color w:val="000000"/>
          <w:sz w:val="32"/>
          <w:szCs w:val="32"/>
        </w:rPr>
        <w:t>内设办公室、人事股、计划财务股、基金监督股、政策法规股、工资福利股、养老保险股、事业单位人事管理股、就业与人力资源管理股、工伤认定股、劳动关系管理股、考核奖惩股、机关党委办、实事办等13个职能股室</w:t>
      </w:r>
      <w:r>
        <w:rPr>
          <w:rFonts w:hint="eastAsia" w:ascii="仿宋_GB2312" w:hAnsi="仿宋_GB2312" w:eastAsia="仿宋_GB2312" w:cs="仿宋_GB2312"/>
          <w:sz w:val="32"/>
          <w:szCs w:val="32"/>
        </w:rPr>
        <w:t>。辖</w:t>
      </w:r>
      <w:r>
        <w:rPr>
          <w:rFonts w:hint="eastAsia" w:ascii="仿宋_GB2312" w:eastAsia="仿宋_GB2312"/>
          <w:color w:val="000000"/>
          <w:sz w:val="32"/>
          <w:szCs w:val="32"/>
        </w:rPr>
        <w:t xml:space="preserve">劳动人事争议仲裁院、劳动保障监察大队、社会保险服务中心、工伤保险服务中心、就业服务中心、人力资源管理服务中心、人才培训和考试中心、档案服务中心、信息服务中心等9个二级机构。 </w:t>
      </w:r>
    </w:p>
    <w:p>
      <w:pPr>
        <w:pStyle w:val="15"/>
        <w:spacing w:line="560" w:lineRule="exact"/>
        <w:ind w:firstLine="640"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（二）部门主要职能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贯彻执行国家、省、市人力资源和社会保障方针政策和法律法规，拟定具体实施方案；编制全县人力资源和社会保障事业发展规划和年度工作计划并组织实施；对全县人力资源和社会保障工作进行综合管理、监督指导、协调服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2、负责全县人力资源开发综合管理。组织实施人力资源市场发展规划和人力资源流动政策；负责建立和管理人力资源市场。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促进就业工作。执行统筹城乡的就业发展规划和政策，完善公共就业服务体系；负责全县就业、预测预警和信息报送，拟定应对预案；组织落实就业援助制度；组织落实职业资格制度相关政策，统筹建立面向城乡劳动者的职业培训制度；贯彻执行高校毕业生就业政策，技能人才培养和激励政策。</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4、统筹建立覆盖城乡的社会保障体系，贯彻实施城乡社会保险政策。</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5、负责全县社会保险基金管理，实施监督和内部审计；编制全县社会保险基金预决算草案；负责全县社会保险基金预测预警和信息报送。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负责全县机关事业单位工资收入分配综合管理。贯彻执行机关、企事业单位人员工资收入分配政策；建立机关企事业单位人员工资正常增长和支付保障机制；负责审核纳入县级财政统一发放工资范围的同级政府机关、事业单位及人员的工资、奖金、津补贴标准和离退休费；执行机关企事业单位人员和离退休政策。</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指导事业单位人事制度改革，实施事业单位人员和机关工勤人员的管理；参与人才管理工作，综合管理全县专业技术队伍建设和专业技术人员工作，承担全县专业技术人员和机关事业单位工勤人员的培训和继续教育工作；归口管理专业技术人员的职称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8、负责全县外国专家综合管理和会同有关部门做好引进国外智力工作。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9、贯彻执行农村居民进城务工综合性政策，会同有关部门做好进城务工农村居民的维权工作。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实施劳动、人事争议调解仲裁制度；执行劳动关系法律、法规，完善劳动关系协调机制；负责依法打击非法使用童工和监督落实女工、未成年工的特殊劳动保护政策；组织实施劳动监察，协调劳动者维权工作，依法查处违法侵权案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11、承办县人民政府交办的其他事项。</w:t>
      </w:r>
    </w:p>
    <w:p>
      <w:pPr>
        <w:tabs>
          <w:tab w:val="left" w:pos="870"/>
        </w:tabs>
        <w:spacing w:line="560" w:lineRule="exact"/>
        <w:ind w:firstLine="640"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（三）部门预算批复、年度预算执行情况</w:t>
      </w:r>
    </w:p>
    <w:p>
      <w:pPr>
        <w:tabs>
          <w:tab w:val="left" w:pos="870"/>
        </w:tabs>
        <w:spacing w:line="560" w:lineRule="exact"/>
        <w:ind w:firstLine="640" w:firstLineChars="200"/>
        <w:rPr>
          <w:rFonts w:hint="eastAsia" w:ascii="仿宋_GB2312" w:hAnsi="仿宋_GB2312" w:eastAsia="仿宋_GB2312" w:cs="仿宋_GB2312"/>
          <w:sz w:val="32"/>
          <w:szCs w:val="32"/>
        </w:rPr>
      </w:pPr>
      <w:r>
        <w:rPr>
          <w:rFonts w:hint="eastAsia" w:ascii="仿宋_GB2312" w:eastAsia="仿宋_GB2312"/>
          <w:color w:val="000000"/>
          <w:sz w:val="32"/>
          <w:szCs w:val="32"/>
        </w:rPr>
        <w:t>1、</w:t>
      </w:r>
      <w:r>
        <w:rPr>
          <w:rFonts w:hint="eastAsia" w:ascii="仿宋_GB2312" w:hAnsi="仿宋_GB2312" w:eastAsia="仿宋_GB2312" w:cs="仿宋_GB2312"/>
          <w:sz w:val="32"/>
          <w:szCs w:val="32"/>
        </w:rPr>
        <w:t>全年预算情况：</w:t>
      </w:r>
      <w:r>
        <w:rPr>
          <w:rFonts w:hint="eastAsia" w:ascii="宋体" w:hAnsi="宋体" w:cs="宋体"/>
          <w:sz w:val="32"/>
          <w:szCs w:val="32"/>
        </w:rPr>
        <w:t> </w:t>
      </w:r>
      <w:r>
        <w:rPr>
          <w:rFonts w:hint="eastAsia" w:ascii="仿宋_GB2312" w:hAnsi="仿宋_GB2312" w:eastAsia="仿宋_GB2312" w:cs="仿宋_GB2312"/>
          <w:sz w:val="32"/>
          <w:szCs w:val="32"/>
        </w:rPr>
        <w:t>年初结转资金265万元。本年收入合计1794</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万元，其中年度财政拨款收入1794</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p>
    <w:p>
      <w:pPr>
        <w:tabs>
          <w:tab w:val="left" w:pos="87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2、预算执行情况：本年支出合计2059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万元，其中，基本支出1623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万元（工资福利支出1149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万元，商品和服务支出41</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万元，对个人和家庭的补助支出55</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万元，资本性支出2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万元）；项目支出436</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万元。年末无结转资金。</w:t>
      </w:r>
    </w:p>
    <w:p>
      <w:pPr>
        <w:tabs>
          <w:tab w:val="left" w:pos="87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3、“三公经费”支出合计</w:t>
      </w:r>
      <w:r>
        <w:rPr>
          <w:rFonts w:hint="eastAsia" w:ascii="仿宋_GB2312" w:hAnsi="仿宋_GB2312" w:eastAsia="仿宋_GB2312" w:cs="仿宋_GB2312"/>
          <w:sz w:val="32"/>
          <w:szCs w:val="32"/>
          <w:lang w:val="en-US" w:eastAsia="zh-CN"/>
        </w:rPr>
        <w:t>6.3</w:t>
      </w:r>
      <w:r>
        <w:rPr>
          <w:rFonts w:hint="eastAsia" w:ascii="仿宋_GB2312" w:hAnsi="仿宋_GB2312" w:eastAsia="仿宋_GB2312" w:cs="仿宋_GB2312"/>
          <w:sz w:val="32"/>
          <w:szCs w:val="32"/>
        </w:rPr>
        <w:t>万元。严格控制在财政年初预算下达数内。其中公务接待费</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万元，公务用车运行维护费3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万元,无因公出国（境）费用。</w:t>
      </w:r>
    </w:p>
    <w:p>
      <w:pPr>
        <w:pStyle w:val="15"/>
        <w:spacing w:line="560" w:lineRule="exact"/>
        <w:ind w:firstLine="640"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（四）部门整体支出绩效目标基本概况</w:t>
      </w:r>
    </w:p>
    <w:p>
      <w:pPr>
        <w:spacing w:line="560" w:lineRule="exact"/>
        <w:ind w:firstLine="640"/>
        <w:rPr>
          <w:rFonts w:hint="eastAsia" w:ascii="仿宋" w:hAnsi="仿宋" w:eastAsia="仿宋"/>
          <w:sz w:val="32"/>
          <w:szCs w:val="32"/>
        </w:rPr>
      </w:pPr>
      <w:r>
        <w:rPr>
          <w:rFonts w:hint="eastAsia" w:ascii="仿宋_GB2312" w:hAnsi="仿宋_GB2312" w:eastAsia="仿宋_GB2312" w:cs="仿宋_GB2312"/>
          <w:sz w:val="32"/>
          <w:szCs w:val="32"/>
        </w:rPr>
        <w:t>2021年单位年度收入</w:t>
      </w:r>
      <w:r>
        <w:rPr>
          <w:rFonts w:hint="eastAsia" w:ascii="仿宋" w:hAnsi="仿宋" w:eastAsia="仿宋"/>
          <w:sz w:val="32"/>
          <w:szCs w:val="32"/>
        </w:rPr>
        <w:t>均为一般公共预算财政拨款收入，无其他收入来源。收入</w:t>
      </w:r>
      <w:r>
        <w:rPr>
          <w:rFonts w:hint="eastAsia" w:ascii="仿宋_GB2312" w:hAnsi="仿宋_GB2312" w:eastAsia="仿宋_GB2312" w:cs="仿宋_GB2312"/>
          <w:sz w:val="32"/>
          <w:szCs w:val="32"/>
        </w:rPr>
        <w:t>预算1385.4万元，支出预算1385.4万元，其中：基本支出1330.6万元，项目支出54.8万元。</w:t>
      </w:r>
    </w:p>
    <w:p>
      <w:pPr>
        <w:pStyle w:val="1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年度收支预算内，确保完成以下整体目标：一是保障人员支出和正常运转；二是严格按照财务规章制度做好各项支出；三是加强财务监督，杜绝不合理开支；四是完成2021年市政府对我县的就业和社会保障工作目标；五是考试招聘事业单位工作人员80名；六是完成好劳动仲裁和劳动监察相关目标任务；七是完成好其他人力资源和社保事务。</w:t>
      </w:r>
    </w:p>
    <w:p>
      <w:pPr>
        <w:pStyle w:val="15"/>
        <w:spacing w:line="560" w:lineRule="exact"/>
        <w:ind w:firstLine="640" w:firstLineChars="200"/>
        <w:rPr>
          <w:rFonts w:hint="eastAsia" w:ascii="黑体" w:hAnsi="仿宋" w:eastAsia="黑体"/>
          <w:b/>
          <w:bCs/>
          <w:kern w:val="0"/>
          <w:sz w:val="32"/>
          <w:szCs w:val="32"/>
        </w:rPr>
      </w:pPr>
      <w:r>
        <w:rPr>
          <w:rFonts w:hint="eastAsia" w:ascii="黑体" w:hAnsi="仿宋" w:eastAsia="黑体"/>
          <w:b/>
          <w:bCs/>
          <w:kern w:val="0"/>
          <w:sz w:val="32"/>
          <w:szCs w:val="32"/>
        </w:rPr>
        <w:t>二、绩效完成情况</w:t>
      </w:r>
    </w:p>
    <w:p>
      <w:pPr>
        <w:pStyle w:val="15"/>
        <w:spacing w:line="560" w:lineRule="exact"/>
        <w:ind w:firstLine="640"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（一）绩效评价工作组织情况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1、前期准备。</w:t>
      </w:r>
      <w:r>
        <w:rPr>
          <w:rFonts w:hint="eastAsia" w:ascii="仿宋_GB2312" w:hAnsi="仿宋_GB2312" w:eastAsia="仿宋_GB2312" w:cs="仿宋_GB2312"/>
          <w:sz w:val="32"/>
          <w:szCs w:val="32"/>
        </w:rPr>
        <w:t>4月初收到县财政局下发的关于绩效评价5个文件后，局党组高度重视，计财股组织相关财务人员认真地学习文件精神，熟练掌握绩效管理内部操作流程，梳理相关资料，做好准备工作，为即将开展的绩效评价工作打下基础。</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2、组织实施。</w:t>
      </w:r>
      <w:r>
        <w:rPr>
          <w:rFonts w:hint="eastAsia" w:ascii="仿宋_GB2312" w:hAnsi="仿宋_GB2312" w:eastAsia="仿宋_GB2312" w:cs="仿宋_GB2312"/>
          <w:sz w:val="32"/>
          <w:szCs w:val="32"/>
        </w:rPr>
        <w:t>一是成立预算绩效管理领导小组，局长任组长，分管财务的副局长任副组长，社会保险服务中心、工伤保险服务中心、就业服务中心、计财股负责人为成员，领导小组下设办公室，负责全局绩效评价工作。二是制定工作方案，对绩效评价项目、参与单位及工作完成时间作了规定。三是开展绩效评价。对我局部门整体支出和10个项目支出（含社保基金支出）的绩效自评工作进行安排部署，压实工作责任，确保保质保量完成此项工作任务。</w:t>
      </w:r>
    </w:p>
    <w:p>
      <w:pPr>
        <w:tabs>
          <w:tab w:val="left" w:pos="870"/>
        </w:tabs>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kern w:val="0"/>
          <w:sz w:val="32"/>
          <w:szCs w:val="32"/>
        </w:rPr>
        <w:t>分析评价。</w:t>
      </w:r>
      <w:r>
        <w:rPr>
          <w:rFonts w:hint="eastAsia" w:ascii="仿宋_GB2312" w:hAnsi="仿宋_GB2312" w:eastAsia="仿宋_GB2312" w:cs="仿宋_GB2312"/>
          <w:kern w:val="0"/>
          <w:sz w:val="32"/>
          <w:szCs w:val="32"/>
        </w:rPr>
        <w:t>一是确立</w:t>
      </w:r>
      <w:r>
        <w:rPr>
          <w:rFonts w:hint="eastAsia" w:ascii="仿宋_GB2312" w:hAnsi="仿宋_GB2312" w:eastAsia="仿宋_GB2312" w:cs="仿宋_GB2312"/>
          <w:sz w:val="32"/>
          <w:szCs w:val="32"/>
        </w:rPr>
        <w:t>绩效评价原则。1、科学规范原则。绩效评价应当严格执行规定的程序，按照科学可行的要求，采用定量与定性分析相结合的方法；2、公正公开原则。绩效评价应当符合真实、客观、公正的要求，依法公开并接受监督； 3、绩效相关原则。绩效评价应当针对具体支出和产出绩效进行，评价结果应当清晰反映支出和产出绩效之间的紧密对应关系。二是确立评价指标体系。对部门整体支出过程、效果产出2个一级指标；预算执行、预算管理、资产管理、职责履行与履职效益4个二级指标；设预算调整率、基本支出预算控制率、项目支出预算控制率、资金结余、“三公经费”控制率、管理制度健全性、专账核算、预决算信息公开性和完善性、政府采购完成情况、管理制度健全性、绩效目标完成情况11个三级指标。三是确立评</w:t>
      </w:r>
      <w:r>
        <w:rPr>
          <w:rFonts w:hint="eastAsia" w:ascii="仿宋_GB2312" w:hAnsi="仿宋_GB2312" w:eastAsia="仿宋_GB2312" w:cs="仿宋_GB2312"/>
          <w:kern w:val="0"/>
          <w:sz w:val="32"/>
          <w:szCs w:val="32"/>
        </w:rPr>
        <w:t>价方法。本次主要</w:t>
      </w:r>
      <w:r>
        <w:rPr>
          <w:rFonts w:hint="eastAsia" w:ascii="仿宋_GB2312" w:hAnsi="仿宋_GB2312" w:eastAsia="仿宋_GB2312" w:cs="仿宋_GB2312"/>
          <w:sz w:val="32"/>
          <w:szCs w:val="32"/>
        </w:rPr>
        <w:t>对县人社局部门整体支出情况进行绩效自评，对社会满意度采取调查问卷的形式进行评价。</w:t>
      </w:r>
    </w:p>
    <w:p>
      <w:pPr>
        <w:pStyle w:val="15"/>
        <w:spacing w:line="560" w:lineRule="exact"/>
        <w:ind w:firstLine="640" w:firstLineChars="200"/>
        <w:rPr>
          <w:rFonts w:hint="eastAsia" w:ascii="黑体" w:hAnsi="仿宋" w:eastAsia="黑体"/>
          <w:kern w:val="0"/>
          <w:sz w:val="32"/>
          <w:szCs w:val="32"/>
        </w:rPr>
      </w:pPr>
      <w:r>
        <w:rPr>
          <w:rFonts w:hint="eastAsia" w:ascii="黑体" w:hAnsi="仿宋" w:eastAsia="黑体"/>
          <w:b/>
          <w:bCs/>
          <w:kern w:val="0"/>
          <w:sz w:val="32"/>
          <w:szCs w:val="32"/>
        </w:rPr>
        <w:t>（二）部门整体绩效目标完成情况分析</w:t>
      </w:r>
    </w:p>
    <w:p>
      <w:pPr>
        <w:pStyle w:val="15"/>
        <w:spacing w:line="560" w:lineRule="exact"/>
        <w:ind w:firstLine="640"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1、全年绩效目标完成情况分析:</w:t>
      </w:r>
      <w:r>
        <w:rPr>
          <w:rFonts w:hint="eastAsia" w:ascii="仿宋_GB2312" w:hAnsi="仿宋_GB2312" w:eastAsia="仿宋_GB2312" w:cs="仿宋_GB2312"/>
          <w:kern w:val="0"/>
          <w:sz w:val="32"/>
          <w:szCs w:val="32"/>
        </w:rPr>
        <w:t>在部门整体运行中，资金基本能及时足额到位，在2021年12月31日前按时完成相关工作，各项数量指标均超额完成，服务对象满意度达98.6%，有效促进了我县就业和社会保障事业健康发展。具体数量指标完成情况如下：</w:t>
      </w:r>
    </w:p>
    <w:tbl>
      <w:tblPr>
        <w:tblStyle w:val="6"/>
        <w:tblW w:w="4999" w:type="pct"/>
        <w:tblInd w:w="0" w:type="dxa"/>
        <w:tblLayout w:type="autofit"/>
        <w:tblCellMar>
          <w:top w:w="0" w:type="dxa"/>
          <w:left w:w="108" w:type="dxa"/>
          <w:bottom w:w="0" w:type="dxa"/>
          <w:right w:w="108" w:type="dxa"/>
        </w:tblCellMar>
      </w:tblPr>
      <w:tblGrid>
        <w:gridCol w:w="5477"/>
        <w:gridCol w:w="1553"/>
        <w:gridCol w:w="1816"/>
        <w:gridCol w:w="1834"/>
      </w:tblGrid>
      <w:tr>
        <w:tblPrEx>
          <w:tblCellMar>
            <w:top w:w="0" w:type="dxa"/>
            <w:left w:w="108" w:type="dxa"/>
            <w:bottom w:w="0" w:type="dxa"/>
            <w:right w:w="108" w:type="dxa"/>
          </w:tblCellMar>
        </w:tblPrEx>
        <w:trPr>
          <w:trHeight w:val="476"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主要绩效目标内容</w:t>
            </w:r>
          </w:p>
        </w:tc>
        <w:tc>
          <w:tcPr>
            <w:tcW w:w="727"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绩效目标值</w:t>
            </w:r>
          </w:p>
        </w:tc>
        <w:tc>
          <w:tcPr>
            <w:tcW w:w="850" w:type="pct"/>
            <w:tcBorders>
              <w:top w:val="single" w:color="auto" w:sz="4" w:space="0"/>
              <w:left w:val="nil"/>
              <w:bottom w:val="single" w:color="auto" w:sz="4" w:space="0"/>
              <w:right w:val="single" w:color="auto" w:sz="4" w:space="0"/>
            </w:tcBorders>
            <w:vAlign w:val="center"/>
          </w:tcPr>
          <w:p>
            <w:pPr>
              <w:widowControl/>
              <w:spacing w:line="560" w:lineRule="exact"/>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目标完成情况</w:t>
            </w:r>
          </w:p>
        </w:tc>
        <w:tc>
          <w:tcPr>
            <w:tcW w:w="858" w:type="pct"/>
            <w:tcBorders>
              <w:top w:val="single" w:color="auto" w:sz="4" w:space="0"/>
              <w:left w:val="nil"/>
              <w:bottom w:val="single" w:color="auto" w:sz="4" w:space="0"/>
              <w:right w:val="single" w:color="auto" w:sz="4" w:space="0"/>
            </w:tcBorders>
            <w:vAlign w:val="center"/>
          </w:tcPr>
          <w:p>
            <w:pPr>
              <w:widowControl/>
              <w:spacing w:line="560" w:lineRule="exact"/>
              <w:jc w:val="center"/>
              <w:rPr>
                <w:rFonts w:ascii="仿宋_GB2312" w:hAnsi="仿宋_GB2312" w:eastAsia="仿宋_GB2312" w:cs="仿宋_GB2312"/>
                <w:b/>
                <w:bCs/>
                <w:color w:val="000000"/>
                <w:kern w:val="0"/>
                <w:sz w:val="18"/>
                <w:szCs w:val="18"/>
              </w:rPr>
            </w:pPr>
            <w:r>
              <w:rPr>
                <w:rFonts w:hint="eastAsia" w:ascii="仿宋_GB2312" w:hAnsi="仿宋_GB2312" w:eastAsia="仿宋_GB2312" w:cs="仿宋_GB2312"/>
                <w:b/>
                <w:bCs/>
                <w:color w:val="000000"/>
                <w:kern w:val="0"/>
                <w:sz w:val="18"/>
                <w:szCs w:val="18"/>
              </w:rPr>
              <w:t>完成率</w:t>
            </w:r>
          </w:p>
        </w:tc>
      </w:tr>
      <w:tr>
        <w:tblPrEx>
          <w:tblCellMar>
            <w:top w:w="0" w:type="dxa"/>
            <w:left w:w="108" w:type="dxa"/>
            <w:bottom w:w="0" w:type="dxa"/>
            <w:right w:w="108" w:type="dxa"/>
          </w:tblCellMar>
        </w:tblPrEx>
        <w:trPr>
          <w:trHeight w:val="475"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仿宋_GB2312" w:hAnsi="宋体" w:eastAsia="仿宋_GB2312" w:cs="仿宋_GB2312"/>
                <w:color w:val="000000"/>
                <w:kern w:val="0"/>
                <w:sz w:val="18"/>
                <w:szCs w:val="18"/>
              </w:rPr>
              <w:t>1、新增城镇就业</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仿宋_GB2312" w:hAnsi="宋体" w:eastAsia="仿宋_GB2312" w:cs="仿宋_GB2312"/>
                <w:color w:val="000000"/>
                <w:kern w:val="0"/>
                <w:sz w:val="18"/>
                <w:szCs w:val="18"/>
              </w:rPr>
              <w:t>5900人</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6040人</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102%　</w:t>
            </w:r>
          </w:p>
        </w:tc>
      </w:tr>
      <w:tr>
        <w:tblPrEx>
          <w:tblCellMar>
            <w:top w:w="0" w:type="dxa"/>
            <w:left w:w="108" w:type="dxa"/>
            <w:bottom w:w="0" w:type="dxa"/>
            <w:right w:w="108" w:type="dxa"/>
          </w:tblCellMar>
        </w:tblPrEx>
        <w:trPr>
          <w:trHeight w:val="460"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仿宋_GB2312" w:hAnsi="宋体" w:eastAsia="仿宋_GB2312" w:cs="仿宋_GB2312"/>
                <w:color w:val="000000"/>
                <w:kern w:val="0"/>
                <w:sz w:val="18"/>
                <w:szCs w:val="18"/>
              </w:rPr>
              <w:t>2、新增农村劳动力转移就业</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4000人</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4308人</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108%　</w:t>
            </w:r>
          </w:p>
        </w:tc>
      </w:tr>
      <w:tr>
        <w:tblPrEx>
          <w:tblCellMar>
            <w:top w:w="0" w:type="dxa"/>
            <w:left w:w="108" w:type="dxa"/>
            <w:bottom w:w="0" w:type="dxa"/>
            <w:right w:w="108" w:type="dxa"/>
          </w:tblCellMar>
        </w:tblPrEx>
        <w:trPr>
          <w:trHeight w:val="460"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仿宋_GB2312" w:hAnsi="宋体" w:eastAsia="仿宋_GB2312" w:cs="仿宋_GB2312"/>
                <w:color w:val="000000"/>
                <w:kern w:val="0"/>
                <w:sz w:val="18"/>
                <w:szCs w:val="18"/>
              </w:rPr>
              <w:t>3、开展各类职业技能培训</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仿宋_GB2312" w:hAnsi="宋体" w:eastAsia="仿宋_GB2312" w:cs="仿宋_GB2312"/>
                <w:color w:val="000000"/>
                <w:kern w:val="0"/>
                <w:sz w:val="18"/>
                <w:szCs w:val="18"/>
              </w:rPr>
              <w:t>8050人</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8522人</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106%　</w:t>
            </w:r>
          </w:p>
        </w:tc>
      </w:tr>
      <w:tr>
        <w:tblPrEx>
          <w:tblCellMar>
            <w:top w:w="0" w:type="dxa"/>
            <w:left w:w="108" w:type="dxa"/>
            <w:bottom w:w="0" w:type="dxa"/>
            <w:right w:w="108" w:type="dxa"/>
          </w:tblCellMar>
        </w:tblPrEx>
        <w:trPr>
          <w:trHeight w:val="445"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仿宋_GB2312" w:hAnsi="宋体" w:eastAsia="仿宋_GB2312" w:cs="仿宋_GB2312"/>
                <w:color w:val="000000"/>
                <w:kern w:val="0"/>
                <w:sz w:val="18"/>
                <w:szCs w:val="18"/>
              </w:rPr>
              <w:t>4、城乡居保总参保人数</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仿宋_GB2312" w:hAnsi="宋体" w:eastAsia="仿宋_GB2312" w:cs="仿宋_GB2312"/>
                <w:color w:val="000000"/>
                <w:kern w:val="0"/>
                <w:sz w:val="18"/>
                <w:szCs w:val="18"/>
              </w:rPr>
              <w:t>50万人</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51万人</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102%　</w:t>
            </w:r>
          </w:p>
        </w:tc>
      </w:tr>
      <w:tr>
        <w:tblPrEx>
          <w:tblCellMar>
            <w:top w:w="0" w:type="dxa"/>
            <w:left w:w="108" w:type="dxa"/>
            <w:bottom w:w="0" w:type="dxa"/>
            <w:right w:w="108" w:type="dxa"/>
          </w:tblCellMar>
        </w:tblPrEx>
        <w:trPr>
          <w:trHeight w:val="460"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仿宋_GB2312" w:hAnsi="宋体" w:eastAsia="仿宋_GB2312" w:cs="仿宋_GB2312"/>
                <w:color w:val="000000"/>
                <w:kern w:val="0"/>
                <w:sz w:val="18"/>
                <w:szCs w:val="18"/>
              </w:rPr>
              <w:t>5、工伤保险总参保人数</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仿宋_GB2312" w:hAnsi="宋体" w:eastAsia="仿宋_GB2312" w:cs="仿宋_GB2312"/>
                <w:color w:val="000000"/>
                <w:kern w:val="0"/>
                <w:sz w:val="18"/>
                <w:szCs w:val="18"/>
              </w:rPr>
              <w:t>7.6万人</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7.65万人</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101%　</w:t>
            </w:r>
          </w:p>
        </w:tc>
      </w:tr>
      <w:tr>
        <w:tblPrEx>
          <w:tblCellMar>
            <w:top w:w="0" w:type="dxa"/>
            <w:left w:w="108" w:type="dxa"/>
            <w:bottom w:w="0" w:type="dxa"/>
            <w:right w:w="108" w:type="dxa"/>
          </w:tblCellMar>
        </w:tblPrEx>
        <w:trPr>
          <w:trHeight w:val="460"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宋体" w:hAnsi="宋体" w:cs="宋体"/>
                <w:color w:val="000000"/>
                <w:kern w:val="0"/>
                <w:sz w:val="18"/>
                <w:szCs w:val="18"/>
              </w:rPr>
              <w:t>6</w:t>
            </w:r>
            <w:r>
              <w:rPr>
                <w:rFonts w:hint="eastAsia" w:ascii="仿宋_GB2312" w:hAnsi="宋体" w:eastAsia="仿宋_GB2312" w:cs="仿宋_GB2312"/>
                <w:color w:val="000000"/>
                <w:kern w:val="0"/>
                <w:sz w:val="18"/>
                <w:szCs w:val="18"/>
              </w:rPr>
              <w:t>、引进关键人才</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仿宋_GB2312" w:hAnsi="宋体" w:eastAsia="仿宋_GB2312" w:cs="仿宋_GB2312"/>
                <w:color w:val="000000"/>
                <w:kern w:val="0"/>
                <w:sz w:val="18"/>
                <w:szCs w:val="18"/>
              </w:rPr>
              <w:t>1人</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1人</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100%　</w:t>
            </w:r>
          </w:p>
        </w:tc>
      </w:tr>
      <w:tr>
        <w:tblPrEx>
          <w:tblCellMar>
            <w:top w:w="0" w:type="dxa"/>
            <w:left w:w="108" w:type="dxa"/>
            <w:bottom w:w="0" w:type="dxa"/>
            <w:right w:w="108" w:type="dxa"/>
          </w:tblCellMar>
        </w:tblPrEx>
        <w:trPr>
          <w:trHeight w:val="429"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color w:val="000000"/>
                <w:kern w:val="0"/>
                <w:sz w:val="18"/>
                <w:szCs w:val="18"/>
              </w:rPr>
            </w:pPr>
            <w:r>
              <w:rPr>
                <w:rFonts w:hint="eastAsia" w:ascii="仿宋_GB2312" w:hAnsi="宋体" w:eastAsia="仿宋_GB2312" w:cs="仿宋_GB2312"/>
                <w:color w:val="000000"/>
                <w:kern w:val="0"/>
                <w:sz w:val="18"/>
                <w:szCs w:val="18"/>
              </w:rPr>
              <w:t>7、劳动人事争议调解成功率</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color w:val="000000"/>
                <w:kern w:val="0"/>
                <w:sz w:val="18"/>
                <w:szCs w:val="18"/>
                <w:lang w:val="en-US" w:eastAsia="zh-CN" w:bidi="ar-SA"/>
              </w:rPr>
            </w:pPr>
            <w:r>
              <w:rPr>
                <w:rFonts w:hint="eastAsia" w:ascii="仿宋_GB2312" w:hAnsi="宋体" w:eastAsia="仿宋_GB2312" w:cs="仿宋_GB2312"/>
                <w:color w:val="000000"/>
                <w:kern w:val="0"/>
                <w:sz w:val="18"/>
                <w:szCs w:val="18"/>
              </w:rPr>
              <w:t>60%</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100%</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100%</w:t>
            </w:r>
          </w:p>
        </w:tc>
      </w:tr>
      <w:tr>
        <w:tblPrEx>
          <w:tblCellMar>
            <w:top w:w="0" w:type="dxa"/>
            <w:left w:w="108" w:type="dxa"/>
            <w:bottom w:w="0" w:type="dxa"/>
            <w:right w:w="108" w:type="dxa"/>
          </w:tblCellMar>
        </w:tblPrEx>
        <w:trPr>
          <w:trHeight w:val="429" w:hRule="atLeast"/>
        </w:trPr>
        <w:tc>
          <w:tcPr>
            <w:tcW w:w="2563"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textAlignment w:val="center"/>
              <w:rPr>
                <w:rFonts w:ascii="宋体" w:hAnsi="宋体" w:cs="宋体"/>
                <w:kern w:val="0"/>
                <w:sz w:val="18"/>
                <w:szCs w:val="18"/>
              </w:rPr>
            </w:pPr>
            <w:r>
              <w:rPr>
                <w:rFonts w:hint="eastAsia" w:ascii="仿宋_GB2312" w:hAnsi="宋体" w:eastAsia="仿宋_GB2312" w:cs="仿宋_GB2312"/>
                <w:color w:val="000000"/>
                <w:kern w:val="0"/>
                <w:sz w:val="18"/>
                <w:szCs w:val="18"/>
              </w:rPr>
              <w:t>8、劳动保险监察举报投诉案件结案率</w:t>
            </w:r>
          </w:p>
        </w:tc>
        <w:tc>
          <w:tcPr>
            <w:tcW w:w="727" w:type="pct"/>
            <w:tcBorders>
              <w:top w:val="single" w:color="auto" w:sz="4" w:space="0"/>
              <w:left w:val="single" w:color="auto" w:sz="4" w:space="0"/>
              <w:bottom w:val="single" w:color="auto" w:sz="4" w:space="0"/>
              <w:right w:val="single" w:color="auto" w:sz="4" w:space="0"/>
            </w:tcBorders>
            <w:vAlign w:val="bottom"/>
          </w:tcPr>
          <w:p>
            <w:pPr>
              <w:widowControl/>
              <w:spacing w:line="560" w:lineRule="exact"/>
              <w:jc w:val="center"/>
              <w:textAlignment w:val="center"/>
              <w:rPr>
                <w:rFonts w:ascii="宋体" w:hAnsi="宋体" w:eastAsia="宋体" w:cs="宋体"/>
                <w:kern w:val="0"/>
                <w:sz w:val="18"/>
                <w:szCs w:val="18"/>
                <w:lang w:val="en-US" w:eastAsia="zh-CN" w:bidi="ar-SA"/>
              </w:rPr>
            </w:pPr>
            <w:r>
              <w:rPr>
                <w:rFonts w:hint="eastAsia" w:ascii="仿宋_GB2312" w:hAnsi="宋体" w:eastAsia="仿宋_GB2312" w:cs="仿宋_GB2312"/>
                <w:color w:val="000000"/>
                <w:kern w:val="0"/>
                <w:sz w:val="18"/>
                <w:szCs w:val="18"/>
              </w:rPr>
              <w:t>98%</w:t>
            </w:r>
          </w:p>
        </w:tc>
        <w:tc>
          <w:tcPr>
            <w:tcW w:w="850"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100%</w:t>
            </w:r>
          </w:p>
        </w:tc>
        <w:tc>
          <w:tcPr>
            <w:tcW w:w="858" w:type="pct"/>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textAlignment w:val="center"/>
              <w:rPr>
                <w:rFonts w:hint="eastAsia"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100%</w:t>
            </w:r>
          </w:p>
        </w:tc>
      </w:tr>
    </w:tbl>
    <w:p>
      <w:pPr>
        <w:pStyle w:val="15"/>
        <w:spacing w:line="560" w:lineRule="exact"/>
        <w:ind w:firstLine="640" w:firstLineChars="200"/>
        <w:rPr>
          <w:rFonts w:hint="eastAsia" w:ascii="仿宋_GB2312" w:eastAsia="仿宋_GB2312"/>
          <w:b/>
          <w:bCs/>
          <w:sz w:val="32"/>
          <w:szCs w:val="32"/>
        </w:rPr>
      </w:pPr>
      <w:r>
        <w:rPr>
          <w:rFonts w:hint="eastAsia" w:ascii="仿宋_GB2312" w:eastAsia="仿宋_GB2312"/>
          <w:b/>
          <w:bCs/>
          <w:sz w:val="32"/>
          <w:szCs w:val="32"/>
        </w:rPr>
        <w:t>2、部门整体支出预算执行、预算管理情况分析:</w:t>
      </w:r>
    </w:p>
    <w:p>
      <w:pPr>
        <w:spacing w:line="560" w:lineRule="exact"/>
        <w:ind w:firstLine="643"/>
        <w:rPr>
          <w:rFonts w:hint="eastAsia" w:ascii="楷体_GB2312" w:hAnsi="楷体_GB2312" w:eastAsia="楷体_GB2312"/>
          <w:b/>
          <w:sz w:val="32"/>
          <w:szCs w:val="32"/>
        </w:rPr>
      </w:pPr>
      <w:r>
        <w:rPr>
          <w:rFonts w:hint="eastAsia" w:ascii="楷体_GB2312" w:hAnsi="楷体_GB2312" w:eastAsia="楷体_GB2312"/>
          <w:b/>
          <w:sz w:val="32"/>
          <w:szCs w:val="32"/>
        </w:rPr>
        <w:t>（1）收入支出预算安排情况。</w:t>
      </w:r>
    </w:p>
    <w:p>
      <w:pPr>
        <w:tabs>
          <w:tab w:val="left" w:pos="87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2021年，本部门年初预算收入1385.4万元，比上年减少231.2万元，下降14.3%,</w:t>
      </w:r>
      <w:r>
        <w:rPr>
          <w:rFonts w:hint="eastAsia" w:ascii="仿宋_GB2312" w:hAnsi="仿宋_GB2312" w:eastAsia="仿宋_GB2312" w:cs="仿宋_GB2312"/>
          <w:sz w:val="32"/>
          <w:szCs w:val="32"/>
          <w:lang w:val="zh-CN"/>
        </w:rPr>
        <w:t>增减变化的主要原因是</w:t>
      </w:r>
      <w:r>
        <w:rPr>
          <w:rFonts w:hint="eastAsia" w:ascii="仿宋_GB2312" w:hAnsi="仿宋_GB2312" w:eastAsia="仿宋_GB2312" w:cs="仿宋_GB2312"/>
          <w:sz w:val="32"/>
          <w:szCs w:val="32"/>
        </w:rPr>
        <w:t>：项目缩减，相应经费减少。其中：一般公共预算财政拨款收入年初预算1385.4万元，比上年减少231.2万元。</w:t>
      </w:r>
    </w:p>
    <w:p>
      <w:pPr>
        <w:tabs>
          <w:tab w:val="left" w:pos="87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2021年，本部门年初预算支出1385.4万元，比上年减少231.2万元，下降14.3%，</w:t>
      </w:r>
      <w:r>
        <w:rPr>
          <w:rFonts w:hint="eastAsia" w:ascii="仿宋_GB2312" w:hAnsi="仿宋_GB2312" w:eastAsia="仿宋_GB2312" w:cs="仿宋_GB2312"/>
          <w:sz w:val="32"/>
          <w:szCs w:val="32"/>
          <w:lang w:val="zh-CN"/>
        </w:rPr>
        <w:t>增减变化的主要原因是</w:t>
      </w:r>
      <w:r>
        <w:rPr>
          <w:rFonts w:hint="eastAsia" w:ascii="仿宋_GB2312" w:hAnsi="仿宋_GB2312" w:eastAsia="仿宋_GB2312" w:cs="仿宋_GB2312"/>
          <w:sz w:val="32"/>
          <w:szCs w:val="32"/>
        </w:rPr>
        <w:t>：项目缩减，相应经费减少。其中：基本</w:t>
      </w:r>
      <w:r>
        <w:rPr>
          <w:rFonts w:hint="eastAsia" w:ascii="仿宋_GB2312" w:hAnsi="仿宋_GB2312" w:eastAsia="仿宋_GB2312" w:cs="仿宋_GB2312"/>
          <w:sz w:val="32"/>
          <w:szCs w:val="32"/>
          <w:lang w:val="zh-CN"/>
        </w:rPr>
        <w:t>支出</w:t>
      </w:r>
      <w:r>
        <w:rPr>
          <w:rFonts w:hint="eastAsia" w:ascii="仿宋_GB2312" w:hAnsi="仿宋_GB2312" w:eastAsia="仿宋_GB2312" w:cs="仿宋_GB2312"/>
          <w:sz w:val="32"/>
          <w:szCs w:val="32"/>
        </w:rPr>
        <w:t>年初预算1330.6万元，比上年增加104.4万元，增长8.5%；项目支出年初预算54.8万元，比上年减少335.6万元，下降85.96%。</w:t>
      </w:r>
    </w:p>
    <w:p>
      <w:pPr>
        <w:spacing w:line="560" w:lineRule="exact"/>
        <w:ind w:firstLine="643"/>
        <w:rPr>
          <w:rFonts w:hint="eastAsia" w:ascii="楷体_GB2312" w:hAnsi="楷体_GB2312" w:eastAsia="楷体_GB2312"/>
          <w:b/>
          <w:sz w:val="32"/>
          <w:szCs w:val="32"/>
        </w:rPr>
      </w:pPr>
      <w:r>
        <w:rPr>
          <w:rFonts w:hint="eastAsia" w:ascii="楷体_GB2312" w:hAnsi="楷体_GB2312" w:eastAsia="楷体_GB2312"/>
          <w:b/>
          <w:sz w:val="32"/>
          <w:szCs w:val="32"/>
        </w:rPr>
        <w:t>（2）收入支出预算执行情况。</w:t>
      </w:r>
    </w:p>
    <w:p>
      <w:pPr>
        <w:tabs>
          <w:tab w:val="left" w:pos="87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2021年收入实际完成1794</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万元，比上年减少1262万元，下降41.3%。主要原因是： 项目缩减，经费相应减少。其中：一般公共预算财政拨款收入完成1794</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万元，比上年减少1262万元，下降41.3</w:t>
      </w:r>
      <w:r>
        <w:rPr>
          <w:rFonts w:hint="eastAsia" w:ascii="仿宋_GB2312" w:hAnsi="仿宋_GB2312" w:eastAsia="仿宋_GB2312" w:cs="仿宋_GB2312"/>
          <w:sz w:val="32"/>
          <w:szCs w:val="32"/>
          <w:lang w:val="zh-CN"/>
        </w:rPr>
        <w:t>%，变化的主要原因是：</w:t>
      </w:r>
      <w:r>
        <w:rPr>
          <w:rFonts w:hint="eastAsia" w:ascii="仿宋_GB2312" w:hAnsi="仿宋_GB2312" w:eastAsia="仿宋_GB2312" w:cs="仿宋_GB2312"/>
          <w:sz w:val="32"/>
          <w:szCs w:val="32"/>
        </w:rPr>
        <w:t>项目缩减，经费相应减少。</w:t>
      </w:r>
    </w:p>
    <w:p>
      <w:pPr>
        <w:tabs>
          <w:tab w:val="left" w:pos="870"/>
        </w:tabs>
        <w:spacing w:line="560" w:lineRule="exac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2021年，本部门支出2059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万元，比上年减少984万元，下降32.32%；</w:t>
      </w:r>
      <w:r>
        <w:rPr>
          <w:rFonts w:hint="eastAsia" w:ascii="仿宋_GB2312" w:hAnsi="仿宋_GB2312" w:eastAsia="仿宋_GB2312" w:cs="仿宋_GB2312"/>
          <w:sz w:val="32"/>
          <w:szCs w:val="32"/>
          <w:lang w:val="zh-CN"/>
        </w:rPr>
        <w:t>变化的主要原因</w:t>
      </w:r>
      <w:r>
        <w:rPr>
          <w:rFonts w:hint="eastAsia" w:ascii="仿宋_GB2312" w:hAnsi="仿宋_GB2312" w:eastAsia="仿宋_GB2312" w:cs="仿宋_GB2312"/>
          <w:sz w:val="32"/>
          <w:szCs w:val="32"/>
        </w:rPr>
        <w:t>：项目缩减，经费相应减少。其中：基本支出完成1623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 w:hAnsi="仿宋" w:eastAsia="仿宋"/>
          <w:sz w:val="32"/>
          <w:szCs w:val="32"/>
        </w:rPr>
        <w:t>，占总支出的78.82%，</w:t>
      </w:r>
      <w:r>
        <w:rPr>
          <w:rFonts w:hint="eastAsia" w:ascii="仿宋_GB2312" w:hAnsi="仿宋_GB2312" w:eastAsia="仿宋_GB2312" w:cs="仿宋_GB2312"/>
          <w:sz w:val="32"/>
          <w:szCs w:val="32"/>
        </w:rPr>
        <w:t>比上年减少22万元，下降1.36%，</w:t>
      </w:r>
      <w:r>
        <w:rPr>
          <w:rFonts w:hint="eastAsia" w:ascii="仿宋_GB2312" w:hAnsi="仿宋_GB2312" w:eastAsia="仿宋_GB2312" w:cs="仿宋_GB2312"/>
          <w:sz w:val="32"/>
          <w:szCs w:val="32"/>
          <w:lang w:val="zh-CN"/>
        </w:rPr>
        <w:t>变化的主要原因：调出、退休人员较多</w:t>
      </w:r>
      <w:r>
        <w:rPr>
          <w:rFonts w:hint="eastAsia" w:ascii="仿宋_GB2312" w:hAnsi="仿宋_GB2312" w:eastAsia="仿宋_GB2312" w:cs="仿宋_GB2312"/>
          <w:sz w:val="32"/>
          <w:szCs w:val="32"/>
        </w:rPr>
        <w:t>，经费相应减少；项目支出436</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 w:hAnsi="仿宋" w:eastAsia="仿宋"/>
          <w:sz w:val="32"/>
          <w:szCs w:val="32"/>
        </w:rPr>
        <w:t>，占总支出的20%</w:t>
      </w:r>
      <w:r>
        <w:rPr>
          <w:rFonts w:hint="eastAsia" w:ascii="仿宋_GB2312" w:hAnsi="仿宋_GB2312" w:eastAsia="仿宋_GB2312" w:cs="仿宋_GB2312"/>
          <w:sz w:val="32"/>
          <w:szCs w:val="32"/>
        </w:rPr>
        <w:t>，比上年减少961万元，下降68.79%，</w:t>
      </w:r>
      <w:r>
        <w:rPr>
          <w:rFonts w:hint="eastAsia" w:ascii="仿宋_GB2312" w:hAnsi="仿宋_GB2312" w:eastAsia="仿宋_GB2312" w:cs="仿宋_GB2312"/>
          <w:sz w:val="32"/>
          <w:szCs w:val="32"/>
          <w:lang w:val="zh-CN"/>
        </w:rPr>
        <w:t>变化的主要原因：</w:t>
      </w:r>
      <w:r>
        <w:rPr>
          <w:rFonts w:hint="eastAsia" w:ascii="仿宋_GB2312" w:hAnsi="仿宋_GB2312" w:eastAsia="仿宋_GB2312" w:cs="仿宋_GB2312"/>
          <w:sz w:val="32"/>
          <w:szCs w:val="32"/>
        </w:rPr>
        <w:t>项目缩减，经费相应减少。</w:t>
      </w:r>
      <w:r>
        <w:rPr>
          <w:rFonts w:hint="eastAsia" w:ascii="仿宋_GB2312" w:hAnsi="仿宋_GB2312" w:eastAsia="仿宋_GB2312" w:cs="仿宋_GB2312"/>
          <w:sz w:val="32"/>
          <w:szCs w:val="32"/>
          <w:lang w:val="zh-CN"/>
        </w:rPr>
        <w:t>人员经费</w:t>
      </w:r>
      <w:r>
        <w:rPr>
          <w:rFonts w:hint="eastAsia" w:ascii="仿宋_GB2312" w:hAnsi="仿宋_GB2312" w:eastAsia="仿宋_GB2312" w:cs="仿宋_GB2312"/>
          <w:sz w:val="32"/>
          <w:szCs w:val="32"/>
        </w:rPr>
        <w:t>完成1204</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万元，比上年减少127万元，下降9.58%，</w:t>
      </w:r>
      <w:r>
        <w:rPr>
          <w:rFonts w:hint="eastAsia" w:ascii="仿宋_GB2312" w:hAnsi="仿宋_GB2312" w:eastAsia="仿宋_GB2312" w:cs="仿宋_GB2312"/>
          <w:sz w:val="32"/>
          <w:szCs w:val="32"/>
          <w:lang w:val="zh-CN"/>
        </w:rPr>
        <w:t>变化的主要原因：调出、退休人员较多</w:t>
      </w:r>
      <w:r>
        <w:rPr>
          <w:rFonts w:hint="eastAsia" w:ascii="仿宋_GB2312" w:hAnsi="仿宋_GB2312" w:eastAsia="仿宋_GB2312" w:cs="仿宋_GB2312"/>
          <w:sz w:val="32"/>
          <w:szCs w:val="32"/>
        </w:rPr>
        <w:t>，经费相应减少；公用</w:t>
      </w:r>
      <w:r>
        <w:rPr>
          <w:rFonts w:hint="eastAsia" w:ascii="仿宋_GB2312" w:hAnsi="仿宋_GB2312" w:eastAsia="仿宋_GB2312" w:cs="仿宋_GB2312"/>
          <w:sz w:val="32"/>
          <w:szCs w:val="32"/>
          <w:lang w:val="zh-CN"/>
        </w:rPr>
        <w:t>经费</w:t>
      </w:r>
      <w:r>
        <w:rPr>
          <w:rFonts w:hint="eastAsia" w:ascii="仿宋_GB2312" w:hAnsi="仿宋_GB2312" w:eastAsia="仿宋_GB2312" w:cs="仿宋_GB2312"/>
          <w:sz w:val="32"/>
          <w:szCs w:val="32"/>
        </w:rPr>
        <w:t>完成41</w:t>
      </w:r>
      <w:r>
        <w:rPr>
          <w:rFonts w:hint="eastAsia" w:ascii="仿宋_GB2312" w:hAnsi="仿宋_GB2312" w:eastAsia="仿宋_GB2312" w:cs="仿宋_GB2312"/>
          <w:sz w:val="32"/>
          <w:szCs w:val="32"/>
          <w:lang w:val="en-US" w:eastAsia="zh-CN"/>
        </w:rPr>
        <w:t>8.7</w:t>
      </w:r>
      <w:r>
        <w:rPr>
          <w:rFonts w:hint="eastAsia" w:ascii="仿宋_GB2312" w:hAnsi="仿宋_GB2312" w:eastAsia="仿宋_GB2312" w:cs="仿宋_GB2312"/>
          <w:sz w:val="32"/>
          <w:szCs w:val="32"/>
        </w:rPr>
        <w:t>万元，比上年增加105万元，增长33.57%，</w:t>
      </w:r>
      <w:r>
        <w:rPr>
          <w:rFonts w:hint="eastAsia" w:ascii="仿宋_GB2312" w:hAnsi="仿宋_GB2312" w:eastAsia="仿宋_GB2312" w:cs="仿宋_GB2312"/>
          <w:sz w:val="32"/>
          <w:szCs w:val="32"/>
          <w:lang w:val="zh-CN"/>
        </w:rPr>
        <w:t>变化的主要原因：</w:t>
      </w:r>
      <w:r>
        <w:rPr>
          <w:rFonts w:hint="eastAsia" w:ascii="仿宋_GB2312" w:hAnsi="仿宋_GB2312" w:eastAsia="仿宋_GB2312" w:cs="仿宋_GB2312"/>
          <w:sz w:val="32"/>
          <w:szCs w:val="32"/>
        </w:rPr>
        <w:t>2020受疫情影响，支出有所减少，2021年支出恢复正常</w:t>
      </w:r>
      <w:r>
        <w:rPr>
          <w:rFonts w:hint="eastAsia" w:ascii="仿宋_GB2312" w:hAnsi="仿宋_GB2312" w:eastAsia="仿宋_GB2312" w:cs="仿宋_GB2312"/>
          <w:sz w:val="32"/>
          <w:szCs w:val="32"/>
          <w:lang w:val="zh-CN"/>
        </w:rPr>
        <w:t>。</w:t>
      </w:r>
    </w:p>
    <w:p>
      <w:pPr>
        <w:pStyle w:val="15"/>
        <w:spacing w:line="560" w:lineRule="exact"/>
        <w:ind w:firstLine="640" w:firstLineChars="200"/>
        <w:rPr>
          <w:rFonts w:hint="eastAsia" w:ascii="黑体" w:hAnsi="仿宋" w:eastAsia="黑体"/>
          <w:b/>
          <w:bCs/>
          <w:kern w:val="0"/>
          <w:sz w:val="32"/>
          <w:szCs w:val="32"/>
        </w:rPr>
      </w:pPr>
      <w:r>
        <w:rPr>
          <w:rFonts w:hint="eastAsia" w:ascii="黑体" w:hAnsi="仿宋" w:eastAsia="黑体"/>
          <w:b/>
          <w:bCs/>
          <w:kern w:val="0"/>
          <w:sz w:val="32"/>
          <w:szCs w:val="32"/>
        </w:rPr>
        <w:t>（三）评价结论</w:t>
      </w:r>
    </w:p>
    <w:p>
      <w:pPr>
        <w:spacing w:line="560" w:lineRule="exact"/>
        <w:ind w:firstLine="470" w:firstLineChars="147"/>
        <w:rPr>
          <w:rFonts w:hint="eastAsia" w:ascii="仿宋_GB2312" w:eastAsia="仿宋_GB2312"/>
          <w:sz w:val="32"/>
          <w:szCs w:val="32"/>
        </w:rPr>
      </w:pPr>
      <w:r>
        <w:rPr>
          <w:rFonts w:hint="eastAsia" w:ascii="仿宋_GB2312" w:eastAsia="仿宋_GB2312"/>
          <w:sz w:val="32"/>
          <w:szCs w:val="32"/>
        </w:rPr>
        <w:t>根据全年目标完成情况及部门整体支出预算执行、预算管理情况，对照部门整体支出绩效评价指标体系及《2021年湘潭县预算绩效管理工（作考核办法》，自评打分为98分，评为优等。</w:t>
      </w:r>
    </w:p>
    <w:p>
      <w:pPr>
        <w:pStyle w:val="15"/>
        <w:spacing w:line="560" w:lineRule="exact"/>
        <w:ind w:firstLine="640" w:firstLineChars="200"/>
        <w:rPr>
          <w:rFonts w:hint="eastAsia" w:ascii="黑体" w:hAnsi="仿宋" w:eastAsia="黑体"/>
          <w:b/>
          <w:bCs/>
          <w:kern w:val="0"/>
          <w:sz w:val="32"/>
          <w:szCs w:val="32"/>
        </w:rPr>
      </w:pPr>
      <w:r>
        <w:rPr>
          <w:rFonts w:hint="eastAsia" w:ascii="黑体" w:hAnsi="仿宋" w:eastAsia="黑体"/>
          <w:b/>
          <w:bCs/>
          <w:kern w:val="0"/>
          <w:sz w:val="32"/>
          <w:szCs w:val="32"/>
        </w:rPr>
        <w:t>（四）主要经验及做法</w:t>
      </w:r>
    </w:p>
    <w:p>
      <w:pPr>
        <w:spacing w:line="560" w:lineRule="exact"/>
        <w:ind w:firstLine="640" w:firstLineChars="200"/>
        <w:rPr>
          <w:rFonts w:hint="eastAsia" w:ascii="Times New Roman" w:hAnsi="Times New Roman" w:eastAsia="仿宋_GB2312"/>
          <w:sz w:val="32"/>
          <w:szCs w:val="32"/>
        </w:rPr>
      </w:pPr>
      <w:r>
        <w:rPr>
          <w:rFonts w:hint="eastAsia" w:ascii="仿宋_GB2312" w:eastAsia="仿宋_GB2312"/>
          <w:b/>
          <w:bCs/>
          <w:color w:val="000000"/>
          <w:sz w:val="32"/>
          <w:szCs w:val="32"/>
        </w:rPr>
        <w:t>1、就业创业工作：</w:t>
      </w:r>
      <w:r>
        <w:rPr>
          <w:rFonts w:hint="eastAsia" w:ascii="Times New Roman" w:hAnsi="Times New Roman" w:eastAsia="仿宋_GB2312"/>
          <w:sz w:val="32"/>
          <w:szCs w:val="32"/>
        </w:rPr>
        <w:t>始终坚持就业优先战略，把支持企业稳定发展作为重中之重，以高校毕业生、返乡农民工、就业困难人员三类人群为重点，积极开展就业创业“三送”“双扩”系列活动，确保全县就业局势整体稳定。</w:t>
      </w:r>
      <w:r>
        <w:rPr>
          <w:rFonts w:ascii="Times New Roman" w:hAnsi="Times New Roman" w:eastAsia="仿宋_GB2312"/>
          <w:sz w:val="32"/>
          <w:szCs w:val="32"/>
        </w:rPr>
        <w:t>2021</w:t>
      </w:r>
      <w:r>
        <w:rPr>
          <w:rFonts w:hint="eastAsia" w:ascii="Times New Roman" w:hAnsi="Times New Roman" w:eastAsia="仿宋_GB2312"/>
          <w:sz w:val="32"/>
          <w:szCs w:val="32"/>
        </w:rPr>
        <w:t>年，全县城镇新增就业</w:t>
      </w:r>
      <w:r>
        <w:rPr>
          <w:rFonts w:ascii="Times New Roman" w:hAnsi="Times New Roman" w:eastAsia="仿宋_GB2312"/>
          <w:sz w:val="32"/>
          <w:szCs w:val="32"/>
        </w:rPr>
        <w:t>6040</w:t>
      </w:r>
      <w:r>
        <w:rPr>
          <w:rFonts w:hint="eastAsia" w:ascii="Times New Roman" w:hAnsi="Times New Roman" w:eastAsia="仿宋_GB2312"/>
          <w:sz w:val="32"/>
          <w:szCs w:val="32"/>
        </w:rPr>
        <w:t>人，完成目标任务的</w:t>
      </w:r>
      <w:r>
        <w:rPr>
          <w:rFonts w:ascii="Times New Roman" w:hAnsi="Times New Roman" w:eastAsia="仿宋_GB2312"/>
          <w:sz w:val="32"/>
          <w:szCs w:val="32"/>
        </w:rPr>
        <w:t>102%</w:t>
      </w:r>
      <w:r>
        <w:rPr>
          <w:rFonts w:hint="eastAsia" w:ascii="Times New Roman" w:hAnsi="Times New Roman" w:eastAsia="仿宋_GB2312"/>
          <w:sz w:val="32"/>
          <w:szCs w:val="32"/>
        </w:rPr>
        <w:t>，城镇登记失业率保持在</w:t>
      </w:r>
      <w:r>
        <w:rPr>
          <w:rFonts w:ascii="Times New Roman" w:hAnsi="Times New Roman" w:eastAsia="仿宋_GB2312"/>
          <w:sz w:val="32"/>
          <w:szCs w:val="32"/>
        </w:rPr>
        <w:t>2.57%</w:t>
      </w:r>
      <w:r>
        <w:rPr>
          <w:rFonts w:hint="eastAsia" w:ascii="Times New Roman" w:hAnsi="Times New Roman" w:eastAsia="仿宋_GB2312"/>
          <w:sz w:val="32"/>
          <w:szCs w:val="32"/>
        </w:rPr>
        <w:t>的较低水平；新增农村劳动力转移就业</w:t>
      </w:r>
      <w:r>
        <w:rPr>
          <w:rFonts w:ascii="Times New Roman" w:hAnsi="Times New Roman" w:eastAsia="仿宋_GB2312"/>
          <w:sz w:val="32"/>
          <w:szCs w:val="32"/>
        </w:rPr>
        <w:t>4308</w:t>
      </w:r>
      <w:r>
        <w:rPr>
          <w:rFonts w:hint="eastAsia" w:ascii="Times New Roman" w:hAnsi="Times New Roman" w:eastAsia="仿宋_GB2312"/>
          <w:sz w:val="32"/>
          <w:szCs w:val="32"/>
        </w:rPr>
        <w:t>人、失业人员再就业</w:t>
      </w:r>
      <w:r>
        <w:rPr>
          <w:rFonts w:ascii="Times New Roman" w:hAnsi="Times New Roman" w:eastAsia="仿宋_GB2312"/>
          <w:sz w:val="32"/>
          <w:szCs w:val="32"/>
        </w:rPr>
        <w:t>1729</w:t>
      </w:r>
      <w:r>
        <w:rPr>
          <w:rFonts w:hint="eastAsia" w:ascii="Times New Roman" w:hAnsi="Times New Roman" w:eastAsia="仿宋_GB2312"/>
          <w:sz w:val="32"/>
          <w:szCs w:val="32"/>
        </w:rPr>
        <w:t>人，分别完成目标任务的</w:t>
      </w:r>
      <w:r>
        <w:rPr>
          <w:rFonts w:ascii="Times New Roman" w:hAnsi="Times New Roman" w:eastAsia="仿宋_GB2312"/>
          <w:sz w:val="32"/>
          <w:szCs w:val="32"/>
        </w:rPr>
        <w:t>108%</w:t>
      </w:r>
      <w:r>
        <w:rPr>
          <w:rFonts w:hint="eastAsia" w:ascii="Times New Roman" w:hAnsi="Times New Roman" w:eastAsia="仿宋_GB2312"/>
          <w:sz w:val="32"/>
          <w:szCs w:val="32"/>
        </w:rPr>
        <w:t>、</w:t>
      </w:r>
      <w:r>
        <w:rPr>
          <w:rFonts w:ascii="Times New Roman" w:hAnsi="Times New Roman" w:eastAsia="仿宋_GB2312"/>
          <w:sz w:val="32"/>
          <w:szCs w:val="32"/>
        </w:rPr>
        <w:t>133%</w:t>
      </w:r>
      <w:r>
        <w:rPr>
          <w:rFonts w:hint="eastAsia" w:ascii="Times New Roman" w:hAnsi="Times New Roman" w:eastAsia="仿宋_GB2312"/>
          <w:sz w:val="32"/>
          <w:szCs w:val="32"/>
        </w:rPr>
        <w:t>；开展职业技能培训</w:t>
      </w:r>
      <w:r>
        <w:rPr>
          <w:rFonts w:ascii="Times New Roman" w:hAnsi="Times New Roman" w:eastAsia="仿宋_GB2312"/>
          <w:sz w:val="32"/>
          <w:szCs w:val="32"/>
        </w:rPr>
        <w:t>8522</w:t>
      </w:r>
      <w:r>
        <w:rPr>
          <w:rFonts w:hint="eastAsia" w:ascii="Times New Roman" w:hAnsi="Times New Roman" w:eastAsia="仿宋_GB2312"/>
          <w:sz w:val="32"/>
          <w:szCs w:val="32"/>
        </w:rPr>
        <w:t>人，完成目标任务的</w:t>
      </w:r>
      <w:r>
        <w:rPr>
          <w:rFonts w:ascii="Times New Roman" w:hAnsi="Times New Roman" w:eastAsia="仿宋_GB2312"/>
          <w:sz w:val="32"/>
          <w:szCs w:val="32"/>
        </w:rPr>
        <w:t xml:space="preserve">106% </w:t>
      </w:r>
      <w:r>
        <w:rPr>
          <w:rFonts w:hint="eastAsia" w:ascii="Times New Roman" w:hAnsi="Times New Roman" w:eastAsia="仿宋_GB2312"/>
          <w:sz w:val="32"/>
          <w:szCs w:val="32"/>
        </w:rPr>
        <w:t>；参加就业见习</w:t>
      </w:r>
      <w:r>
        <w:rPr>
          <w:rFonts w:ascii="Times New Roman" w:hAnsi="Times New Roman" w:eastAsia="仿宋_GB2312"/>
          <w:sz w:val="32"/>
          <w:szCs w:val="32"/>
        </w:rPr>
        <w:t>181</w:t>
      </w:r>
      <w:r>
        <w:rPr>
          <w:rFonts w:hint="eastAsia" w:ascii="Times New Roman" w:hAnsi="Times New Roman" w:eastAsia="仿宋_GB2312"/>
          <w:sz w:val="32"/>
          <w:szCs w:val="32"/>
        </w:rPr>
        <w:t>人，完成目标任务的</w:t>
      </w:r>
      <w:r>
        <w:rPr>
          <w:rFonts w:ascii="Times New Roman" w:hAnsi="Times New Roman" w:eastAsia="仿宋_GB2312"/>
          <w:sz w:val="32"/>
          <w:szCs w:val="32"/>
        </w:rPr>
        <w:t>150%</w:t>
      </w:r>
      <w:r>
        <w:rPr>
          <w:rFonts w:hint="eastAsia" w:ascii="Times New Roman" w:hAnsi="Times New Roman" w:eastAsia="仿宋_GB2312"/>
          <w:sz w:val="32"/>
          <w:szCs w:val="32"/>
        </w:rPr>
        <w:t>。完善“乐业莲乡”微信公众号平台，开展“点亮万家灯火”“三送三稳”“招聘直播间”等系列招聘活动，举办线上线下招聘活动</w:t>
      </w:r>
      <w:r>
        <w:rPr>
          <w:rFonts w:ascii="Times New Roman" w:hAnsi="Times New Roman" w:eastAsia="仿宋_GB2312"/>
          <w:sz w:val="32"/>
          <w:szCs w:val="32"/>
        </w:rPr>
        <w:t>51</w:t>
      </w:r>
      <w:r>
        <w:rPr>
          <w:rFonts w:hint="eastAsia" w:ascii="Times New Roman" w:hAnsi="Times New Roman" w:eastAsia="仿宋_GB2312"/>
          <w:sz w:val="32"/>
          <w:szCs w:val="32"/>
        </w:rPr>
        <w:t>场次，现场达成就业意向</w:t>
      </w:r>
      <w:r>
        <w:rPr>
          <w:rFonts w:ascii="Times New Roman" w:hAnsi="Times New Roman" w:eastAsia="仿宋_GB2312"/>
          <w:sz w:val="32"/>
          <w:szCs w:val="32"/>
        </w:rPr>
        <w:t>6003</w:t>
      </w:r>
      <w:r>
        <w:rPr>
          <w:rFonts w:hint="eastAsia" w:ascii="Times New Roman" w:hAnsi="Times New Roman" w:eastAsia="仿宋_GB2312"/>
          <w:sz w:val="32"/>
          <w:szCs w:val="32"/>
        </w:rPr>
        <w:t>人。</w:t>
      </w:r>
      <w:r>
        <w:rPr>
          <w:rFonts w:hint="eastAsia" w:ascii="仿宋_GB2312" w:hAnsi="仿宋" w:eastAsia="仿宋_GB2312"/>
          <w:sz w:val="32"/>
          <w:szCs w:val="32"/>
        </w:rPr>
        <w:t>包高铁专列助力农民工返岗复工被中央电视台报道。</w:t>
      </w:r>
      <w:r>
        <w:rPr>
          <w:rFonts w:hint="eastAsia" w:ascii="Times New Roman" w:hAnsi="Times New Roman" w:eastAsia="仿宋_GB2312"/>
          <w:sz w:val="32"/>
          <w:szCs w:val="32"/>
        </w:rPr>
        <w:t>共</w:t>
      </w:r>
      <w:r>
        <w:rPr>
          <w:rFonts w:ascii="Times New Roman" w:hAnsi="Times New Roman" w:eastAsia="仿宋_GB2312"/>
          <w:sz w:val="32"/>
          <w:szCs w:val="32"/>
        </w:rPr>
        <w:t>17</w:t>
      </w:r>
      <w:r>
        <w:rPr>
          <w:rFonts w:hint="eastAsia" w:ascii="Times New Roman" w:hAnsi="Times New Roman" w:eastAsia="仿宋_GB2312"/>
          <w:sz w:val="32"/>
          <w:szCs w:val="32"/>
        </w:rPr>
        <w:t>个创业项目被评为市、县创业带动就业示范典型。重点建设</w:t>
      </w:r>
      <w:r>
        <w:rPr>
          <w:rFonts w:ascii="Times New Roman" w:hAnsi="Times New Roman" w:eastAsia="仿宋_GB2312"/>
          <w:sz w:val="32"/>
          <w:szCs w:val="32"/>
        </w:rPr>
        <w:t>22</w:t>
      </w:r>
      <w:r>
        <w:rPr>
          <w:rFonts w:hint="eastAsia" w:ascii="Times New Roman" w:hAnsi="Times New Roman" w:eastAsia="仿宋_GB2312"/>
          <w:sz w:val="32"/>
          <w:szCs w:val="32"/>
        </w:rPr>
        <w:t>个充分就业标准社区（村），进一步夯实基层就业服务平台，提升就业服务能力。</w:t>
      </w:r>
    </w:p>
    <w:p>
      <w:pPr>
        <w:spacing w:line="560" w:lineRule="exact"/>
        <w:ind w:firstLine="640" w:firstLineChars="200"/>
        <w:rPr>
          <w:rFonts w:ascii="Times New Roman" w:hAnsi="Times New Roman" w:eastAsia="仿宋_GB2312"/>
          <w:sz w:val="32"/>
          <w:szCs w:val="32"/>
        </w:rPr>
      </w:pPr>
      <w:r>
        <w:rPr>
          <w:rFonts w:hint="eastAsia" w:ascii="仿宋_GB2312" w:eastAsia="仿宋_GB2312"/>
          <w:b/>
          <w:bCs/>
          <w:color w:val="000000"/>
          <w:sz w:val="32"/>
          <w:szCs w:val="32"/>
        </w:rPr>
        <w:t>2、社会保险工作:</w:t>
      </w:r>
      <w:r>
        <w:rPr>
          <w:rFonts w:ascii="仿宋_GB2312" w:eastAsia="仿宋_GB2312"/>
          <w:b/>
          <w:bCs/>
          <w:color w:val="000000"/>
          <w:sz w:val="32"/>
          <w:szCs w:val="32"/>
        </w:rPr>
        <w:t> </w:t>
      </w:r>
      <w:r>
        <w:rPr>
          <w:rFonts w:hint="eastAsia" w:ascii="Times New Roman" w:hAnsi="Times New Roman" w:eastAsia="仿宋_GB2312"/>
          <w:sz w:val="32"/>
          <w:szCs w:val="32"/>
        </w:rPr>
        <w:t>持续推进全民参保计划，想方设法挖掘扩面征缴潜力，不断扩大社保覆盖面。</w:t>
      </w:r>
      <w:r>
        <w:rPr>
          <w:rFonts w:ascii="Times New Roman" w:hAnsi="Times New Roman" w:eastAsia="仿宋_GB2312"/>
          <w:sz w:val="32"/>
          <w:szCs w:val="32"/>
        </w:rPr>
        <w:t>2021</w:t>
      </w:r>
      <w:r>
        <w:rPr>
          <w:rFonts w:hint="eastAsia" w:ascii="Times New Roman" w:hAnsi="Times New Roman" w:eastAsia="仿宋_GB2312"/>
          <w:sz w:val="32"/>
          <w:szCs w:val="32"/>
        </w:rPr>
        <w:t>年，城乡居民养老保险新增参保</w:t>
      </w:r>
      <w:r>
        <w:rPr>
          <w:rFonts w:ascii="Times New Roman" w:hAnsi="Times New Roman" w:eastAsia="仿宋_GB2312"/>
          <w:sz w:val="32"/>
          <w:szCs w:val="32"/>
        </w:rPr>
        <w:t xml:space="preserve"> 3395</w:t>
      </w:r>
      <w:r>
        <w:rPr>
          <w:rFonts w:hint="eastAsia" w:ascii="Times New Roman" w:hAnsi="Times New Roman" w:eastAsia="仿宋_GB2312"/>
          <w:sz w:val="32"/>
          <w:szCs w:val="32"/>
        </w:rPr>
        <w:t>人，完成目标任务的</w:t>
      </w:r>
      <w:r>
        <w:rPr>
          <w:rFonts w:ascii="Times New Roman" w:hAnsi="Times New Roman" w:eastAsia="仿宋_GB2312"/>
          <w:sz w:val="32"/>
          <w:szCs w:val="32"/>
        </w:rPr>
        <w:t>154%</w:t>
      </w:r>
      <w:r>
        <w:rPr>
          <w:rFonts w:hint="eastAsia" w:ascii="Times New Roman" w:hAnsi="Times New Roman" w:eastAsia="仿宋_GB2312"/>
          <w:sz w:val="32"/>
          <w:szCs w:val="32"/>
        </w:rPr>
        <w:t>；工伤保险、失业保险参保分别达</w:t>
      </w:r>
      <w:r>
        <w:rPr>
          <w:rFonts w:ascii="Times New Roman" w:hAnsi="Times New Roman" w:eastAsia="仿宋_GB2312"/>
          <w:sz w:val="32"/>
          <w:szCs w:val="32"/>
        </w:rPr>
        <w:t>7.76</w:t>
      </w:r>
      <w:r>
        <w:rPr>
          <w:rFonts w:hint="eastAsia" w:ascii="Times New Roman" w:hAnsi="Times New Roman" w:eastAsia="仿宋_GB2312"/>
          <w:sz w:val="32"/>
          <w:szCs w:val="32"/>
        </w:rPr>
        <w:t>万人、</w:t>
      </w:r>
      <w:r>
        <w:rPr>
          <w:rFonts w:ascii="Times New Roman" w:hAnsi="Times New Roman" w:eastAsia="仿宋_GB2312"/>
          <w:sz w:val="32"/>
          <w:szCs w:val="32"/>
        </w:rPr>
        <w:t>3.84</w:t>
      </w:r>
      <w:r>
        <w:rPr>
          <w:rFonts w:hint="eastAsia" w:ascii="Times New Roman" w:hAnsi="Times New Roman" w:eastAsia="仿宋_GB2312"/>
          <w:sz w:val="32"/>
          <w:szCs w:val="32"/>
        </w:rPr>
        <w:t>万人，分别完成目标任务的</w:t>
      </w:r>
      <w:r>
        <w:rPr>
          <w:rFonts w:ascii="Times New Roman" w:hAnsi="Times New Roman" w:eastAsia="仿宋_GB2312"/>
          <w:sz w:val="32"/>
          <w:szCs w:val="32"/>
        </w:rPr>
        <w:t>102%</w:t>
      </w:r>
      <w:r>
        <w:rPr>
          <w:rFonts w:hint="eastAsia" w:ascii="Times New Roman" w:hAnsi="Times New Roman" w:eastAsia="仿宋_GB2312"/>
          <w:sz w:val="32"/>
          <w:szCs w:val="32"/>
        </w:rPr>
        <w:t>、</w:t>
      </w:r>
      <w:r>
        <w:rPr>
          <w:rFonts w:ascii="Times New Roman" w:hAnsi="Times New Roman" w:eastAsia="仿宋_GB2312"/>
          <w:sz w:val="32"/>
          <w:szCs w:val="32"/>
        </w:rPr>
        <w:t>100%</w:t>
      </w:r>
      <w:r>
        <w:rPr>
          <w:rFonts w:hint="eastAsia" w:ascii="Times New Roman" w:hAnsi="Times New Roman" w:eastAsia="仿宋_GB2312"/>
          <w:sz w:val="32"/>
          <w:szCs w:val="32"/>
        </w:rPr>
        <w:t>。城乡居民基本养老保险月人均养老金达</w:t>
      </w:r>
      <w:r>
        <w:rPr>
          <w:rFonts w:ascii="Times New Roman" w:hAnsi="Times New Roman" w:eastAsia="仿宋_GB2312"/>
          <w:sz w:val="32"/>
          <w:szCs w:val="32"/>
        </w:rPr>
        <w:t>118.42</w:t>
      </w:r>
      <w:r>
        <w:rPr>
          <w:rFonts w:hint="eastAsia" w:ascii="Times New Roman" w:hAnsi="Times New Roman" w:eastAsia="仿宋_GB2312"/>
          <w:sz w:val="32"/>
          <w:szCs w:val="32"/>
        </w:rPr>
        <w:t>元。全县社保基金收入</w:t>
      </w:r>
      <w:r>
        <w:rPr>
          <w:rFonts w:ascii="Times New Roman" w:hAnsi="Times New Roman" w:eastAsia="仿宋_GB2312"/>
          <w:sz w:val="32"/>
          <w:szCs w:val="32"/>
        </w:rPr>
        <w:t>21.73</w:t>
      </w:r>
      <w:r>
        <w:rPr>
          <w:rFonts w:hint="eastAsia" w:ascii="Times New Roman" w:hAnsi="Times New Roman" w:eastAsia="仿宋_GB2312"/>
          <w:sz w:val="32"/>
          <w:szCs w:val="32"/>
        </w:rPr>
        <w:t>亿元、支出</w:t>
      </w:r>
      <w:r>
        <w:rPr>
          <w:rFonts w:ascii="Times New Roman" w:hAnsi="Times New Roman" w:eastAsia="仿宋_GB2312"/>
          <w:sz w:val="32"/>
          <w:szCs w:val="32"/>
        </w:rPr>
        <w:t>24.04</w:t>
      </w:r>
      <w:r>
        <w:rPr>
          <w:rFonts w:hint="eastAsia" w:ascii="Times New Roman" w:hAnsi="Times New Roman" w:eastAsia="仿宋_GB2312"/>
          <w:sz w:val="32"/>
          <w:szCs w:val="32"/>
        </w:rPr>
        <w:t>亿元，基金累计结余达到</w:t>
      </w:r>
      <w:r>
        <w:rPr>
          <w:rFonts w:ascii="Times New Roman" w:hAnsi="Times New Roman" w:eastAsia="仿宋_GB2312"/>
          <w:sz w:val="32"/>
          <w:szCs w:val="32"/>
        </w:rPr>
        <w:t>8.01</w:t>
      </w:r>
      <w:r>
        <w:rPr>
          <w:rFonts w:hint="eastAsia" w:ascii="Times New Roman" w:hAnsi="Times New Roman" w:eastAsia="仿宋_GB2312"/>
          <w:sz w:val="32"/>
          <w:szCs w:val="32"/>
        </w:rPr>
        <w:t>亿元。严格基金监管，在全县范围内开展社会保险基金安全专项整治行动，共发现社保基金方面问题</w:t>
      </w:r>
      <w:r>
        <w:rPr>
          <w:rFonts w:ascii="Times New Roman" w:hAnsi="Times New Roman" w:eastAsia="仿宋_GB2312"/>
          <w:sz w:val="32"/>
          <w:szCs w:val="32"/>
        </w:rPr>
        <w:t>50</w:t>
      </w:r>
      <w:r>
        <w:rPr>
          <w:rFonts w:hint="eastAsia" w:ascii="Times New Roman" w:hAnsi="Times New Roman" w:eastAsia="仿宋_GB2312"/>
          <w:sz w:val="32"/>
          <w:szCs w:val="32"/>
        </w:rPr>
        <w:t>项并全部整改到位，养老保险待遇核查“回头看”工作受市级通报表彰。社保卡建设加快推进，全县社保卡持卡</w:t>
      </w:r>
      <w:r>
        <w:rPr>
          <w:rFonts w:ascii="Times New Roman" w:hAnsi="Times New Roman" w:eastAsia="仿宋_GB2312"/>
          <w:sz w:val="32"/>
          <w:szCs w:val="32"/>
        </w:rPr>
        <w:t>86.9</w:t>
      </w:r>
      <w:r>
        <w:rPr>
          <w:rFonts w:hint="eastAsia" w:ascii="Times New Roman" w:hAnsi="Times New Roman" w:eastAsia="仿宋_GB2312"/>
          <w:sz w:val="32"/>
          <w:szCs w:val="32"/>
        </w:rPr>
        <w:t>万人，快速制卡网点银行</w:t>
      </w:r>
      <w:r>
        <w:rPr>
          <w:rFonts w:ascii="Times New Roman" w:hAnsi="Times New Roman" w:eastAsia="仿宋_GB2312"/>
          <w:sz w:val="32"/>
          <w:szCs w:val="32"/>
        </w:rPr>
        <w:t>28</w:t>
      </w:r>
      <w:r>
        <w:rPr>
          <w:rFonts w:hint="eastAsia" w:ascii="Times New Roman" w:hAnsi="Times New Roman" w:eastAsia="仿宋_GB2312"/>
          <w:sz w:val="32"/>
          <w:szCs w:val="32"/>
        </w:rPr>
        <w:t>个，</w:t>
      </w:r>
      <w:r>
        <w:rPr>
          <w:rFonts w:ascii="Times New Roman" w:hAnsi="Times New Roman" w:eastAsia="仿宋_GB2312"/>
          <w:sz w:val="32"/>
          <w:szCs w:val="32"/>
        </w:rPr>
        <w:t>2021</w:t>
      </w:r>
      <w:r>
        <w:rPr>
          <w:rFonts w:hint="eastAsia" w:ascii="Times New Roman" w:hAnsi="Times New Roman" w:eastAsia="仿宋_GB2312"/>
          <w:sz w:val="32"/>
          <w:szCs w:val="32"/>
        </w:rPr>
        <w:t>年新增</w:t>
      </w:r>
      <w:r>
        <w:rPr>
          <w:rFonts w:ascii="Times New Roman" w:hAnsi="Times New Roman" w:eastAsia="仿宋_GB2312"/>
          <w:sz w:val="32"/>
          <w:szCs w:val="32"/>
        </w:rPr>
        <w:t>8</w:t>
      </w:r>
      <w:r>
        <w:rPr>
          <w:rFonts w:hint="eastAsia" w:ascii="Times New Roman" w:hAnsi="Times New Roman" w:eastAsia="仿宋_GB2312"/>
          <w:sz w:val="32"/>
          <w:szCs w:val="32"/>
        </w:rPr>
        <w:t>个。服从机构改革大局，做好社会保险费征缴职能划转后续衔接工作。</w:t>
      </w:r>
    </w:p>
    <w:p>
      <w:pPr>
        <w:spacing w:line="560" w:lineRule="exact"/>
        <w:ind w:firstLine="640" w:firstLineChars="200"/>
        <w:rPr>
          <w:rFonts w:ascii="Times New Roman" w:hAnsi="Times New Roman" w:eastAsia="仿宋_GB2312"/>
          <w:sz w:val="32"/>
          <w:szCs w:val="32"/>
        </w:rPr>
      </w:pPr>
      <w:r>
        <w:rPr>
          <w:rFonts w:hint="eastAsia" w:ascii="仿宋_GB2312" w:eastAsia="仿宋_GB2312"/>
          <w:b/>
          <w:bCs/>
          <w:color w:val="000000"/>
          <w:sz w:val="32"/>
          <w:szCs w:val="32"/>
        </w:rPr>
        <w:t>3、人事人才工作：</w:t>
      </w:r>
      <w:r>
        <w:rPr>
          <w:rFonts w:ascii="Times New Roman" w:hAnsi="Times New Roman" w:eastAsia="仿宋_GB2312"/>
          <w:sz w:val="32"/>
          <w:szCs w:val="32"/>
        </w:rPr>
        <w:t>2021</w:t>
      </w:r>
      <w:r>
        <w:rPr>
          <w:rFonts w:hint="eastAsia" w:ascii="Times New Roman" w:hAnsi="Times New Roman" w:eastAsia="仿宋_GB2312"/>
          <w:sz w:val="32"/>
          <w:szCs w:val="32"/>
        </w:rPr>
        <w:t>年，引进高层次、急需紧缺型人才</w:t>
      </w:r>
      <w:r>
        <w:rPr>
          <w:rFonts w:ascii="Times New Roman" w:hAnsi="Times New Roman" w:eastAsia="仿宋_GB2312"/>
          <w:sz w:val="32"/>
          <w:szCs w:val="32"/>
        </w:rPr>
        <w:t>17</w:t>
      </w:r>
      <w:r>
        <w:rPr>
          <w:rFonts w:hint="eastAsia" w:ascii="Times New Roman" w:hAnsi="Times New Roman" w:eastAsia="仿宋_GB2312"/>
          <w:sz w:val="32"/>
          <w:szCs w:val="32"/>
        </w:rPr>
        <w:t>名，完成目标任务的</w:t>
      </w:r>
      <w:r>
        <w:rPr>
          <w:rFonts w:ascii="Times New Roman" w:hAnsi="Times New Roman" w:eastAsia="仿宋_GB2312"/>
          <w:sz w:val="32"/>
          <w:szCs w:val="32"/>
        </w:rPr>
        <w:t>100%</w:t>
      </w:r>
      <w:r>
        <w:rPr>
          <w:rFonts w:hint="eastAsia" w:ascii="Times New Roman" w:hAnsi="Times New Roman" w:eastAsia="仿宋_GB2312"/>
          <w:sz w:val="32"/>
          <w:szCs w:val="32"/>
        </w:rPr>
        <w:t>。配合落实农村订单定向培养医学生、农技特岗生、水利特岗生共</w:t>
      </w:r>
      <w:r>
        <w:rPr>
          <w:rFonts w:ascii="Times New Roman" w:hAnsi="Times New Roman" w:eastAsia="仿宋_GB2312"/>
          <w:sz w:val="32"/>
          <w:szCs w:val="32"/>
        </w:rPr>
        <w:t>36</w:t>
      </w:r>
      <w:r>
        <w:rPr>
          <w:rFonts w:hint="eastAsia" w:ascii="Times New Roman" w:hAnsi="Times New Roman" w:eastAsia="仿宋_GB2312"/>
          <w:sz w:val="32"/>
          <w:szCs w:val="32"/>
        </w:rPr>
        <w:t>人，充实基层专业技术人员队伍。圆满完成县一中公开招聘教师等</w:t>
      </w:r>
      <w:r>
        <w:rPr>
          <w:rFonts w:ascii="Times New Roman" w:hAnsi="Times New Roman" w:eastAsia="仿宋_GB2312"/>
          <w:sz w:val="32"/>
          <w:szCs w:val="32"/>
        </w:rPr>
        <w:t>6</w:t>
      </w:r>
      <w:r>
        <w:rPr>
          <w:rFonts w:hint="eastAsia" w:ascii="Times New Roman" w:hAnsi="Times New Roman" w:eastAsia="仿宋_GB2312"/>
          <w:sz w:val="32"/>
          <w:szCs w:val="32"/>
        </w:rPr>
        <w:t>场考试、考核工作，做到零差错零事故。开展</w:t>
      </w:r>
      <w:r>
        <w:rPr>
          <w:rFonts w:ascii="Times New Roman" w:hAnsi="Times New Roman" w:eastAsia="仿宋_GB2312"/>
          <w:sz w:val="32"/>
          <w:szCs w:val="32"/>
        </w:rPr>
        <w:t>2021</w:t>
      </w:r>
      <w:r>
        <w:rPr>
          <w:rFonts w:hint="eastAsia" w:ascii="Times New Roman" w:hAnsi="Times New Roman" w:eastAsia="仿宋_GB2312"/>
          <w:sz w:val="32"/>
          <w:szCs w:val="32"/>
        </w:rPr>
        <w:t>年退役士兵岗前培训、高层次急需紧缺型人才培训，事业单位工作人员网络培训、专业技术人员继续教育网络培训达</w:t>
      </w:r>
      <w:r>
        <w:rPr>
          <w:rFonts w:ascii="Times New Roman" w:hAnsi="Times New Roman" w:eastAsia="仿宋_GB2312"/>
          <w:sz w:val="32"/>
          <w:szCs w:val="32"/>
        </w:rPr>
        <w:t>1.16</w:t>
      </w:r>
      <w:r>
        <w:rPr>
          <w:rFonts w:hint="eastAsia" w:ascii="Times New Roman" w:hAnsi="Times New Roman" w:eastAsia="仿宋_GB2312"/>
          <w:sz w:val="32"/>
          <w:szCs w:val="32"/>
        </w:rPr>
        <w:t>万人（次）。持续推进事业单位岗位设置和专业技术人员的职称评审工作，完成岗位动态管理备案及审核</w:t>
      </w:r>
      <w:r>
        <w:rPr>
          <w:rFonts w:ascii="Times New Roman" w:hAnsi="Times New Roman" w:eastAsia="仿宋_GB2312"/>
          <w:sz w:val="32"/>
          <w:szCs w:val="32"/>
        </w:rPr>
        <w:t>442</w:t>
      </w:r>
      <w:r>
        <w:rPr>
          <w:rFonts w:hint="eastAsia" w:ascii="Times New Roman" w:hAnsi="Times New Roman" w:eastAsia="仿宋_GB2312"/>
          <w:sz w:val="32"/>
          <w:szCs w:val="32"/>
        </w:rPr>
        <w:t>次，涉及岗位调整</w:t>
      </w:r>
      <w:r>
        <w:rPr>
          <w:rFonts w:ascii="Times New Roman" w:hAnsi="Times New Roman" w:eastAsia="仿宋_GB2312"/>
          <w:sz w:val="32"/>
          <w:szCs w:val="32"/>
        </w:rPr>
        <w:t>3425</w:t>
      </w:r>
      <w:r>
        <w:rPr>
          <w:rFonts w:hint="eastAsia" w:ascii="Times New Roman" w:hAnsi="Times New Roman" w:eastAsia="仿宋_GB2312"/>
          <w:sz w:val="32"/>
          <w:szCs w:val="32"/>
        </w:rPr>
        <w:t>人。完善档案库房配置，管理</w:t>
      </w:r>
      <w:r>
        <w:rPr>
          <w:rFonts w:ascii="Times New Roman" w:hAnsi="Times New Roman" w:eastAsia="仿宋_GB2312"/>
          <w:sz w:val="32"/>
          <w:szCs w:val="32"/>
        </w:rPr>
        <w:t>6.17</w:t>
      </w:r>
      <w:r>
        <w:rPr>
          <w:rFonts w:hint="eastAsia" w:ascii="Times New Roman" w:hAnsi="Times New Roman" w:eastAsia="仿宋_GB2312"/>
          <w:sz w:val="32"/>
          <w:szCs w:val="32"/>
        </w:rPr>
        <w:t>万册人事档案，接待查借阅办事群众</w:t>
      </w:r>
      <w:r>
        <w:rPr>
          <w:rFonts w:ascii="Times New Roman" w:hAnsi="Times New Roman" w:eastAsia="仿宋_GB2312"/>
          <w:sz w:val="32"/>
          <w:szCs w:val="32"/>
        </w:rPr>
        <w:t>4000</w:t>
      </w:r>
      <w:r>
        <w:rPr>
          <w:rFonts w:hint="eastAsia" w:ascii="Times New Roman" w:hAnsi="Times New Roman" w:eastAsia="仿宋_GB2312"/>
          <w:sz w:val="32"/>
          <w:szCs w:val="32"/>
        </w:rPr>
        <w:t>多人次。落实各项工资福利待遇，严格机关事业单位考核、奖惩，进一步规范编外人员管理及机关事业单位津贴补贴发放。</w:t>
      </w:r>
    </w:p>
    <w:p>
      <w:pPr>
        <w:spacing w:line="560" w:lineRule="exact"/>
        <w:ind w:firstLine="640" w:firstLineChars="200"/>
        <w:rPr>
          <w:rFonts w:ascii="Times New Roman" w:hAnsi="Times New Roman" w:eastAsia="仿宋_GB2312"/>
          <w:sz w:val="32"/>
          <w:szCs w:val="32"/>
        </w:rPr>
      </w:pPr>
      <w:r>
        <w:rPr>
          <w:rFonts w:hint="eastAsia" w:ascii="仿宋_GB2312" w:eastAsia="仿宋_GB2312"/>
          <w:b/>
          <w:bCs/>
          <w:color w:val="000000"/>
          <w:sz w:val="32"/>
          <w:szCs w:val="32"/>
        </w:rPr>
        <w:t>4、维权维稳工作:</w:t>
      </w:r>
      <w:r>
        <w:rPr>
          <w:rFonts w:hint="eastAsia" w:ascii="仿宋_GB2312" w:eastAsia="仿宋_GB2312"/>
          <w:color w:val="000000"/>
          <w:sz w:val="32"/>
          <w:szCs w:val="32"/>
        </w:rPr>
        <w:t xml:space="preserve"> </w:t>
      </w:r>
      <w:r>
        <w:rPr>
          <w:rFonts w:hint="eastAsia" w:ascii="Times New Roman" w:hAnsi="Times New Roman" w:eastAsia="仿宋_GB2312"/>
          <w:sz w:val="32"/>
          <w:szCs w:val="32"/>
        </w:rPr>
        <w:t>深入开展“和谐同行”能力提升三年行动计划，组织全县企业相关负责人开展劳动关系协调员培训。</w:t>
      </w:r>
      <w:r>
        <w:rPr>
          <w:rFonts w:ascii="Times New Roman" w:hAnsi="Times New Roman" w:eastAsia="仿宋_GB2312"/>
          <w:sz w:val="32"/>
          <w:szCs w:val="32"/>
        </w:rPr>
        <w:t>2021</w:t>
      </w:r>
      <w:r>
        <w:rPr>
          <w:rFonts w:hint="eastAsia" w:ascii="Times New Roman" w:hAnsi="Times New Roman" w:eastAsia="仿宋_GB2312"/>
          <w:sz w:val="32"/>
          <w:szCs w:val="32"/>
        </w:rPr>
        <w:t>年，处理全国欠薪平台案件线索</w:t>
      </w:r>
      <w:r>
        <w:rPr>
          <w:rFonts w:ascii="Times New Roman" w:hAnsi="Times New Roman" w:eastAsia="仿宋_GB2312"/>
          <w:sz w:val="32"/>
          <w:szCs w:val="32"/>
        </w:rPr>
        <w:t>60</w:t>
      </w:r>
      <w:r>
        <w:rPr>
          <w:rFonts w:hint="eastAsia" w:ascii="Times New Roman" w:hAnsi="Times New Roman" w:eastAsia="仿宋_GB2312"/>
          <w:sz w:val="32"/>
          <w:szCs w:val="32"/>
        </w:rPr>
        <w:t>件、“</w:t>
      </w:r>
      <w:r>
        <w:rPr>
          <w:rFonts w:ascii="Times New Roman" w:hAnsi="Times New Roman" w:eastAsia="仿宋_GB2312"/>
          <w:sz w:val="32"/>
          <w:szCs w:val="32"/>
        </w:rPr>
        <w:t>12345</w:t>
      </w:r>
      <w:r>
        <w:rPr>
          <w:rFonts w:hint="eastAsia" w:ascii="Times New Roman" w:hAnsi="Times New Roman" w:eastAsia="仿宋_GB2312"/>
          <w:sz w:val="32"/>
          <w:szCs w:val="32"/>
        </w:rPr>
        <w:t>”热线举报投诉</w:t>
      </w:r>
      <w:r>
        <w:rPr>
          <w:rFonts w:ascii="Times New Roman" w:hAnsi="Times New Roman" w:eastAsia="仿宋_GB2312"/>
          <w:sz w:val="32"/>
          <w:szCs w:val="32"/>
        </w:rPr>
        <w:t>326</w:t>
      </w:r>
      <w:r>
        <w:rPr>
          <w:rFonts w:hint="eastAsia" w:ascii="Times New Roman" w:hAnsi="Times New Roman" w:eastAsia="仿宋_GB2312"/>
          <w:sz w:val="32"/>
          <w:szCs w:val="32"/>
        </w:rPr>
        <w:t>起，现场接待举报投诉和政策咨询</w:t>
      </w:r>
      <w:r>
        <w:rPr>
          <w:rFonts w:ascii="Times New Roman" w:hAnsi="Times New Roman" w:eastAsia="仿宋_GB2312"/>
          <w:sz w:val="32"/>
          <w:szCs w:val="32"/>
        </w:rPr>
        <w:t>2156</w:t>
      </w:r>
      <w:r>
        <w:rPr>
          <w:rFonts w:hint="eastAsia" w:ascii="Times New Roman" w:hAnsi="Times New Roman" w:eastAsia="仿宋_GB2312"/>
          <w:sz w:val="32"/>
          <w:szCs w:val="32"/>
        </w:rPr>
        <w:t>人次，拖欠农民工工资举报投诉结案率</w:t>
      </w:r>
      <w:r>
        <w:rPr>
          <w:rFonts w:ascii="Times New Roman" w:hAnsi="Times New Roman" w:eastAsia="仿宋_GB2312"/>
          <w:sz w:val="32"/>
          <w:szCs w:val="32"/>
        </w:rPr>
        <w:t>100%</w:t>
      </w:r>
      <w:r>
        <w:rPr>
          <w:rFonts w:hint="eastAsia" w:ascii="Times New Roman" w:hAnsi="Times New Roman" w:eastAsia="仿宋_GB2312"/>
          <w:sz w:val="32"/>
          <w:szCs w:val="32"/>
        </w:rPr>
        <w:t>，获“</w:t>
      </w:r>
      <w:r>
        <w:rPr>
          <w:rFonts w:ascii="Times New Roman" w:hAnsi="Times New Roman" w:eastAsia="仿宋_GB2312"/>
          <w:sz w:val="32"/>
          <w:szCs w:val="32"/>
        </w:rPr>
        <w:t>2018-2020</w:t>
      </w:r>
      <w:r>
        <w:rPr>
          <w:rFonts w:hint="eastAsia" w:ascii="Times New Roman" w:hAnsi="Times New Roman" w:eastAsia="仿宋_GB2312"/>
          <w:sz w:val="32"/>
          <w:szCs w:val="32"/>
        </w:rPr>
        <w:t>年度湘潭市根治拖欠农民工工资先进集体”荣誉。认定工伤</w:t>
      </w:r>
      <w:r>
        <w:rPr>
          <w:rFonts w:ascii="Times New Roman" w:hAnsi="Times New Roman" w:eastAsia="仿宋_GB2312"/>
          <w:sz w:val="32"/>
          <w:szCs w:val="32"/>
        </w:rPr>
        <w:t>569</w:t>
      </w:r>
      <w:r>
        <w:rPr>
          <w:rFonts w:hint="eastAsia" w:ascii="Times New Roman" w:hAnsi="Times New Roman" w:eastAsia="仿宋_GB2312"/>
          <w:sz w:val="32"/>
          <w:szCs w:val="32"/>
        </w:rPr>
        <w:t>起，向市级申报劳动能力鉴定</w:t>
      </w:r>
      <w:r>
        <w:rPr>
          <w:rFonts w:ascii="Times New Roman" w:hAnsi="Times New Roman" w:eastAsia="仿宋_GB2312"/>
          <w:sz w:val="32"/>
          <w:szCs w:val="32"/>
        </w:rPr>
        <w:t>379</w:t>
      </w:r>
      <w:r>
        <w:rPr>
          <w:rFonts w:hint="eastAsia" w:ascii="Times New Roman" w:hAnsi="Times New Roman" w:eastAsia="仿宋_GB2312"/>
          <w:sz w:val="32"/>
          <w:szCs w:val="32"/>
        </w:rPr>
        <w:t>起。认定</w:t>
      </w:r>
      <w:r>
        <w:rPr>
          <w:rFonts w:ascii="Times New Roman" w:hAnsi="Times New Roman" w:eastAsia="仿宋_GB2312"/>
          <w:sz w:val="32"/>
          <w:szCs w:val="32"/>
        </w:rPr>
        <w:t>2</w:t>
      </w:r>
      <w:r>
        <w:rPr>
          <w:rFonts w:hint="eastAsia" w:ascii="Times New Roman" w:hAnsi="Times New Roman" w:eastAsia="仿宋_GB2312"/>
          <w:sz w:val="32"/>
          <w:szCs w:val="32"/>
        </w:rPr>
        <w:t>家县级劳动人事争议优秀基层调解组织，县劳动人事争议调解中心被评选为省级金牌调解组织，全年处理各类劳动人事争议案件</w:t>
      </w:r>
      <w:r>
        <w:rPr>
          <w:rFonts w:ascii="Times New Roman" w:hAnsi="Times New Roman" w:eastAsia="仿宋_GB2312"/>
          <w:sz w:val="32"/>
          <w:szCs w:val="32"/>
        </w:rPr>
        <w:t>230</w:t>
      </w:r>
      <w:r>
        <w:rPr>
          <w:rFonts w:hint="eastAsia" w:ascii="Times New Roman" w:hAnsi="Times New Roman" w:eastAsia="仿宋_GB2312"/>
          <w:sz w:val="32"/>
          <w:szCs w:val="32"/>
        </w:rPr>
        <w:t>件，其中，仲裁立案受理</w:t>
      </w:r>
      <w:r>
        <w:rPr>
          <w:rFonts w:ascii="Times New Roman" w:hAnsi="Times New Roman" w:eastAsia="仿宋_GB2312"/>
          <w:sz w:val="32"/>
          <w:szCs w:val="32"/>
        </w:rPr>
        <w:t>97</w:t>
      </w:r>
      <w:r>
        <w:rPr>
          <w:rFonts w:hint="eastAsia" w:ascii="Times New Roman" w:hAnsi="Times New Roman" w:eastAsia="仿宋_GB2312"/>
          <w:sz w:val="32"/>
          <w:szCs w:val="32"/>
        </w:rPr>
        <w:t>件，结案</w:t>
      </w:r>
      <w:r>
        <w:rPr>
          <w:rFonts w:ascii="Times New Roman" w:hAnsi="Times New Roman" w:eastAsia="仿宋_GB2312"/>
          <w:sz w:val="32"/>
          <w:szCs w:val="32"/>
        </w:rPr>
        <w:t>96</w:t>
      </w:r>
      <w:r>
        <w:rPr>
          <w:rFonts w:hint="eastAsia" w:ascii="Times New Roman" w:hAnsi="Times New Roman" w:eastAsia="仿宋_GB2312"/>
          <w:sz w:val="32"/>
          <w:szCs w:val="32"/>
        </w:rPr>
        <w:t>件，结案率</w:t>
      </w:r>
      <w:r>
        <w:rPr>
          <w:rFonts w:ascii="Times New Roman" w:hAnsi="Times New Roman" w:eastAsia="仿宋_GB2312"/>
          <w:sz w:val="32"/>
          <w:szCs w:val="32"/>
        </w:rPr>
        <w:t>99%</w:t>
      </w:r>
      <w:r>
        <w:rPr>
          <w:rFonts w:hint="eastAsia" w:ascii="Times New Roman" w:hAnsi="Times New Roman" w:eastAsia="仿宋_GB2312"/>
          <w:sz w:val="32"/>
          <w:szCs w:val="32"/>
        </w:rPr>
        <w:t>，高于年度目标任务</w:t>
      </w:r>
      <w:r>
        <w:rPr>
          <w:rFonts w:ascii="Times New Roman" w:hAnsi="Times New Roman" w:eastAsia="仿宋_GB2312"/>
          <w:sz w:val="32"/>
          <w:szCs w:val="32"/>
        </w:rPr>
        <w:t>9</w:t>
      </w:r>
      <w:r>
        <w:rPr>
          <w:rFonts w:hint="eastAsia" w:ascii="Times New Roman" w:hAnsi="Times New Roman" w:eastAsia="仿宋_GB2312"/>
          <w:sz w:val="32"/>
          <w:szCs w:val="32"/>
        </w:rPr>
        <w:t>个百分点；调解立案受理</w:t>
      </w:r>
      <w:r>
        <w:rPr>
          <w:rFonts w:ascii="Times New Roman" w:hAnsi="Times New Roman" w:eastAsia="仿宋_GB2312"/>
          <w:sz w:val="32"/>
          <w:szCs w:val="32"/>
        </w:rPr>
        <w:t>133</w:t>
      </w:r>
      <w:r>
        <w:rPr>
          <w:rFonts w:hint="eastAsia" w:ascii="Times New Roman" w:hAnsi="Times New Roman" w:eastAsia="仿宋_GB2312"/>
          <w:sz w:val="32"/>
          <w:szCs w:val="32"/>
        </w:rPr>
        <w:t>件，达成调解协议及和解案件</w:t>
      </w:r>
      <w:r>
        <w:rPr>
          <w:rFonts w:ascii="Times New Roman" w:hAnsi="Times New Roman" w:eastAsia="仿宋_GB2312"/>
          <w:sz w:val="32"/>
          <w:szCs w:val="32"/>
        </w:rPr>
        <w:t>133</w:t>
      </w:r>
      <w:r>
        <w:rPr>
          <w:rFonts w:hint="eastAsia" w:ascii="Times New Roman" w:hAnsi="Times New Roman" w:eastAsia="仿宋_GB2312"/>
          <w:sz w:val="32"/>
          <w:szCs w:val="32"/>
        </w:rPr>
        <w:t>件，通过仲裁和调解共为劳动争议双方当事人挽回经济损失</w:t>
      </w:r>
      <w:r>
        <w:rPr>
          <w:rFonts w:ascii="Times New Roman" w:hAnsi="Times New Roman" w:eastAsia="仿宋_GB2312"/>
          <w:sz w:val="32"/>
          <w:szCs w:val="32"/>
        </w:rPr>
        <w:t>545.8</w:t>
      </w:r>
      <w:r>
        <w:rPr>
          <w:rFonts w:hint="eastAsia" w:ascii="Times New Roman" w:hAnsi="Times New Roman" w:eastAsia="仿宋_GB2312"/>
          <w:sz w:val="32"/>
          <w:szCs w:val="32"/>
        </w:rPr>
        <w:t>万元。</w:t>
      </w:r>
    </w:p>
    <w:p>
      <w:pPr>
        <w:pStyle w:val="15"/>
        <w:spacing w:line="560" w:lineRule="exact"/>
        <w:ind w:firstLine="640" w:firstLineChars="200"/>
        <w:rPr>
          <w:rFonts w:ascii="黑体" w:hAnsi="仿宋" w:eastAsia="黑体"/>
          <w:b/>
          <w:bCs/>
          <w:color w:val="000000"/>
          <w:kern w:val="0"/>
          <w:sz w:val="32"/>
          <w:szCs w:val="32"/>
        </w:rPr>
      </w:pPr>
      <w:r>
        <w:rPr>
          <w:rFonts w:hint="eastAsia" w:ascii="黑体" w:hAnsi="仿宋" w:eastAsia="黑体"/>
          <w:b/>
          <w:bCs/>
          <w:color w:val="000000"/>
          <w:kern w:val="0"/>
          <w:sz w:val="32"/>
          <w:szCs w:val="32"/>
        </w:rPr>
        <w:t xml:space="preserve"> 三、存在的问题和改进措施</w:t>
      </w:r>
    </w:p>
    <w:p>
      <w:pPr>
        <w:pStyle w:val="15"/>
        <w:spacing w:line="560" w:lineRule="exact"/>
        <w:ind w:firstLine="640" w:firstLineChars="200"/>
        <w:rPr>
          <w:rFonts w:hint="eastAsia" w:ascii="仿宋_GB2312" w:eastAsia="仿宋_GB2312"/>
          <w:b/>
          <w:bCs/>
          <w:sz w:val="32"/>
          <w:szCs w:val="32"/>
        </w:rPr>
      </w:pPr>
      <w:r>
        <w:rPr>
          <w:rFonts w:hint="eastAsia" w:ascii="仿宋_GB2312" w:eastAsia="仿宋_GB2312"/>
          <w:b/>
          <w:bCs/>
          <w:sz w:val="32"/>
          <w:szCs w:val="32"/>
        </w:rPr>
        <w:t>（一）存在的问题</w:t>
      </w:r>
    </w:p>
    <w:p>
      <w:pPr>
        <w:spacing w:line="560" w:lineRule="exact"/>
        <w:ind w:firstLine="790" w:firstLineChars="247"/>
        <w:rPr>
          <w:rFonts w:hint="eastAsia" w:ascii="仿宋_GB2312" w:eastAsia="仿宋_GB2312"/>
          <w:sz w:val="32"/>
          <w:szCs w:val="32"/>
        </w:rPr>
      </w:pPr>
      <w:r>
        <w:rPr>
          <w:rFonts w:hint="eastAsia" w:ascii="仿宋_GB2312" w:eastAsia="仿宋_GB2312"/>
          <w:sz w:val="32"/>
          <w:szCs w:val="32"/>
        </w:rPr>
        <w:t>1、预算控制有待加强。由于不可预见性政策调整人员经费、单位新增业务性专项资金等各项因素，经费预算在年初预算的基础上，调整幅度较大。</w:t>
      </w:r>
    </w:p>
    <w:p>
      <w:pPr>
        <w:pStyle w:val="15"/>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2、部分功能性科目使用有待进一步规范。因财政资金紧张，所需资金指标很难按时到位，而单位有些必要支出项目不得已使用其他功能指标进行支付。</w:t>
      </w:r>
    </w:p>
    <w:p>
      <w:pPr>
        <w:pStyle w:val="15"/>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财务管理存在一定的风险。由于我局内设机构较多，人员较多，各项支出及各部门的上级政策口径难于把握，特别是认真贯彻执行中央八项规定后，原有的政策制度跟不上来，造成在实际执行中尺度把握不准。且我局业务性专项资金种类繁多，涉及面广，财务整体监管难度偏大。</w:t>
      </w:r>
    </w:p>
    <w:p>
      <w:pPr>
        <w:pStyle w:val="15"/>
        <w:spacing w:line="560" w:lineRule="exact"/>
        <w:ind w:firstLine="640" w:firstLineChars="200"/>
        <w:rPr>
          <w:rFonts w:hint="eastAsia" w:ascii="仿宋_GB2312" w:eastAsia="仿宋_GB2312"/>
          <w:b/>
          <w:bCs/>
          <w:sz w:val="32"/>
          <w:szCs w:val="32"/>
        </w:rPr>
      </w:pPr>
      <w:r>
        <w:rPr>
          <w:rFonts w:hint="eastAsia" w:ascii="仿宋_GB2312" w:eastAsia="仿宋_GB2312"/>
          <w:b/>
          <w:bCs/>
          <w:sz w:val="32"/>
          <w:szCs w:val="32"/>
        </w:rPr>
        <w:t>（二）改进的措施</w:t>
      </w:r>
    </w:p>
    <w:p>
      <w:pPr>
        <w:pStyle w:val="15"/>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1、加强预算的科学性、计划性，坚守“先有预算，后有支出”的底线，无预算不得支出，且严格要求在预算范围内开支。</w:t>
      </w:r>
    </w:p>
    <w:p>
      <w:pPr>
        <w:pStyle w:val="15"/>
        <w:spacing w:line="560" w:lineRule="exact"/>
        <w:ind w:firstLine="640" w:firstLineChars="200"/>
        <w:rPr>
          <w:rFonts w:ascii="仿宋_GB2312" w:eastAsia="仿宋_GB2312"/>
          <w:sz w:val="32"/>
          <w:szCs w:val="32"/>
        </w:rPr>
      </w:pPr>
      <w:r>
        <w:rPr>
          <w:rFonts w:hint="eastAsia" w:ascii="仿宋_GB2312" w:eastAsia="仿宋_GB2312"/>
          <w:sz w:val="32"/>
          <w:szCs w:val="32"/>
        </w:rPr>
        <w:t>2、加强财务监督和管理，建立健全内控制度，对各业务股室和二级机构的专项经济活动实施必要的预算控制和过程监督，加大财务管理力度。</w:t>
      </w: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4F8F166"/>
    <w:multiLevelType w:val="singleLevel"/>
    <w:tmpl w:val="44F8F166"/>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E5MWUzMmE5MzIyMWU1YjBjODQ5OWRhNDc1ZmFkYzQifQ=="/>
  </w:docVars>
  <w:rsids>
    <w:rsidRoot w:val="00172A27"/>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13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56886"/>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1F40F5D"/>
    <w:rsid w:val="02D11C21"/>
    <w:rsid w:val="02F74AFB"/>
    <w:rsid w:val="03C86D3F"/>
    <w:rsid w:val="082F4AD6"/>
    <w:rsid w:val="0A5C29C0"/>
    <w:rsid w:val="0B524E49"/>
    <w:rsid w:val="0C3B4FF8"/>
    <w:rsid w:val="0CBD761B"/>
    <w:rsid w:val="12305217"/>
    <w:rsid w:val="13CC56F7"/>
    <w:rsid w:val="165C78DB"/>
    <w:rsid w:val="18323044"/>
    <w:rsid w:val="1931674C"/>
    <w:rsid w:val="1A846269"/>
    <w:rsid w:val="1BEA1577"/>
    <w:rsid w:val="20534BEF"/>
    <w:rsid w:val="219C2D85"/>
    <w:rsid w:val="284E65ED"/>
    <w:rsid w:val="2AAE4FB2"/>
    <w:rsid w:val="2B4F1ED2"/>
    <w:rsid w:val="2F10090E"/>
    <w:rsid w:val="2F323584"/>
    <w:rsid w:val="30442ADA"/>
    <w:rsid w:val="31CE1C52"/>
    <w:rsid w:val="348523D7"/>
    <w:rsid w:val="37F7706E"/>
    <w:rsid w:val="37F94A17"/>
    <w:rsid w:val="3A6D6A11"/>
    <w:rsid w:val="3C4F14DA"/>
    <w:rsid w:val="41047F55"/>
    <w:rsid w:val="423C001D"/>
    <w:rsid w:val="431C62F6"/>
    <w:rsid w:val="43C56FF4"/>
    <w:rsid w:val="44D64C23"/>
    <w:rsid w:val="474B2221"/>
    <w:rsid w:val="4763297A"/>
    <w:rsid w:val="478A0D96"/>
    <w:rsid w:val="49D879C3"/>
    <w:rsid w:val="4AB14EB1"/>
    <w:rsid w:val="4AE311E1"/>
    <w:rsid w:val="4AE54E36"/>
    <w:rsid w:val="4C104D17"/>
    <w:rsid w:val="4D9523D7"/>
    <w:rsid w:val="4F977EF6"/>
    <w:rsid w:val="51074C76"/>
    <w:rsid w:val="52641C14"/>
    <w:rsid w:val="545F17F3"/>
    <w:rsid w:val="54C94F38"/>
    <w:rsid w:val="54FC219A"/>
    <w:rsid w:val="558715D4"/>
    <w:rsid w:val="558D2D99"/>
    <w:rsid w:val="57344468"/>
    <w:rsid w:val="59A504E2"/>
    <w:rsid w:val="5A544032"/>
    <w:rsid w:val="5B43138B"/>
    <w:rsid w:val="5B725BF2"/>
    <w:rsid w:val="61A45A72"/>
    <w:rsid w:val="62391756"/>
    <w:rsid w:val="623F0D0B"/>
    <w:rsid w:val="62AF39BF"/>
    <w:rsid w:val="63163FD0"/>
    <w:rsid w:val="64400AF8"/>
    <w:rsid w:val="659C5924"/>
    <w:rsid w:val="689E480E"/>
    <w:rsid w:val="69AA4EE0"/>
    <w:rsid w:val="69D259E7"/>
    <w:rsid w:val="6A2B738D"/>
    <w:rsid w:val="71B30838"/>
    <w:rsid w:val="73212555"/>
    <w:rsid w:val="75133BF1"/>
    <w:rsid w:val="75A526B0"/>
    <w:rsid w:val="76B41EBE"/>
    <w:rsid w:val="77702762"/>
    <w:rsid w:val="77DC081E"/>
    <w:rsid w:val="78487B03"/>
    <w:rsid w:val="79050385"/>
    <w:rsid w:val="79395FF0"/>
    <w:rsid w:val="7BF1074D"/>
    <w:rsid w:val="7D120027"/>
    <w:rsid w:val="7EFB582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8"/>
    <w:link w:val="4"/>
    <w:qFormat/>
    <w:locked/>
    <w:uiPriority w:val="99"/>
    <w:rPr>
      <w:sz w:val="18"/>
      <w:szCs w:val="18"/>
    </w:rPr>
  </w:style>
  <w:style w:type="character" w:customStyle="1" w:styleId="10">
    <w:name w:val="Footer Char"/>
    <w:basedOn w:val="8"/>
    <w:link w:val="3"/>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character" w:customStyle="1" w:styleId="13">
    <w:name w:val="Balloon Text Char"/>
    <w:basedOn w:val="8"/>
    <w:link w:val="2"/>
    <w:semiHidden/>
    <w:qFormat/>
    <w:locked/>
    <w:uiPriority w:val="99"/>
    <w:rPr>
      <w:sz w:val="18"/>
      <w:szCs w:val="18"/>
    </w:rPr>
  </w:style>
  <w:style w:type="paragraph" w:customStyle="1" w:styleId="14">
    <w:name w:val="List Paragraph1"/>
    <w:basedOn w:val="1"/>
    <w:qFormat/>
    <w:uiPriority w:val="99"/>
    <w:pPr>
      <w:ind w:firstLine="420" w:firstLineChars="200"/>
    </w:pPr>
  </w:style>
  <w:style w:type="paragraph" w:customStyle="1" w:styleId="15">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31</Pages>
  <Words>11070</Words>
  <Characters>12643</Characters>
  <Lines>0</Lines>
  <Paragraphs>0</Paragraphs>
  <TotalTime>2</TotalTime>
  <ScaleCrop>false</ScaleCrop>
  <LinksUpToDate>false</LinksUpToDate>
  <CharactersWithSpaces>12828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亓顺庆</cp:lastModifiedBy>
  <cp:lastPrinted>2021-07-28T00:12:00Z</cp:lastPrinted>
  <dcterms:modified xsi:type="dcterms:W3CDTF">2023-06-05T09:36:43Z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2052-11.1.0.14309</vt:lpwstr>
  </property>
  <property fmtid="{D5CDD505-2E9C-101B-9397-08002B2CF9AE}" pid="4" name="ICV">
    <vt:lpwstr>A657EFB301FC4D5FB16B55F61293875A</vt:lpwstr>
  </property>
</Properties>
</file>