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color w:val="000000"/>
          <w:sz w:val="32"/>
          <w:szCs w:val="32"/>
        </w:rPr>
      </w:pPr>
      <w:r>
        <w:rPr>
          <w:rFonts w:hint="eastAsia" w:ascii="黑体" w:hAnsi="黑体" w:eastAsia="黑体" w:cs="黑体"/>
          <w:color w:val="000000"/>
          <w:sz w:val="32"/>
          <w:szCs w:val="32"/>
        </w:rPr>
        <w:t>附件5</w:t>
      </w:r>
    </w:p>
    <w:p>
      <w:pPr>
        <w:widowControl/>
        <w:jc w:val="center"/>
        <w:rPr>
          <w:rFonts w:hint="eastAsia" w:ascii="仿宋_GB2312" w:hAnsi="仿宋_GB2312" w:eastAsia="仿宋_GB2312" w:cs="仿宋_GB2312"/>
          <w:b/>
          <w:bCs/>
          <w:kern w:val="0"/>
          <w:sz w:val="32"/>
          <w:szCs w:val="32"/>
        </w:rPr>
      </w:pPr>
      <w:r>
        <w:rPr>
          <w:rFonts w:hint="eastAsia" w:ascii="宋体" w:hAnsi="宋体" w:cs="仿宋_GB2312"/>
          <w:b/>
          <w:bCs/>
          <w:color w:val="000000"/>
          <w:kern w:val="0"/>
          <w:sz w:val="36"/>
          <w:szCs w:val="36"/>
        </w:rPr>
        <w:t>部门整体支出绩效</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项目支出绩效评价报告</w:t>
      </w:r>
    </w:p>
    <w:tbl>
      <w:tblPr>
        <w:tblStyle w:val="3"/>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5670"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部门整体支出绩效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5670"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val="en-US" w:eastAsia="zh-CN"/>
              </w:rPr>
              <w:t>94333.79</w:t>
            </w:r>
            <w:r>
              <w:rPr>
                <w:rFonts w:hint="eastAsia" w:ascii="仿宋_GB2312" w:hAnsi="宋体" w:eastAsia="仿宋_GB2312" w:cs="宋体"/>
                <w:szCs w:val="32"/>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5670"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湘潭县教育局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276" w:lineRule="exact"/>
              <w:ind w:right="880" w:rightChars="419" w:firstLine="420" w:firstLineChars="200"/>
              <w:jc w:val="center"/>
              <w:textAlignment w:val="auto"/>
              <w:rPr>
                <w:rFonts w:hint="eastAsia" w:ascii="仿宋_GB2312" w:hAnsi="宋体" w:eastAsia="仿宋_GB2312" w:cs="宋体"/>
                <w:szCs w:val="32"/>
              </w:rPr>
            </w:pPr>
            <w:r>
              <w:rPr>
                <w:rFonts w:hint="eastAsia" w:ascii="仿宋_GB2312" w:hAnsi="宋体" w:eastAsia="仿宋_GB2312" w:cs="宋体"/>
                <w:szCs w:val="32"/>
                <w:lang w:eastAsia="zh-CN"/>
              </w:rPr>
              <w:t>通过绩效评价，改进预算管理，优化资源配置，控制节约成本，提高管理效能和服务水平。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根据绩效评价的有关要求和《湘潭县财政局2023年预算绩效管理工作方案的通知》等文件精神，我局成立了湘潭县教育局绩效评价工作领导小组，由局长任组长，分管财务的副局长任副组长，党委成员和各股室负责人为领导小组成员；并制定了《湘潭县教育局2022年绩效自评工作方案》，成立了工作小组。</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按照《湘潭县教育局2022年度财政支出项目资金绩效自评工作方案》要求，我局召开了专题会议，明确了分工和责任。由各单位组织人员查阅相关资料，提交工作小组讨论并对照评价指标体系进行自评打分，最后撰写自评报告，并将有关的材料汇总装订成册交发展规划和财务股</w:t>
            </w:r>
            <w:r>
              <w:rPr>
                <w:rFonts w:hint="eastAsia" w:ascii="仿宋_GB2312" w:hAnsi="宋体" w:eastAsia="仿宋_GB2312" w:cs="宋体"/>
                <w:kern w:val="2"/>
                <w:sz w:val="21"/>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1、2022年预算收入94333.79万元，其中一般公共预算拨款72989.24万元，上级补助收入16136.7万元，纳入专户管理的非税收入拨款5207.85万元。2022年预算支出94333.79万元，其中：基本支出83114.79万元（县本级预算支出为69640.24万元，其中工资福利支出64943.10万元，商品和服务支出3907.62万元，对个人和家庭的补助支出789.52万元）；项目支出11219万元（县本级部门预算支出3349万元，县级专项预算1000万元）。</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kern w:val="2"/>
                <w:sz w:val="21"/>
                <w:szCs w:val="32"/>
                <w:lang w:val="en-US" w:eastAsia="zh-CN" w:bidi="ar-SA"/>
              </w:rPr>
              <w:t>2、年中调整预算情况：2022年一般公共预算基本支出年初预算内69640.24万元，追加预算11052.30万元。项目支出年初预算4349万元（含县级专项资金预算1000万元），追加预算4890.31万元。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210" w:firstLineChars="1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2022年收入支出预算执行情况：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1、总收入：122914.45万元。（1）财政拨款89931.84万元,占总收入的73.17%；（2） 事业收入8178.61万元，占总收入的6.65%；（4）政府性基金7125万元，占总收入5.80%（3）其他收入17679万元，占总收入的14.38%。</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2、总支出：124128.34万元。（1） 基本支出106258.18万元，其中县财政拨款82104.21万元；（2） 项目支出17870.16万元，其中县财政拨款10364.22万元。</w:t>
            </w:r>
          </w:p>
          <w:p>
            <w:pPr>
              <w:ind w:firstLine="420" w:firstLineChars="200"/>
              <w:rPr>
                <w:rFonts w:ascii="宋体" w:hAnsi="宋体" w:cs="仿宋_GB2312"/>
                <w:kern w:val="0"/>
                <w:sz w:val="32"/>
                <w:szCs w:val="32"/>
              </w:rPr>
            </w:pPr>
            <w:r>
              <w:rPr>
                <w:rFonts w:hint="eastAsia" w:ascii="仿宋_GB2312" w:hAnsi="宋体" w:eastAsia="仿宋_GB2312" w:cs="宋体"/>
                <w:kern w:val="2"/>
                <w:sz w:val="21"/>
                <w:szCs w:val="32"/>
                <w:lang w:val="en-US" w:eastAsia="zh-CN" w:bidi="ar-SA"/>
              </w:rPr>
              <w:t>3、年初余额4455.68万元（其中使用非财政拨款结余322.70万元，年初结转和结余4132.98万元），年末余额3241.79万元（其中结余分配1705.81万元，年末结转和结余1535.98万元）</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（三）“三公”经费支出情况：</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2022年公务接待费支出26.21万元，公务用车运行维护费1.87万元，因公出国出境费用0万元，合计“三公经费支出28.08万元。2022年公务接待费支出预算53.11万元，公务用车运行维护费预算数11.3万元，因公出国出境费用预算数0万元，合计“三公”经费预算支出64.41万元，2022年的实际支出低于预算支出。主要原因是各单位响应政府号召，紧缩开支以及因财政困难部分费用尚未支付。2021年公务接待支出49.58万元，今年比去年减少支出23.37万元；2021年公务用车运行维护费1.88万元，今年比去年减少支出0.01万元；因公出国出境费用2021年费用0万元；2021年“三公”经费支出51.46万元，2022年比2021年减少支出23.38万元，减少45.43%。</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（四）一般运行经费支出情况</w:t>
            </w:r>
          </w:p>
          <w:p>
            <w:pPr>
              <w:ind w:firstLine="420" w:firstLineChars="200"/>
              <w:rPr>
                <w:rFonts w:ascii="宋体" w:hAnsi="宋体" w:cs="仿宋_GB2312"/>
                <w:kern w:val="0"/>
                <w:sz w:val="32"/>
                <w:szCs w:val="32"/>
              </w:rPr>
            </w:pPr>
            <w:r>
              <w:rPr>
                <w:rFonts w:hint="eastAsia" w:ascii="仿宋_GB2312" w:hAnsi="宋体" w:eastAsia="仿宋_GB2312" w:cs="宋体"/>
                <w:kern w:val="2"/>
                <w:sz w:val="21"/>
                <w:szCs w:val="32"/>
                <w:lang w:val="en-US" w:eastAsia="zh-CN" w:bidi="ar-SA"/>
              </w:rPr>
              <w:t>2022年基本支出中的商品和服务支出10178.36万元，2021年基本支出中的商品和服务支出10237.68万元，减少了59.32万元，主要是在财政资金紧张情况下节约开支。</w:t>
            </w:r>
          </w:p>
          <w:p>
            <w:pPr>
              <w:keepNext w:val="0"/>
              <w:keepLines w:val="0"/>
              <w:pageBreakBefore w:val="0"/>
              <w:widowControl w:val="0"/>
              <w:kinsoku/>
              <w:wordWrap/>
              <w:overflowPunct/>
              <w:topLinePunct w:val="0"/>
              <w:autoSpaceDE/>
              <w:autoSpaceDN/>
              <w:bidi w:val="0"/>
              <w:adjustRightInd/>
              <w:snapToGrid/>
              <w:spacing w:line="240" w:lineRule="exact"/>
              <w:ind w:right="880" w:rightChars="419"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根据各单位和部门2022年绩效自评的基础数据和自评材料，局绩效评价工作小组逐个对照部门整体支出绩效评价指标体系和标准, 分析从决策到实施再到绩效自评过程中的经验与存在的问题，自评打分98分，评定等次为优秀。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5670"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（一）预算方面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受疫情经济的影响，很多年初预算项目因财政经费保障不足。</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（二）内部控制方面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内部控制管</w:t>
            </w:r>
            <w:bookmarkStart w:id="0" w:name="_GoBack"/>
            <w:bookmarkEnd w:id="0"/>
            <w:r>
              <w:rPr>
                <w:rFonts w:hint="eastAsia" w:ascii="仿宋_GB2312" w:hAnsi="宋体" w:eastAsia="仿宋_GB2312" w:cs="宋体"/>
                <w:kern w:val="2"/>
                <w:sz w:val="21"/>
                <w:szCs w:val="32"/>
                <w:lang w:val="en-US" w:eastAsia="zh-CN" w:bidi="ar-SA"/>
              </w:rPr>
              <w:t>理制度操作的便利性不强</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（三）资金使用方面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资金的拨付和支付的时效性不够。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5670"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（一）预算方面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受疫情经济的影响，很多年初预算项目因财政经费保障不足，预算的执行和完成情况加强。</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（二）内部控制方面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内部控制需要制定更加方便操作的管理制度。</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（三）资金使用方面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资金的拨付和支付的时效性进一步提高。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p>
        </w:tc>
      </w:tr>
    </w:tbl>
    <w:p>
      <w:pPr>
        <w:snapToGrid w:val="0"/>
        <w:spacing w:line="540" w:lineRule="exact"/>
        <w:rPr>
          <w:rFonts w:hint="eastAsia" w:ascii="仿宋_GB2312" w:hAnsi="宋体" w:eastAsia="仿宋_GB2312" w:cs="宋体"/>
          <w:kern w:val="0"/>
          <w:sz w:val="32"/>
          <w:szCs w:val="32"/>
        </w:rPr>
      </w:pP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mY2M3NDM0MGJlNTY4YzQ2ZjIzMDA2YTY3YWU5ZmIifQ=="/>
  </w:docVars>
  <w:rsids>
    <w:rsidRoot w:val="4B164DAC"/>
    <w:rsid w:val="0CA44193"/>
    <w:rsid w:val="1C0B3165"/>
    <w:rsid w:val="4B164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qFormat/>
    <w:uiPriority w:val="99"/>
    <w:rPr>
      <w:rFonts w:ascii="Times New Roman" w:hAnsi="Times New Roman" w:cs="Times New Roman"/>
      <w:sz w:val="24"/>
      <w:szCs w:val="24"/>
    </w:rPr>
  </w:style>
  <w:style w:type="paragraph" w:styleId="5">
    <w:name w:val="No Spacing"/>
    <w:qFormat/>
    <w:uiPriority w:val="99"/>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1412</Words>
  <Characters>1744</Characters>
  <Lines>0</Lines>
  <Paragraphs>0</Paragraphs>
  <TotalTime>1</TotalTime>
  <ScaleCrop>false</ScaleCrop>
  <LinksUpToDate>false</LinksUpToDate>
  <CharactersWithSpaces>1749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雨与晴</cp:lastModifiedBy>
  <dcterms:modified xsi:type="dcterms:W3CDTF">2023-05-28T02:03:02Z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8E1B59649AFB472B833DE635A5848823</vt:lpwstr>
  </property>
</Properties>
</file>